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1"/>
    <w:bookmarkStart w:id="1" w:name="OLE_LINK2"/>
    <w:bookmarkStart w:id="2" w:name="OLE_LINK3"/>
    <w:bookmarkStart w:id="3" w:name="OLE_LINK4"/>
    <w:p w14:paraId="23CFFB00" w14:textId="77777777" w:rsidR="00BC7ACC" w:rsidRPr="00777E5B" w:rsidRDefault="002D15B0" w:rsidP="008E044B">
      <w:pPr>
        <w:pStyle w:val="NoSpacing"/>
        <w:jc w:val="center"/>
        <w:rPr>
          <w:lang w:eastAsia="ja-JP"/>
        </w:rPr>
      </w:pPr>
      <w:r w:rsidRPr="008200BE">
        <w:rPr>
          <w:noProof/>
        </w:rPr>
        <mc:AlternateContent>
          <mc:Choice Requires="wps">
            <w:drawing>
              <wp:anchor distT="0" distB="0" distL="114300" distR="114300" simplePos="0" relativeHeight="251649024" behindDoc="0" locked="0" layoutInCell="1" allowOverlap="1" wp14:anchorId="5C06C7DC" wp14:editId="0B2E3125">
                <wp:simplePos x="0" y="0"/>
                <wp:positionH relativeFrom="margin">
                  <wp:posOffset>3462020</wp:posOffset>
                </wp:positionH>
                <wp:positionV relativeFrom="margin">
                  <wp:posOffset>-148590</wp:posOffset>
                </wp:positionV>
                <wp:extent cx="2534285" cy="790575"/>
                <wp:effectExtent l="0" t="0" r="0" b="0"/>
                <wp:wrapSquare wrapText="bothSides"/>
                <wp:docPr id="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285" cy="790575"/>
                        </a:xfrm>
                        <a:prstGeom prst="rect">
                          <a:avLst/>
                        </a:prstGeom>
                        <a:noFill/>
                        <a:ln w="6350">
                          <a:noFill/>
                        </a:ln>
                        <a:effectLst/>
                      </wps:spPr>
                      <wps:txbx>
                        <w:txbxContent>
                          <w:p w14:paraId="0F0772B4" w14:textId="6358F630" w:rsidR="00553764" w:rsidRPr="001A42B8" w:rsidRDefault="00553764" w:rsidP="002D15B0">
                            <w:pPr>
                              <w:jc w:val="right"/>
                              <w:rPr>
                                <w:rFonts w:eastAsia="Times New Roman" w:cs="Times New Roman"/>
                                <w:b/>
                                <w:color w:val="852010" w:themeColor="accent3" w:themeShade="BF"/>
                                <w:sz w:val="48"/>
                                <w:szCs w:val="48"/>
                                <w:lang w:val="en-US"/>
                              </w:rPr>
                            </w:pPr>
                          </w:p>
                          <w:p w14:paraId="2BC828ED" w14:textId="77777777" w:rsidR="00553764" w:rsidRPr="00CE4BD1" w:rsidRDefault="00553764" w:rsidP="00850F48">
                            <w:pPr>
                              <w:jc w:val="right"/>
                              <w:rPr>
                                <w:rStyle w:val="Emphasis"/>
                                <w:rFonts w:asciiTheme="minorHAnsi" w:hAnsiTheme="minorHAnsi" w:cstheme="minorHAnsi"/>
                                <w:i w:val="0"/>
                                <w:iCs w:val="0"/>
                                <w:spacing w:val="12"/>
                                <w:sz w:val="28"/>
                              </w:rPr>
                            </w:pPr>
                            <w:r w:rsidRPr="00CE3A5B">
                              <w:rPr>
                                <w:rStyle w:val="Emphasis"/>
                                <w:rFonts w:asciiTheme="minorHAnsi" w:hAnsiTheme="minorHAnsi" w:cstheme="minorHAnsi"/>
                                <w:i w:val="0"/>
                                <w:spacing w:val="12"/>
                                <w:sz w:val="28"/>
                              </w:rPr>
                              <w:t xml:space="preserve">Приложение към </w:t>
                            </w:r>
                            <w:r w:rsidRPr="00777E5B">
                              <w:rPr>
                                <w:rStyle w:val="Emphasis"/>
                                <w:rFonts w:asciiTheme="minorHAnsi" w:hAnsiTheme="minorHAnsi" w:cstheme="minorHAnsi"/>
                                <w:i w:val="0"/>
                                <w:spacing w:val="12"/>
                                <w:sz w:val="28"/>
                              </w:rPr>
                              <w:t>т.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6C7DC" id="_x0000_t202" coordsize="21600,21600" o:spt="202" path="m,l,21600r21600,l21600,xe">
                <v:stroke joinstyle="miter"/>
                <v:path gradientshapeok="t" o:connecttype="rect"/>
              </v:shapetype>
              <v:shape id="Text Box 24" o:spid="_x0000_s1026" type="#_x0000_t202" style="position:absolute;left:0;text-align:left;margin-left:272.6pt;margin-top:-11.7pt;width:199.55pt;height:62.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" filled="f" stroked="f" strokeweight=".5pt">
                <v:textbox>
                  <w:txbxContent>
                    <w:p w14:paraId="0F0772B4" w14:textId="6358F630" w:rsidR="00553764" w:rsidRPr="001A42B8" w:rsidRDefault="00553764" w:rsidP="002D15B0">
                      <w:pPr>
                        <w:jc w:val="right"/>
                        <w:rPr>
                          <w:rFonts w:eastAsia="Times New Roman" w:cs="Times New Roman"/>
                          <w:b/>
                          <w:color w:val="852010" w:themeColor="accent3" w:themeShade="BF"/>
                          <w:sz w:val="48"/>
                          <w:szCs w:val="48"/>
                          <w:lang w:val="en-US"/>
                        </w:rPr>
                      </w:pPr>
                    </w:p>
                    <w:p w14:paraId="2BC828ED" w14:textId="77777777" w:rsidR="00553764" w:rsidRPr="00CE4BD1" w:rsidRDefault="00553764" w:rsidP="00850F48">
                      <w:pPr>
                        <w:jc w:val="right"/>
                        <w:rPr>
                          <w:rStyle w:val="af6"/>
                          <w:rFonts w:asciiTheme="minorHAnsi" w:hAnsiTheme="minorHAnsi" w:cstheme="minorHAnsi"/>
                          <w:i w:val="0"/>
                          <w:iCs w:val="0"/>
                          <w:spacing w:val="12"/>
                          <w:sz w:val="28"/>
                        </w:rPr>
                      </w:pPr>
                      <w:r w:rsidRPr="00CE3A5B">
                        <w:rPr>
                          <w:rStyle w:val="af6"/>
                          <w:rFonts w:asciiTheme="minorHAnsi" w:hAnsiTheme="minorHAnsi" w:cstheme="minorHAnsi"/>
                          <w:i w:val="0"/>
                          <w:spacing w:val="12"/>
                          <w:sz w:val="28"/>
                        </w:rPr>
                        <w:t xml:space="preserve">Приложение към </w:t>
                      </w:r>
                      <w:r w:rsidRPr="00777E5B">
                        <w:rPr>
                          <w:rStyle w:val="af6"/>
                          <w:rFonts w:asciiTheme="minorHAnsi" w:hAnsiTheme="minorHAnsi" w:cstheme="minorHAnsi"/>
                          <w:i w:val="0"/>
                          <w:spacing w:val="12"/>
                          <w:sz w:val="28"/>
                        </w:rPr>
                        <w:t>т. 4</w:t>
                      </w:r>
                    </w:p>
                  </w:txbxContent>
                </v:textbox>
                <w10:wrap type="square" anchorx="margin" anchory="margin"/>
              </v:shape>
            </w:pict>
          </mc:Fallback>
        </mc:AlternateContent>
      </w:r>
      <w:r w:rsidR="00CE4BD1" w:rsidRPr="008200BE">
        <w:rPr>
          <w:noProof/>
        </w:rPr>
        <mc:AlternateContent>
          <mc:Choice Requires="wps">
            <w:drawing>
              <wp:anchor distT="0" distB="0" distL="114300" distR="114300" simplePos="0" relativeHeight="251661312" behindDoc="0" locked="0" layoutInCell="1" allowOverlap="1" wp14:anchorId="06201357" wp14:editId="17929B3E">
                <wp:simplePos x="0" y="0"/>
                <wp:positionH relativeFrom="column">
                  <wp:posOffset>-1009650</wp:posOffset>
                </wp:positionH>
                <wp:positionV relativeFrom="paragraph">
                  <wp:posOffset>3156476</wp:posOffset>
                </wp:positionV>
                <wp:extent cx="7669530" cy="6350"/>
                <wp:effectExtent l="0" t="0" r="26670" b="31750"/>
                <wp:wrapNone/>
                <wp:docPr id="16" name="Straight Connector 16"/>
                <wp:cNvGraphicFramePr/>
                <a:graphic xmlns:a="http://schemas.openxmlformats.org/drawingml/2006/main">
                  <a:graphicData uri="http://schemas.microsoft.com/office/word/2010/wordprocessingShape">
                    <wps:wsp>
                      <wps:cNvCnPr/>
                      <wps:spPr>
                        <a:xfrm>
                          <a:off x="0" y="0"/>
                          <a:ext cx="7669530" cy="6350"/>
                        </a:xfrm>
                        <a:prstGeom prst="line">
                          <a:avLst/>
                        </a:prstGeom>
                        <a:ln w="952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FB4C9" id="Straight Connector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248.55pt" to="524.4pt,2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" strokecolor="#b32c16 [3206]"/>
            </w:pict>
          </mc:Fallback>
        </mc:AlternateContent>
      </w:r>
      <w:r w:rsidR="00CE4BD1" w:rsidRPr="008200BE">
        <w:rPr>
          <w:noProof/>
        </w:rPr>
        <mc:AlternateContent>
          <mc:Choice Requires="wps">
            <w:drawing>
              <wp:anchor distT="0" distB="0" distL="114300" distR="114300" simplePos="0" relativeHeight="251651072" behindDoc="0" locked="0" layoutInCell="1" allowOverlap="1" wp14:anchorId="6E5A5A8F" wp14:editId="1B511344">
                <wp:simplePos x="0" y="0"/>
                <wp:positionH relativeFrom="margin">
                  <wp:posOffset>4108664</wp:posOffset>
                </wp:positionH>
                <wp:positionV relativeFrom="paragraph">
                  <wp:posOffset>-531495</wp:posOffset>
                </wp:positionV>
                <wp:extent cx="1898650" cy="521970"/>
                <wp:effectExtent l="0" t="0" r="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0" cy="521970"/>
                        </a:xfrm>
                        <a:prstGeom prst="rect">
                          <a:avLst/>
                        </a:prstGeom>
                        <a:noFill/>
                        <a:ln w="6350">
                          <a:noFill/>
                        </a:ln>
                        <a:effectLst/>
                      </wps:spPr>
                      <wps:txbx>
                        <w:txbxContent>
                          <w:p w14:paraId="24BC16D5" w14:textId="77777777" w:rsidR="00553764" w:rsidRPr="005D5F9E" w:rsidRDefault="00553764" w:rsidP="00850F48">
                            <w:pPr>
                              <w:jc w:val="right"/>
                              <w:rPr>
                                <w:b/>
                                <w:color w:val="852010" w:themeColor="accent3" w:themeShade="B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5A8F" id="_x0000_s1027" type="#_x0000_t202" style="position:absolute;left:0;text-align:left;margin-left:323.5pt;margin-top:-41.85pt;width:149.5pt;height:41.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" filled="f" stroked="f" strokeweight=".5pt">
                <v:textbox>
                  <w:txbxContent>
                    <w:p w14:paraId="24BC16D5" w14:textId="77777777" w:rsidR="00553764" w:rsidRPr="005D5F9E" w:rsidRDefault="00553764" w:rsidP="00850F48">
                      <w:pPr>
                        <w:jc w:val="right"/>
                        <w:rPr>
                          <w:b/>
                          <w:color w:val="852010" w:themeColor="accent3" w:themeShade="BF"/>
                          <w:sz w:val="48"/>
                          <w:szCs w:val="48"/>
                        </w:rPr>
                      </w:pPr>
                    </w:p>
                  </w:txbxContent>
                </v:textbox>
                <w10:wrap anchorx="margin"/>
              </v:shape>
            </w:pict>
          </mc:Fallback>
        </mc:AlternateContent>
      </w:r>
      <w:r w:rsidR="00CE4BD1" w:rsidRPr="008200BE">
        <w:rPr>
          <w:noProof/>
        </w:rPr>
        <mc:AlternateContent>
          <mc:Choice Requires="wps">
            <w:drawing>
              <wp:anchor distT="0" distB="0" distL="114300" distR="114300" simplePos="0" relativeHeight="251658240" behindDoc="1" locked="0" layoutInCell="1" allowOverlap="1" wp14:anchorId="105CE029" wp14:editId="5610512C">
                <wp:simplePos x="0" y="0"/>
                <wp:positionH relativeFrom="page">
                  <wp:posOffset>0</wp:posOffset>
                </wp:positionH>
                <wp:positionV relativeFrom="page">
                  <wp:posOffset>0</wp:posOffset>
                </wp:positionV>
                <wp:extent cx="7560000" cy="4068000"/>
                <wp:effectExtent l="0" t="0" r="3175" b="8890"/>
                <wp:wrapNone/>
                <wp:docPr id="5" name="Rectangle 5"/>
                <wp:cNvGraphicFramePr/>
                <a:graphic xmlns:a="http://schemas.openxmlformats.org/drawingml/2006/main">
                  <a:graphicData uri="http://schemas.microsoft.com/office/word/2010/wordprocessingShape">
                    <wps:wsp>
                      <wps:cNvSpPr/>
                      <wps:spPr>
                        <a:xfrm>
                          <a:off x="0" y="0"/>
                          <a:ext cx="7560000" cy="40680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D850E" id="Rectangle 5" o:spid="_x0000_s1026" style="position:absolute;margin-left:0;margin-top:0;width:595.3pt;height:32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" fillcolor="#f8cec7 [662]" stroked="f" strokeweight="2pt">
                <w10:wrap anchorx="page" anchory="page"/>
              </v:rect>
            </w:pict>
          </mc:Fallback>
        </mc:AlternateContent>
      </w:r>
      <w:r w:rsidR="00850F48" w:rsidRPr="008200BE">
        <w:rPr>
          <w:noProof/>
        </w:rPr>
        <mc:AlternateContent>
          <mc:Choice Requires="wps">
            <w:drawing>
              <wp:anchor distT="0" distB="0" distL="114300" distR="114300" simplePos="0" relativeHeight="251654144" behindDoc="0" locked="0" layoutInCell="1" allowOverlap="1" wp14:anchorId="4B06DB60" wp14:editId="611ADC45">
                <wp:simplePos x="0" y="0"/>
                <wp:positionH relativeFrom="margin">
                  <wp:align>left</wp:align>
                </wp:positionH>
                <wp:positionV relativeFrom="margin">
                  <wp:align>bottom</wp:align>
                </wp:positionV>
                <wp:extent cx="3559175" cy="318770"/>
                <wp:effectExtent l="0" t="0" r="0" b="5080"/>
                <wp:wrapSquare wrapText="bothSides"/>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9175" cy="318770"/>
                        </a:xfrm>
                        <a:prstGeom prst="rect">
                          <a:avLst/>
                        </a:prstGeom>
                        <a:noFill/>
                        <a:ln w="6350">
                          <a:noFill/>
                        </a:ln>
                        <a:effectLst/>
                      </wps:spPr>
                      <wps:txbx>
                        <w:txbxContent>
                          <w:p w14:paraId="380D0BDE" w14:textId="77777777" w:rsidR="00553764" w:rsidRPr="00370580" w:rsidRDefault="00553764" w:rsidP="00FF53AB">
                            <w:pPr>
                              <w:spacing w:after="0"/>
                              <w:rPr>
                                <w:iCs/>
                                <w:sz w:val="28"/>
                                <w:szCs w:val="28"/>
                                <w:lang w:eastAsia="en-GB"/>
                              </w:rPr>
                            </w:pPr>
                            <w:r>
                              <w:rPr>
                                <w:bCs/>
                                <w:iCs/>
                                <w:sz w:val="28"/>
                                <w:szCs w:val="28"/>
                                <w:lang w:eastAsia="en-GB"/>
                              </w:rPr>
                              <w:t>Декември</w:t>
                            </w:r>
                            <w:r w:rsidRPr="00821E98">
                              <w:rPr>
                                <w:bCs/>
                                <w:iCs/>
                                <w:sz w:val="28"/>
                                <w:szCs w:val="28"/>
                                <w:lang w:eastAsia="en-GB"/>
                              </w:rPr>
                              <w:t xml:space="preserve"> 2025 г.</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6DB60" id="_x0000_s1028" type="#_x0000_t202" style="position:absolute;left:0;text-align:left;margin-left:0;margin-top:0;width:280.25pt;height:25.1pt;z-index:25165414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" filled="f" stroked="f" strokeweight=".5pt">
                <v:textbox inset="0">
                  <w:txbxContent>
                    <w:p w14:paraId="380D0BDE" w14:textId="77777777" w:rsidR="00553764" w:rsidRPr="00370580" w:rsidRDefault="00553764" w:rsidP="00FF53AB">
                      <w:pPr>
                        <w:spacing w:after="0"/>
                        <w:rPr>
                          <w:iCs/>
                          <w:sz w:val="28"/>
                          <w:szCs w:val="28"/>
                          <w:lang w:eastAsia="en-GB"/>
                        </w:rPr>
                      </w:pPr>
                      <w:r>
                        <w:rPr>
                          <w:bCs/>
                          <w:iCs/>
                          <w:sz w:val="28"/>
                          <w:szCs w:val="28"/>
                          <w:lang w:eastAsia="en-GB"/>
                        </w:rPr>
                        <w:t>Декември</w:t>
                      </w:r>
                      <w:r w:rsidRPr="00821E98">
                        <w:rPr>
                          <w:bCs/>
                          <w:iCs/>
                          <w:sz w:val="28"/>
                          <w:szCs w:val="28"/>
                          <w:lang w:eastAsia="en-GB"/>
                        </w:rPr>
                        <w:t xml:space="preserve"> 2025 г.</w:t>
                      </w:r>
                    </w:p>
                  </w:txbxContent>
                </v:textbox>
                <w10:wrap type="square" anchorx="margin" anchory="margin"/>
              </v:shape>
            </w:pict>
          </mc:Fallback>
        </mc:AlternateContent>
      </w:r>
    </w:p>
    <w:p w14:paraId="7CDCF8F3" w14:textId="77777777" w:rsidR="00BC7ACC" w:rsidRPr="008200BE" w:rsidRDefault="00BC7ACC" w:rsidP="00BC7ACC">
      <w:pPr>
        <w:rPr>
          <w:lang w:eastAsia="ja-JP"/>
        </w:rPr>
      </w:pPr>
    </w:p>
    <w:p w14:paraId="44478D32" w14:textId="77777777" w:rsidR="00BC7ACC" w:rsidRPr="008200BE" w:rsidRDefault="00BC7ACC" w:rsidP="00BC7ACC">
      <w:pPr>
        <w:rPr>
          <w:lang w:eastAsia="ja-JP"/>
        </w:rPr>
      </w:pPr>
    </w:p>
    <w:p w14:paraId="08008804" w14:textId="77777777" w:rsidR="00BC7ACC" w:rsidRPr="008200BE" w:rsidRDefault="00BC7ACC" w:rsidP="00BC7ACC">
      <w:pPr>
        <w:rPr>
          <w:lang w:eastAsia="ja-JP"/>
        </w:rPr>
      </w:pPr>
    </w:p>
    <w:p w14:paraId="176EB48F" w14:textId="77777777" w:rsidR="00BC7ACC" w:rsidRPr="008200BE" w:rsidRDefault="003B5CB9" w:rsidP="00BC7ACC">
      <w:pPr>
        <w:rPr>
          <w:lang w:eastAsia="ja-JP"/>
        </w:rPr>
      </w:pPr>
      <w:r w:rsidRPr="008200BE">
        <w:rPr>
          <w:noProof/>
        </w:rPr>
        <mc:AlternateContent>
          <mc:Choice Requires="wps">
            <w:drawing>
              <wp:anchor distT="0" distB="0" distL="114300" distR="114300" simplePos="0" relativeHeight="251656192" behindDoc="0" locked="0" layoutInCell="1" allowOverlap="1" wp14:anchorId="5E814092" wp14:editId="1F970465">
                <wp:simplePos x="0" y="0"/>
                <wp:positionH relativeFrom="margin">
                  <wp:posOffset>-138430</wp:posOffset>
                </wp:positionH>
                <wp:positionV relativeFrom="page">
                  <wp:posOffset>2171700</wp:posOffset>
                </wp:positionV>
                <wp:extent cx="6077585" cy="1779270"/>
                <wp:effectExtent l="0" t="0" r="1841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77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8927" w14:textId="77777777" w:rsidR="00553764" w:rsidRPr="00CE4BD1" w:rsidRDefault="00553764" w:rsidP="003E3EC1">
                            <w:pPr>
                              <w:spacing w:after="0"/>
                              <w:jc w:val="center"/>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pPr>
                            <w:r w:rsidRPr="00AD73A7">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Актуализирана</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средносрочна бюджетна прогноза </w:t>
                            </w:r>
                            <w:r w:rsidRPr="0013465D">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br/>
                            </w:r>
                            <w:r>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за периода 2026-</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20</w:t>
                            </w:r>
                            <w:r>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t>28</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г.</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4092" id="Text Box 22" o:spid="_x0000_s1029" type="#_x0000_t202" style="position:absolute;left:0;text-align:left;margin-left:-10.9pt;margin-top:171pt;width:478.55pt;height:140.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" filled="f" stroked="f">
                <v:textbox inset="0,,0">
                  <w:txbxContent>
                    <w:p w14:paraId="2CD08927" w14:textId="77777777" w:rsidR="00553764" w:rsidRPr="00CE4BD1" w:rsidRDefault="00553764" w:rsidP="003E3EC1">
                      <w:pPr>
                        <w:spacing w:after="0"/>
                        <w:jc w:val="center"/>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pPr>
                      <w:r w:rsidRPr="00AD73A7">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Актуализирана</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средносрочна бюджетна прогноза </w:t>
                      </w:r>
                      <w:r w:rsidRPr="0013465D">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br/>
                      </w:r>
                      <w:r>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за периода 2026-</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20</w:t>
                      </w:r>
                      <w:r>
                        <w:rPr>
                          <w:rFonts w:asciiTheme="majorHAnsi" w:eastAsia="Calibri" w:hAnsiTheme="majorHAnsi" w:cstheme="majorHAnsi"/>
                          <w:sz w:val="64"/>
                          <w:szCs w:val="64"/>
                          <w:lang w:val="ru-RU" w:eastAsia="en-US"/>
                          <w14:shadow w14:blurRad="50800" w14:dist="38100" w14:dir="2700000" w14:sx="100000" w14:sy="100000" w14:kx="0" w14:ky="0" w14:algn="tl">
                            <w14:srgbClr w14:val="000000">
                              <w14:alpha w14:val="60000"/>
                            </w14:srgbClr>
                          </w14:shadow>
                        </w:rPr>
                        <w:t>28</w:t>
                      </w:r>
                      <w:r w:rsidRPr="0013465D">
                        <w:rPr>
                          <w:rFonts w:asciiTheme="majorHAnsi" w:eastAsia="Calibri" w:hAnsiTheme="majorHAnsi" w:cstheme="majorHAnsi"/>
                          <w:sz w:val="64"/>
                          <w:szCs w:val="64"/>
                          <w:lang w:eastAsia="en-US"/>
                          <w14:shadow w14:blurRad="50800" w14:dist="38100" w14:dir="2700000" w14:sx="100000" w14:sy="100000" w14:kx="0" w14:ky="0" w14:algn="tl">
                            <w14:srgbClr w14:val="000000">
                              <w14:alpha w14:val="60000"/>
                            </w14:srgbClr>
                          </w14:shadow>
                        </w:rPr>
                        <w:t xml:space="preserve"> г.</w:t>
                      </w:r>
                    </w:p>
                  </w:txbxContent>
                </v:textbox>
                <w10:wrap anchorx="margin" anchory="page"/>
              </v:shape>
            </w:pict>
          </mc:Fallback>
        </mc:AlternateContent>
      </w:r>
    </w:p>
    <w:p w14:paraId="0D1180C8" w14:textId="77777777" w:rsidR="00BC7ACC" w:rsidRPr="008200BE" w:rsidRDefault="00BC7ACC" w:rsidP="00BC7ACC">
      <w:pPr>
        <w:rPr>
          <w:lang w:eastAsia="ja-JP"/>
        </w:rPr>
      </w:pPr>
    </w:p>
    <w:p w14:paraId="73864049" w14:textId="77777777" w:rsidR="00BC7ACC" w:rsidRPr="008200BE" w:rsidRDefault="00BC7ACC" w:rsidP="00BC7ACC">
      <w:pPr>
        <w:rPr>
          <w:lang w:eastAsia="ja-JP"/>
        </w:rPr>
      </w:pPr>
    </w:p>
    <w:p w14:paraId="005D233D" w14:textId="77777777" w:rsidR="00BC7ACC" w:rsidRPr="008200BE" w:rsidRDefault="00BC7ACC" w:rsidP="00BC7ACC">
      <w:pPr>
        <w:rPr>
          <w:lang w:eastAsia="ja-JP"/>
        </w:rPr>
      </w:pPr>
    </w:p>
    <w:p w14:paraId="101D923C" w14:textId="77777777" w:rsidR="00BC7ACC" w:rsidRPr="008200BE" w:rsidRDefault="00BC7ACC" w:rsidP="00BC7ACC">
      <w:pPr>
        <w:rPr>
          <w:lang w:eastAsia="ja-JP"/>
        </w:rPr>
      </w:pPr>
    </w:p>
    <w:p w14:paraId="597FCEAE" w14:textId="77777777" w:rsidR="00BC7ACC" w:rsidRPr="008200BE" w:rsidRDefault="00BC7ACC" w:rsidP="00BC7ACC">
      <w:pPr>
        <w:rPr>
          <w:lang w:eastAsia="ja-JP"/>
        </w:rPr>
      </w:pPr>
    </w:p>
    <w:p w14:paraId="1728CAFA" w14:textId="77777777" w:rsidR="00BC7ACC" w:rsidRPr="008200BE" w:rsidRDefault="00BC7ACC" w:rsidP="00BC7ACC">
      <w:pPr>
        <w:rPr>
          <w:lang w:eastAsia="ja-JP"/>
        </w:rPr>
      </w:pPr>
    </w:p>
    <w:p w14:paraId="12FF95BD" w14:textId="77777777" w:rsidR="006A5D21" w:rsidRPr="008200BE" w:rsidRDefault="006A5D21" w:rsidP="00BC7ACC">
      <w:pPr>
        <w:spacing w:after="0"/>
        <w:jc w:val="left"/>
        <w:rPr>
          <w:iCs/>
          <w:sz w:val="36"/>
          <w:szCs w:val="36"/>
          <w:lang w:eastAsia="en-GB"/>
        </w:rPr>
      </w:pPr>
      <w:r w:rsidRPr="008200BE">
        <w:rPr>
          <w:iCs/>
          <w:noProof/>
          <w:sz w:val="36"/>
          <w:szCs w:val="36"/>
        </w:rPr>
        <mc:AlternateContent>
          <mc:Choice Requires="wps">
            <w:drawing>
              <wp:anchor distT="0" distB="0" distL="114300" distR="114300" simplePos="0" relativeHeight="251665408" behindDoc="0" locked="0" layoutInCell="1" allowOverlap="1" wp14:anchorId="7F906AFB" wp14:editId="62652CA5">
                <wp:simplePos x="0" y="0"/>
                <wp:positionH relativeFrom="column">
                  <wp:posOffset>-137133</wp:posOffset>
                </wp:positionH>
                <wp:positionV relativeFrom="paragraph">
                  <wp:posOffset>199860</wp:posOffset>
                </wp:positionV>
                <wp:extent cx="3227705" cy="937895"/>
                <wp:effectExtent l="0" t="0" r="10795" b="14605"/>
                <wp:wrapNone/>
                <wp:docPr id="701" name="Double Bracket 701"/>
                <wp:cNvGraphicFramePr/>
                <a:graphic xmlns:a="http://schemas.openxmlformats.org/drawingml/2006/main">
                  <a:graphicData uri="http://schemas.microsoft.com/office/word/2010/wordprocessingShape">
                    <wps:wsp>
                      <wps:cNvSpPr/>
                      <wps:spPr>
                        <a:xfrm>
                          <a:off x="0" y="0"/>
                          <a:ext cx="3227705" cy="93789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25EA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01" o:spid="_x0000_s1026" type="#_x0000_t185" style="position:absolute;margin-left:-10.8pt;margin-top:15.75pt;width:254.15pt;height:7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" strokecolor="black [3213]"/>
            </w:pict>
          </mc:Fallback>
        </mc:AlternateContent>
      </w:r>
    </w:p>
    <w:p w14:paraId="722040FC" w14:textId="77777777" w:rsidR="00BC7ACC" w:rsidRPr="005D5F9E" w:rsidRDefault="00BC7ACC" w:rsidP="00BC7ACC">
      <w:pPr>
        <w:spacing w:after="0"/>
        <w:jc w:val="left"/>
        <w:rPr>
          <w:iCs/>
          <w:sz w:val="36"/>
          <w:szCs w:val="36"/>
          <w:lang w:eastAsia="en-GB"/>
        </w:rPr>
      </w:pPr>
      <w:r w:rsidRPr="005D5F9E">
        <w:rPr>
          <w:iCs/>
          <w:sz w:val="36"/>
          <w:szCs w:val="36"/>
          <w:lang w:eastAsia="en-GB"/>
        </w:rPr>
        <w:t xml:space="preserve">Мотиви към законопроекта за </w:t>
      </w:r>
    </w:p>
    <w:p w14:paraId="5A69EEC5" w14:textId="77777777" w:rsidR="00BC7ACC" w:rsidRPr="005D5F9E" w:rsidRDefault="00BC7ACC" w:rsidP="00BC7ACC">
      <w:pPr>
        <w:spacing w:after="0"/>
        <w:jc w:val="left"/>
        <w:rPr>
          <w:iCs/>
          <w:sz w:val="36"/>
          <w:szCs w:val="36"/>
          <w:lang w:eastAsia="en-GB"/>
        </w:rPr>
      </w:pPr>
      <w:r w:rsidRPr="005D5F9E">
        <w:rPr>
          <w:iCs/>
          <w:sz w:val="36"/>
          <w:szCs w:val="36"/>
          <w:lang w:eastAsia="en-GB"/>
        </w:rPr>
        <w:t xml:space="preserve">държавния бюджет на </w:t>
      </w:r>
    </w:p>
    <w:p w14:paraId="2CF9D2B6" w14:textId="77777777" w:rsidR="00BC7ACC" w:rsidRPr="005D5F9E" w:rsidRDefault="00A21A00" w:rsidP="00BC7ACC">
      <w:pPr>
        <w:spacing w:after="0"/>
        <w:jc w:val="left"/>
        <w:rPr>
          <w:iCs/>
          <w:sz w:val="36"/>
          <w:szCs w:val="36"/>
          <w:lang w:eastAsia="en-GB"/>
        </w:rPr>
      </w:pPr>
      <w:r>
        <w:rPr>
          <w:iCs/>
          <w:sz w:val="36"/>
          <w:szCs w:val="36"/>
          <w:lang w:eastAsia="en-GB"/>
        </w:rPr>
        <w:t>Република България за 2026</w:t>
      </w:r>
      <w:r w:rsidR="00BC7ACC" w:rsidRPr="005D5F9E">
        <w:rPr>
          <w:iCs/>
          <w:sz w:val="36"/>
          <w:szCs w:val="36"/>
          <w:lang w:eastAsia="en-GB"/>
        </w:rPr>
        <w:t xml:space="preserve"> г.</w:t>
      </w:r>
    </w:p>
    <w:p w14:paraId="07154D1D" w14:textId="77777777" w:rsidR="00BC7ACC" w:rsidRPr="008200BE" w:rsidRDefault="00BC7ACC" w:rsidP="00BC7ACC">
      <w:pPr>
        <w:ind w:firstLine="709"/>
        <w:rPr>
          <w:lang w:eastAsia="ja-JP"/>
        </w:rPr>
      </w:pPr>
    </w:p>
    <w:p w14:paraId="573BFF77" w14:textId="77777777" w:rsidR="00BC7ACC" w:rsidRPr="008200BE" w:rsidRDefault="00BC7ACC" w:rsidP="00BC7ACC">
      <w:pPr>
        <w:ind w:firstLine="709"/>
        <w:rPr>
          <w:lang w:eastAsia="ja-JP"/>
        </w:rPr>
      </w:pPr>
    </w:p>
    <w:p w14:paraId="33C45F55" w14:textId="77777777" w:rsidR="00BC7ACC" w:rsidRPr="008200BE" w:rsidRDefault="00BC7ACC" w:rsidP="00BC7ACC">
      <w:pPr>
        <w:ind w:firstLine="709"/>
        <w:rPr>
          <w:lang w:eastAsia="ja-JP"/>
        </w:rPr>
      </w:pPr>
    </w:p>
    <w:p w14:paraId="0F8A1753" w14:textId="77777777" w:rsidR="00BC7ACC" w:rsidRPr="008200BE" w:rsidRDefault="00BC7ACC" w:rsidP="00BC7ACC">
      <w:pPr>
        <w:ind w:firstLine="709"/>
        <w:rPr>
          <w:lang w:eastAsia="ja-JP"/>
        </w:rPr>
      </w:pPr>
    </w:p>
    <w:p w14:paraId="3FAD7DA8" w14:textId="77777777" w:rsidR="00DA6DB3" w:rsidRDefault="00DA6DB3" w:rsidP="00BC7ACC">
      <w:pPr>
        <w:ind w:firstLine="709"/>
        <w:rPr>
          <w:lang w:eastAsia="ja-JP"/>
        </w:rPr>
        <w:sectPr w:rsidR="00DA6DB3" w:rsidSect="002D7CED">
          <w:headerReference w:type="even" r:id="rId9"/>
          <w:type w:val="oddPage"/>
          <w:pgSz w:w="11906" w:h="16838" w:code="9"/>
          <w:pgMar w:top="1418" w:right="1418" w:bottom="851" w:left="1418" w:header="708" w:footer="708" w:gutter="0"/>
          <w:cols w:space="708"/>
          <w:docGrid w:linePitch="360"/>
        </w:sectPr>
      </w:pPr>
    </w:p>
    <w:p w14:paraId="7DBA59D7" w14:textId="77777777" w:rsidR="00CF21EB" w:rsidRPr="008200BE" w:rsidRDefault="00AF006E" w:rsidP="002A7C29">
      <w:pPr>
        <w:spacing w:after="240"/>
        <w:rPr>
          <w:spacing w:val="12"/>
          <w:sz w:val="32"/>
        </w:rPr>
      </w:pPr>
      <w:bookmarkStart w:id="7" w:name="_Toc464737527"/>
      <w:bookmarkStart w:id="8" w:name="_Toc464746957"/>
      <w:bookmarkStart w:id="9" w:name="_Toc465070434"/>
      <w:bookmarkStart w:id="10" w:name="_Toc465176562"/>
      <w:bookmarkStart w:id="11" w:name="_Toc465177066"/>
      <w:bookmarkStart w:id="12" w:name="_Toc465177879"/>
      <w:bookmarkStart w:id="13" w:name="_Toc465177987"/>
      <w:bookmarkStart w:id="14" w:name="_Toc465178095"/>
      <w:bookmarkEnd w:id="0"/>
      <w:bookmarkEnd w:id="1"/>
      <w:bookmarkEnd w:id="2"/>
      <w:bookmarkEnd w:id="3"/>
      <w:r w:rsidRPr="008200BE">
        <w:rPr>
          <w:spacing w:val="12"/>
          <w:sz w:val="32"/>
        </w:rPr>
        <w:lastRenderedPageBreak/>
        <w:t>Съдържание</w:t>
      </w:r>
      <w:bookmarkEnd w:id="7"/>
      <w:bookmarkEnd w:id="8"/>
      <w:bookmarkEnd w:id="9"/>
      <w:bookmarkEnd w:id="10"/>
      <w:bookmarkEnd w:id="11"/>
      <w:bookmarkEnd w:id="12"/>
      <w:bookmarkEnd w:id="13"/>
      <w:bookmarkEnd w:id="14"/>
    </w:p>
    <w:p w14:paraId="711575B4" w14:textId="77777777" w:rsidR="005B6754" w:rsidRPr="008200BE" w:rsidRDefault="005B6754" w:rsidP="002A7C29">
      <w:pPr>
        <w:spacing w:after="240"/>
        <w:rPr>
          <w:spacing w:val="12"/>
          <w:sz w:val="32"/>
        </w:rPr>
      </w:pPr>
    </w:p>
    <w:p w14:paraId="5F516A1B" w14:textId="77777777" w:rsidR="00260538" w:rsidRDefault="00E269CB">
      <w:pPr>
        <w:pStyle w:val="TOC1"/>
        <w:rPr>
          <w:rFonts w:asciiTheme="minorHAnsi" w:hAnsiTheme="minorHAnsi"/>
          <w:b w:val="0"/>
          <w:color w:val="auto"/>
        </w:rPr>
      </w:pPr>
      <w:r w:rsidRPr="008200BE">
        <w:rPr>
          <w:w w:val="90"/>
          <w:lang w:eastAsia="zh-CN"/>
        </w:rPr>
        <w:fldChar w:fldCharType="begin"/>
      </w:r>
      <w:r w:rsidRPr="008200BE">
        <w:rPr>
          <w:w w:val="90"/>
          <w:lang w:eastAsia="zh-CN"/>
        </w:rPr>
        <w:instrText xml:space="preserve"> TOC \o "1-2" \h \z \u </w:instrText>
      </w:r>
      <w:r w:rsidRPr="008200BE">
        <w:rPr>
          <w:w w:val="90"/>
          <w:lang w:eastAsia="zh-CN"/>
        </w:rPr>
        <w:fldChar w:fldCharType="separate"/>
      </w:r>
      <w:hyperlink w:anchor="_Toc216029341" w:history="1">
        <w:r w:rsidR="00260538" w:rsidRPr="004F275B">
          <w:rPr>
            <w:rStyle w:val="Hyperlink"/>
          </w:rPr>
          <w:t>Въведение</w:t>
        </w:r>
        <w:r w:rsidR="00260538">
          <w:rPr>
            <w:webHidden/>
          </w:rPr>
          <w:tab/>
        </w:r>
        <w:r w:rsidR="00260538">
          <w:rPr>
            <w:webHidden/>
          </w:rPr>
          <w:fldChar w:fldCharType="begin"/>
        </w:r>
        <w:r w:rsidR="00260538">
          <w:rPr>
            <w:webHidden/>
          </w:rPr>
          <w:instrText xml:space="preserve"> PAGEREF _Toc216029341 \h </w:instrText>
        </w:r>
        <w:r w:rsidR="00260538">
          <w:rPr>
            <w:webHidden/>
          </w:rPr>
        </w:r>
        <w:r w:rsidR="00260538">
          <w:rPr>
            <w:webHidden/>
          </w:rPr>
          <w:fldChar w:fldCharType="separate"/>
        </w:r>
        <w:r w:rsidR="00260538">
          <w:rPr>
            <w:webHidden/>
          </w:rPr>
          <w:t>5</w:t>
        </w:r>
        <w:r w:rsidR="00260538">
          <w:rPr>
            <w:webHidden/>
          </w:rPr>
          <w:fldChar w:fldCharType="end"/>
        </w:r>
      </w:hyperlink>
    </w:p>
    <w:p w14:paraId="5160876B" w14:textId="77777777" w:rsidR="00260538" w:rsidRDefault="006106A9">
      <w:pPr>
        <w:pStyle w:val="TOC1"/>
        <w:rPr>
          <w:rFonts w:asciiTheme="minorHAnsi" w:hAnsiTheme="minorHAnsi"/>
          <w:b w:val="0"/>
          <w:color w:val="auto"/>
        </w:rPr>
      </w:pPr>
      <w:hyperlink w:anchor="_Toc216029342" w:history="1">
        <w:r w:rsidR="00260538" w:rsidRPr="004F275B">
          <w:rPr>
            <w:rStyle w:val="Hyperlink"/>
          </w:rPr>
          <w:t>Част I.  Икономически перспективи за  периода 2025-2028 г.</w:t>
        </w:r>
        <w:r w:rsidR="00260538">
          <w:rPr>
            <w:webHidden/>
          </w:rPr>
          <w:tab/>
        </w:r>
        <w:r w:rsidR="00260538">
          <w:rPr>
            <w:webHidden/>
          </w:rPr>
          <w:fldChar w:fldCharType="begin"/>
        </w:r>
        <w:r w:rsidR="00260538">
          <w:rPr>
            <w:webHidden/>
          </w:rPr>
          <w:instrText xml:space="preserve"> PAGEREF _Toc216029342 \h </w:instrText>
        </w:r>
        <w:r w:rsidR="00260538">
          <w:rPr>
            <w:webHidden/>
          </w:rPr>
        </w:r>
        <w:r w:rsidR="00260538">
          <w:rPr>
            <w:webHidden/>
          </w:rPr>
          <w:fldChar w:fldCharType="separate"/>
        </w:r>
        <w:r w:rsidR="00260538">
          <w:rPr>
            <w:webHidden/>
          </w:rPr>
          <w:t>11</w:t>
        </w:r>
        <w:r w:rsidR="00260538">
          <w:rPr>
            <w:webHidden/>
          </w:rPr>
          <w:fldChar w:fldCharType="end"/>
        </w:r>
      </w:hyperlink>
    </w:p>
    <w:p w14:paraId="7F37E624" w14:textId="77777777" w:rsidR="00260538" w:rsidRDefault="006106A9">
      <w:pPr>
        <w:pStyle w:val="TOC2"/>
        <w:tabs>
          <w:tab w:val="left" w:pos="687"/>
        </w:tabs>
        <w:rPr>
          <w:rFonts w:asciiTheme="minorHAnsi" w:hAnsiTheme="minorHAnsi"/>
          <w:bCs w:val="0"/>
          <w:caps w:val="0"/>
          <w:sz w:val="22"/>
          <w:lang w:val="bg-BG"/>
        </w:rPr>
      </w:pPr>
      <w:hyperlink w:anchor="_Toc216029343" w:history="1">
        <w:r w:rsidR="00260538" w:rsidRPr="004F275B">
          <w:rPr>
            <w:rStyle w:val="Hyperlink"/>
          </w:rPr>
          <w:t>1.</w:t>
        </w:r>
        <w:r w:rsidR="00260538">
          <w:rPr>
            <w:rFonts w:asciiTheme="minorHAnsi" w:hAnsiTheme="minorHAnsi"/>
            <w:bCs w:val="0"/>
            <w:caps w:val="0"/>
            <w:sz w:val="22"/>
            <w:lang w:val="bg-BG"/>
          </w:rPr>
          <w:tab/>
        </w:r>
        <w:r w:rsidR="00260538" w:rsidRPr="004F275B">
          <w:rPr>
            <w:rStyle w:val="Hyperlink"/>
          </w:rPr>
          <w:t>Преглед на развитието на световната и европейската икономика</w:t>
        </w:r>
        <w:r w:rsidR="00260538">
          <w:rPr>
            <w:webHidden/>
          </w:rPr>
          <w:tab/>
        </w:r>
        <w:r w:rsidR="00260538">
          <w:rPr>
            <w:webHidden/>
          </w:rPr>
          <w:fldChar w:fldCharType="begin"/>
        </w:r>
        <w:r w:rsidR="00260538">
          <w:rPr>
            <w:webHidden/>
          </w:rPr>
          <w:instrText xml:space="preserve"> PAGEREF _Toc216029343 \h </w:instrText>
        </w:r>
        <w:r w:rsidR="00260538">
          <w:rPr>
            <w:webHidden/>
          </w:rPr>
        </w:r>
        <w:r w:rsidR="00260538">
          <w:rPr>
            <w:webHidden/>
          </w:rPr>
          <w:fldChar w:fldCharType="separate"/>
        </w:r>
        <w:r w:rsidR="00260538">
          <w:rPr>
            <w:webHidden/>
          </w:rPr>
          <w:t>11</w:t>
        </w:r>
        <w:r w:rsidR="00260538">
          <w:rPr>
            <w:webHidden/>
          </w:rPr>
          <w:fldChar w:fldCharType="end"/>
        </w:r>
      </w:hyperlink>
    </w:p>
    <w:p w14:paraId="1E84DDDA" w14:textId="77777777" w:rsidR="00260538" w:rsidRDefault="006106A9">
      <w:pPr>
        <w:pStyle w:val="TOC2"/>
        <w:tabs>
          <w:tab w:val="left" w:pos="687"/>
        </w:tabs>
        <w:rPr>
          <w:rFonts w:asciiTheme="minorHAnsi" w:hAnsiTheme="minorHAnsi"/>
          <w:bCs w:val="0"/>
          <w:caps w:val="0"/>
          <w:sz w:val="22"/>
          <w:lang w:val="bg-BG"/>
        </w:rPr>
      </w:pPr>
      <w:hyperlink w:anchor="_Toc216029344" w:history="1">
        <w:r w:rsidR="00260538" w:rsidRPr="004F275B">
          <w:rPr>
            <w:rStyle w:val="Hyperlink"/>
          </w:rPr>
          <w:t>2.</w:t>
        </w:r>
        <w:r w:rsidR="00260538">
          <w:rPr>
            <w:rFonts w:asciiTheme="minorHAnsi" w:hAnsiTheme="minorHAnsi"/>
            <w:bCs w:val="0"/>
            <w:caps w:val="0"/>
            <w:sz w:val="22"/>
            <w:lang w:val="bg-BG"/>
          </w:rPr>
          <w:tab/>
        </w:r>
        <w:r w:rsidR="00260538" w:rsidRPr="004F275B">
          <w:rPr>
            <w:rStyle w:val="Hyperlink"/>
          </w:rPr>
          <w:t>Преглед на развитието на националната икономика</w:t>
        </w:r>
        <w:r w:rsidR="00260538">
          <w:rPr>
            <w:webHidden/>
          </w:rPr>
          <w:tab/>
        </w:r>
        <w:r w:rsidR="00260538">
          <w:rPr>
            <w:webHidden/>
          </w:rPr>
          <w:fldChar w:fldCharType="begin"/>
        </w:r>
        <w:r w:rsidR="00260538">
          <w:rPr>
            <w:webHidden/>
          </w:rPr>
          <w:instrText xml:space="preserve"> PAGEREF _Toc216029344 \h </w:instrText>
        </w:r>
        <w:r w:rsidR="00260538">
          <w:rPr>
            <w:webHidden/>
          </w:rPr>
        </w:r>
        <w:r w:rsidR="00260538">
          <w:rPr>
            <w:webHidden/>
          </w:rPr>
          <w:fldChar w:fldCharType="separate"/>
        </w:r>
        <w:r w:rsidR="00260538">
          <w:rPr>
            <w:webHidden/>
          </w:rPr>
          <w:t>11</w:t>
        </w:r>
        <w:r w:rsidR="00260538">
          <w:rPr>
            <w:webHidden/>
          </w:rPr>
          <w:fldChar w:fldCharType="end"/>
        </w:r>
      </w:hyperlink>
    </w:p>
    <w:p w14:paraId="6A3FC7E3" w14:textId="77777777" w:rsidR="00260538" w:rsidRDefault="006106A9">
      <w:pPr>
        <w:pStyle w:val="TOC2"/>
        <w:tabs>
          <w:tab w:val="left" w:pos="687"/>
        </w:tabs>
        <w:rPr>
          <w:rFonts w:asciiTheme="minorHAnsi" w:hAnsiTheme="minorHAnsi"/>
          <w:bCs w:val="0"/>
          <w:caps w:val="0"/>
          <w:sz w:val="22"/>
          <w:lang w:val="bg-BG"/>
        </w:rPr>
      </w:pPr>
      <w:hyperlink w:anchor="_Toc216029345" w:history="1">
        <w:r w:rsidR="00260538" w:rsidRPr="004F275B">
          <w:rPr>
            <w:rStyle w:val="Hyperlink"/>
          </w:rPr>
          <w:t>3.</w:t>
        </w:r>
        <w:r w:rsidR="00260538">
          <w:rPr>
            <w:rFonts w:asciiTheme="minorHAnsi" w:hAnsiTheme="minorHAnsi"/>
            <w:bCs w:val="0"/>
            <w:caps w:val="0"/>
            <w:sz w:val="22"/>
            <w:lang w:val="bg-BG"/>
          </w:rPr>
          <w:tab/>
        </w:r>
        <w:r w:rsidR="00260538" w:rsidRPr="004F275B">
          <w:rPr>
            <w:rStyle w:val="Hyperlink"/>
          </w:rPr>
          <w:t>Основни допускания, на които се основава прогнозата и макроикономическата рамка за периода 2025-2028 г.</w:t>
        </w:r>
        <w:r w:rsidR="00260538">
          <w:rPr>
            <w:webHidden/>
          </w:rPr>
          <w:tab/>
        </w:r>
        <w:r w:rsidR="00260538">
          <w:rPr>
            <w:webHidden/>
          </w:rPr>
          <w:fldChar w:fldCharType="begin"/>
        </w:r>
        <w:r w:rsidR="00260538">
          <w:rPr>
            <w:webHidden/>
          </w:rPr>
          <w:instrText xml:space="preserve"> PAGEREF _Toc216029345 \h </w:instrText>
        </w:r>
        <w:r w:rsidR="00260538">
          <w:rPr>
            <w:webHidden/>
          </w:rPr>
        </w:r>
        <w:r w:rsidR="00260538">
          <w:rPr>
            <w:webHidden/>
          </w:rPr>
          <w:fldChar w:fldCharType="separate"/>
        </w:r>
        <w:r w:rsidR="00260538">
          <w:rPr>
            <w:webHidden/>
          </w:rPr>
          <w:t>13</w:t>
        </w:r>
        <w:r w:rsidR="00260538">
          <w:rPr>
            <w:webHidden/>
          </w:rPr>
          <w:fldChar w:fldCharType="end"/>
        </w:r>
      </w:hyperlink>
    </w:p>
    <w:p w14:paraId="2BE44B8C" w14:textId="77777777" w:rsidR="00260538" w:rsidRDefault="006106A9">
      <w:pPr>
        <w:pStyle w:val="TOC2"/>
        <w:tabs>
          <w:tab w:val="left" w:pos="687"/>
        </w:tabs>
        <w:rPr>
          <w:rFonts w:asciiTheme="minorHAnsi" w:hAnsiTheme="minorHAnsi"/>
          <w:bCs w:val="0"/>
          <w:caps w:val="0"/>
          <w:sz w:val="22"/>
          <w:lang w:val="bg-BG"/>
        </w:rPr>
      </w:pPr>
      <w:hyperlink w:anchor="_Toc216029346" w:history="1">
        <w:r w:rsidR="00260538" w:rsidRPr="004F275B">
          <w:rPr>
            <w:rStyle w:val="Hyperlink"/>
          </w:rPr>
          <w:t>4.</w:t>
        </w:r>
        <w:r w:rsidR="00260538">
          <w:rPr>
            <w:rFonts w:asciiTheme="minorHAnsi" w:hAnsiTheme="minorHAnsi"/>
            <w:bCs w:val="0"/>
            <w:caps w:val="0"/>
            <w:sz w:val="22"/>
            <w:lang w:val="bg-BG"/>
          </w:rPr>
          <w:tab/>
        </w:r>
        <w:r w:rsidR="00260538" w:rsidRPr="004F275B">
          <w:rPr>
            <w:rStyle w:val="Hyperlink"/>
          </w:rPr>
          <w:t>Макроикономическа прогноза за периода 2025-2028 г.</w:t>
        </w:r>
        <w:r w:rsidR="00260538">
          <w:rPr>
            <w:webHidden/>
          </w:rPr>
          <w:tab/>
        </w:r>
        <w:r w:rsidR="00260538">
          <w:rPr>
            <w:webHidden/>
          </w:rPr>
          <w:fldChar w:fldCharType="begin"/>
        </w:r>
        <w:r w:rsidR="00260538">
          <w:rPr>
            <w:webHidden/>
          </w:rPr>
          <w:instrText xml:space="preserve"> PAGEREF _Toc216029346 \h </w:instrText>
        </w:r>
        <w:r w:rsidR="00260538">
          <w:rPr>
            <w:webHidden/>
          </w:rPr>
        </w:r>
        <w:r w:rsidR="00260538">
          <w:rPr>
            <w:webHidden/>
          </w:rPr>
          <w:fldChar w:fldCharType="separate"/>
        </w:r>
        <w:r w:rsidR="00260538">
          <w:rPr>
            <w:webHidden/>
          </w:rPr>
          <w:t>15</w:t>
        </w:r>
        <w:r w:rsidR="00260538">
          <w:rPr>
            <w:webHidden/>
          </w:rPr>
          <w:fldChar w:fldCharType="end"/>
        </w:r>
      </w:hyperlink>
    </w:p>
    <w:p w14:paraId="70330BE7" w14:textId="77777777" w:rsidR="00260538" w:rsidRDefault="006106A9">
      <w:pPr>
        <w:pStyle w:val="TOC1"/>
        <w:rPr>
          <w:rFonts w:asciiTheme="minorHAnsi" w:hAnsiTheme="minorHAnsi"/>
          <w:b w:val="0"/>
          <w:color w:val="auto"/>
        </w:rPr>
      </w:pPr>
      <w:hyperlink w:anchor="_Toc216029347" w:history="1">
        <w:r w:rsidR="00260538" w:rsidRPr="004F275B">
          <w:rPr>
            <w:rStyle w:val="Hyperlink"/>
          </w:rPr>
          <w:t>Част II.  Фискална политика и основни параметри за периода 2026-2028 г.</w:t>
        </w:r>
        <w:r w:rsidR="00260538">
          <w:rPr>
            <w:webHidden/>
          </w:rPr>
          <w:tab/>
        </w:r>
        <w:r w:rsidR="00260538">
          <w:rPr>
            <w:webHidden/>
          </w:rPr>
          <w:fldChar w:fldCharType="begin"/>
        </w:r>
        <w:r w:rsidR="00260538">
          <w:rPr>
            <w:webHidden/>
          </w:rPr>
          <w:instrText xml:space="preserve"> PAGEREF _Toc216029347 \h </w:instrText>
        </w:r>
        <w:r w:rsidR="00260538">
          <w:rPr>
            <w:webHidden/>
          </w:rPr>
        </w:r>
        <w:r w:rsidR="00260538">
          <w:rPr>
            <w:webHidden/>
          </w:rPr>
          <w:fldChar w:fldCharType="separate"/>
        </w:r>
        <w:r w:rsidR="00260538">
          <w:rPr>
            <w:webHidden/>
          </w:rPr>
          <w:t>20</w:t>
        </w:r>
        <w:r w:rsidR="00260538">
          <w:rPr>
            <w:webHidden/>
          </w:rPr>
          <w:fldChar w:fldCharType="end"/>
        </w:r>
      </w:hyperlink>
    </w:p>
    <w:p w14:paraId="715C9925" w14:textId="77777777" w:rsidR="00260538" w:rsidRDefault="006106A9">
      <w:pPr>
        <w:pStyle w:val="TOC2"/>
        <w:tabs>
          <w:tab w:val="left" w:pos="687"/>
        </w:tabs>
        <w:rPr>
          <w:rFonts w:asciiTheme="minorHAnsi" w:hAnsiTheme="minorHAnsi"/>
          <w:bCs w:val="0"/>
          <w:caps w:val="0"/>
          <w:sz w:val="22"/>
          <w:lang w:val="bg-BG"/>
        </w:rPr>
      </w:pPr>
      <w:hyperlink w:anchor="_Toc216029348" w:history="1">
        <w:r w:rsidR="00260538" w:rsidRPr="004F275B">
          <w:rPr>
            <w:rStyle w:val="Hyperlink"/>
          </w:rPr>
          <w:t>1.</w:t>
        </w:r>
        <w:r w:rsidR="00260538">
          <w:rPr>
            <w:rFonts w:asciiTheme="minorHAnsi" w:hAnsiTheme="minorHAnsi"/>
            <w:bCs w:val="0"/>
            <w:caps w:val="0"/>
            <w:sz w:val="22"/>
            <w:lang w:val="bg-BG"/>
          </w:rPr>
          <w:tab/>
        </w:r>
        <w:r w:rsidR="00260538" w:rsidRPr="004F275B">
          <w:rPr>
            <w:rStyle w:val="Hyperlink"/>
          </w:rPr>
          <w:t>Средносрочни цели на фискалната политика</w:t>
        </w:r>
        <w:r w:rsidR="00260538">
          <w:rPr>
            <w:webHidden/>
          </w:rPr>
          <w:tab/>
        </w:r>
        <w:r w:rsidR="00260538">
          <w:rPr>
            <w:webHidden/>
          </w:rPr>
          <w:fldChar w:fldCharType="begin"/>
        </w:r>
        <w:r w:rsidR="00260538">
          <w:rPr>
            <w:webHidden/>
          </w:rPr>
          <w:instrText xml:space="preserve"> PAGEREF _Toc216029348 \h </w:instrText>
        </w:r>
        <w:r w:rsidR="00260538">
          <w:rPr>
            <w:webHidden/>
          </w:rPr>
        </w:r>
        <w:r w:rsidR="00260538">
          <w:rPr>
            <w:webHidden/>
          </w:rPr>
          <w:fldChar w:fldCharType="separate"/>
        </w:r>
        <w:r w:rsidR="00260538">
          <w:rPr>
            <w:webHidden/>
          </w:rPr>
          <w:t>20</w:t>
        </w:r>
        <w:r w:rsidR="00260538">
          <w:rPr>
            <w:webHidden/>
          </w:rPr>
          <w:fldChar w:fldCharType="end"/>
        </w:r>
      </w:hyperlink>
    </w:p>
    <w:p w14:paraId="086C26F1" w14:textId="77777777" w:rsidR="00260538" w:rsidRDefault="006106A9">
      <w:pPr>
        <w:pStyle w:val="TOC2"/>
        <w:tabs>
          <w:tab w:val="left" w:pos="687"/>
        </w:tabs>
        <w:rPr>
          <w:rFonts w:asciiTheme="minorHAnsi" w:hAnsiTheme="minorHAnsi"/>
          <w:bCs w:val="0"/>
          <w:caps w:val="0"/>
          <w:sz w:val="22"/>
          <w:lang w:val="bg-BG"/>
        </w:rPr>
      </w:pPr>
      <w:hyperlink w:anchor="_Toc216029349" w:history="1">
        <w:r w:rsidR="00260538" w:rsidRPr="004F275B">
          <w:rPr>
            <w:rStyle w:val="Hyperlink"/>
          </w:rPr>
          <w:t>2.</w:t>
        </w:r>
        <w:r w:rsidR="00260538">
          <w:rPr>
            <w:rFonts w:asciiTheme="minorHAnsi" w:hAnsiTheme="minorHAnsi"/>
            <w:bCs w:val="0"/>
            <w:caps w:val="0"/>
            <w:sz w:val="22"/>
            <w:lang w:val="bg-BG"/>
          </w:rPr>
          <w:tab/>
        </w:r>
        <w:r w:rsidR="00260538" w:rsidRPr="004F275B">
          <w:rPr>
            <w:rStyle w:val="Hyperlink"/>
          </w:rPr>
          <w:t>Основни фискални параметри за периода 2026-2028 г.</w:t>
        </w:r>
        <w:r w:rsidR="00260538">
          <w:rPr>
            <w:webHidden/>
          </w:rPr>
          <w:tab/>
        </w:r>
        <w:r w:rsidR="00260538">
          <w:rPr>
            <w:webHidden/>
          </w:rPr>
          <w:fldChar w:fldCharType="begin"/>
        </w:r>
        <w:r w:rsidR="00260538">
          <w:rPr>
            <w:webHidden/>
          </w:rPr>
          <w:instrText xml:space="preserve"> PAGEREF _Toc216029349 \h </w:instrText>
        </w:r>
        <w:r w:rsidR="00260538">
          <w:rPr>
            <w:webHidden/>
          </w:rPr>
        </w:r>
        <w:r w:rsidR="00260538">
          <w:rPr>
            <w:webHidden/>
          </w:rPr>
          <w:fldChar w:fldCharType="separate"/>
        </w:r>
        <w:r w:rsidR="00260538">
          <w:rPr>
            <w:webHidden/>
          </w:rPr>
          <w:t>21</w:t>
        </w:r>
        <w:r w:rsidR="00260538">
          <w:rPr>
            <w:webHidden/>
          </w:rPr>
          <w:fldChar w:fldCharType="end"/>
        </w:r>
      </w:hyperlink>
    </w:p>
    <w:p w14:paraId="381EA0D3" w14:textId="77777777" w:rsidR="00260538" w:rsidRDefault="006106A9">
      <w:pPr>
        <w:pStyle w:val="TOC2"/>
        <w:tabs>
          <w:tab w:val="left" w:pos="687"/>
        </w:tabs>
        <w:rPr>
          <w:rFonts w:asciiTheme="minorHAnsi" w:hAnsiTheme="minorHAnsi"/>
          <w:bCs w:val="0"/>
          <w:caps w:val="0"/>
          <w:sz w:val="22"/>
          <w:lang w:val="bg-BG"/>
        </w:rPr>
      </w:pPr>
      <w:hyperlink w:anchor="_Toc216029350" w:history="1">
        <w:r w:rsidR="00260538" w:rsidRPr="004F275B">
          <w:rPr>
            <w:rStyle w:val="Hyperlink"/>
          </w:rPr>
          <w:t>3.</w:t>
        </w:r>
        <w:r w:rsidR="00260538">
          <w:rPr>
            <w:rFonts w:asciiTheme="minorHAnsi" w:hAnsiTheme="minorHAnsi"/>
            <w:bCs w:val="0"/>
            <w:caps w:val="0"/>
            <w:sz w:val="22"/>
            <w:lang w:val="bg-BG"/>
          </w:rPr>
          <w:tab/>
        </w:r>
        <w:r w:rsidR="00260538" w:rsidRPr="004F275B">
          <w:rPr>
            <w:rStyle w:val="Hyperlink"/>
          </w:rPr>
          <w:t>Прогноза за сектор „Държавно управление“ за периода 2026-2028 г.</w:t>
        </w:r>
        <w:r w:rsidR="00260538">
          <w:rPr>
            <w:webHidden/>
          </w:rPr>
          <w:tab/>
        </w:r>
        <w:r w:rsidR="00260538">
          <w:rPr>
            <w:webHidden/>
          </w:rPr>
          <w:fldChar w:fldCharType="begin"/>
        </w:r>
        <w:r w:rsidR="00260538">
          <w:rPr>
            <w:webHidden/>
          </w:rPr>
          <w:instrText xml:space="preserve"> PAGEREF _Toc216029350 \h </w:instrText>
        </w:r>
        <w:r w:rsidR="00260538">
          <w:rPr>
            <w:webHidden/>
          </w:rPr>
        </w:r>
        <w:r w:rsidR="00260538">
          <w:rPr>
            <w:webHidden/>
          </w:rPr>
          <w:fldChar w:fldCharType="separate"/>
        </w:r>
        <w:r w:rsidR="00260538">
          <w:rPr>
            <w:webHidden/>
          </w:rPr>
          <w:t>23</w:t>
        </w:r>
        <w:r w:rsidR="00260538">
          <w:rPr>
            <w:webHidden/>
          </w:rPr>
          <w:fldChar w:fldCharType="end"/>
        </w:r>
      </w:hyperlink>
    </w:p>
    <w:p w14:paraId="0A0C9E1D" w14:textId="77777777" w:rsidR="00260538" w:rsidRDefault="006106A9">
      <w:pPr>
        <w:pStyle w:val="TOC1"/>
        <w:rPr>
          <w:rFonts w:asciiTheme="minorHAnsi" w:hAnsiTheme="minorHAnsi"/>
          <w:b w:val="0"/>
          <w:color w:val="auto"/>
        </w:rPr>
      </w:pPr>
      <w:hyperlink w:anchor="_Toc216029351" w:history="1">
        <w:r w:rsidR="00260538" w:rsidRPr="004F275B">
          <w:rPr>
            <w:rStyle w:val="Hyperlink"/>
          </w:rPr>
          <w:t>Част III.  Приоритети на политиките и основни допускания за периода 2026-2028 г.</w:t>
        </w:r>
        <w:r w:rsidR="00260538">
          <w:rPr>
            <w:webHidden/>
          </w:rPr>
          <w:tab/>
        </w:r>
        <w:r w:rsidR="00260538">
          <w:rPr>
            <w:webHidden/>
          </w:rPr>
          <w:fldChar w:fldCharType="begin"/>
        </w:r>
        <w:r w:rsidR="00260538">
          <w:rPr>
            <w:webHidden/>
          </w:rPr>
          <w:instrText xml:space="preserve"> PAGEREF _Toc216029351 \h </w:instrText>
        </w:r>
        <w:r w:rsidR="00260538">
          <w:rPr>
            <w:webHidden/>
          </w:rPr>
        </w:r>
        <w:r w:rsidR="00260538">
          <w:rPr>
            <w:webHidden/>
          </w:rPr>
          <w:fldChar w:fldCharType="separate"/>
        </w:r>
        <w:r w:rsidR="00260538">
          <w:rPr>
            <w:webHidden/>
          </w:rPr>
          <w:t>43</w:t>
        </w:r>
        <w:r w:rsidR="00260538">
          <w:rPr>
            <w:webHidden/>
          </w:rPr>
          <w:fldChar w:fldCharType="end"/>
        </w:r>
      </w:hyperlink>
    </w:p>
    <w:p w14:paraId="211A81C0" w14:textId="77777777" w:rsidR="00260538" w:rsidRDefault="006106A9">
      <w:pPr>
        <w:pStyle w:val="TOC2"/>
        <w:tabs>
          <w:tab w:val="left" w:pos="687"/>
        </w:tabs>
        <w:rPr>
          <w:rFonts w:asciiTheme="minorHAnsi" w:hAnsiTheme="minorHAnsi"/>
          <w:bCs w:val="0"/>
          <w:caps w:val="0"/>
          <w:sz w:val="22"/>
          <w:lang w:val="bg-BG"/>
        </w:rPr>
      </w:pPr>
      <w:hyperlink w:anchor="_Toc216029352" w:history="1">
        <w:r w:rsidR="00260538" w:rsidRPr="004F275B">
          <w:rPr>
            <w:rStyle w:val="Hyperlink"/>
          </w:rPr>
          <w:t>1.</w:t>
        </w:r>
        <w:r w:rsidR="00260538">
          <w:rPr>
            <w:rFonts w:asciiTheme="minorHAnsi" w:hAnsiTheme="minorHAnsi"/>
            <w:bCs w:val="0"/>
            <w:caps w:val="0"/>
            <w:sz w:val="22"/>
            <w:lang w:val="bg-BG"/>
          </w:rPr>
          <w:tab/>
        </w:r>
        <w:r w:rsidR="00260538" w:rsidRPr="004F275B">
          <w:rPr>
            <w:rStyle w:val="Hyperlink"/>
          </w:rPr>
          <w:t>Политики в приходите за периода 2026-2028 г.</w:t>
        </w:r>
        <w:r w:rsidR="00260538">
          <w:rPr>
            <w:webHidden/>
          </w:rPr>
          <w:tab/>
        </w:r>
        <w:r w:rsidR="00260538">
          <w:rPr>
            <w:webHidden/>
          </w:rPr>
          <w:fldChar w:fldCharType="begin"/>
        </w:r>
        <w:r w:rsidR="00260538">
          <w:rPr>
            <w:webHidden/>
          </w:rPr>
          <w:instrText xml:space="preserve"> PAGEREF _Toc216029352 \h </w:instrText>
        </w:r>
        <w:r w:rsidR="00260538">
          <w:rPr>
            <w:webHidden/>
          </w:rPr>
        </w:r>
        <w:r w:rsidR="00260538">
          <w:rPr>
            <w:webHidden/>
          </w:rPr>
          <w:fldChar w:fldCharType="separate"/>
        </w:r>
        <w:r w:rsidR="00260538">
          <w:rPr>
            <w:webHidden/>
          </w:rPr>
          <w:t>43</w:t>
        </w:r>
        <w:r w:rsidR="00260538">
          <w:rPr>
            <w:webHidden/>
          </w:rPr>
          <w:fldChar w:fldCharType="end"/>
        </w:r>
      </w:hyperlink>
    </w:p>
    <w:p w14:paraId="10F0539B" w14:textId="77777777" w:rsidR="00260538" w:rsidRDefault="006106A9">
      <w:pPr>
        <w:pStyle w:val="TOC2"/>
        <w:tabs>
          <w:tab w:val="left" w:pos="687"/>
        </w:tabs>
        <w:rPr>
          <w:rFonts w:asciiTheme="minorHAnsi" w:hAnsiTheme="minorHAnsi"/>
          <w:bCs w:val="0"/>
          <w:caps w:val="0"/>
          <w:sz w:val="22"/>
          <w:lang w:val="bg-BG"/>
        </w:rPr>
      </w:pPr>
      <w:hyperlink w:anchor="_Toc216029353" w:history="1">
        <w:r w:rsidR="00260538" w:rsidRPr="004F275B">
          <w:rPr>
            <w:rStyle w:val="Hyperlink"/>
          </w:rPr>
          <w:t>2.</w:t>
        </w:r>
        <w:r w:rsidR="00260538">
          <w:rPr>
            <w:rFonts w:asciiTheme="minorHAnsi" w:hAnsiTheme="minorHAnsi"/>
            <w:bCs w:val="0"/>
            <w:caps w:val="0"/>
            <w:sz w:val="22"/>
            <w:lang w:val="bg-BG"/>
          </w:rPr>
          <w:tab/>
        </w:r>
        <w:r w:rsidR="00260538" w:rsidRPr="004F275B">
          <w:rPr>
            <w:rStyle w:val="Hyperlink"/>
          </w:rPr>
          <w:t>Разходни политики за периода 2026-2028 г.</w:t>
        </w:r>
        <w:r w:rsidR="00260538">
          <w:rPr>
            <w:webHidden/>
          </w:rPr>
          <w:tab/>
        </w:r>
        <w:r w:rsidR="00260538">
          <w:rPr>
            <w:webHidden/>
          </w:rPr>
          <w:fldChar w:fldCharType="begin"/>
        </w:r>
        <w:r w:rsidR="00260538">
          <w:rPr>
            <w:webHidden/>
          </w:rPr>
          <w:instrText xml:space="preserve"> PAGEREF _Toc216029353 \h </w:instrText>
        </w:r>
        <w:r w:rsidR="00260538">
          <w:rPr>
            <w:webHidden/>
          </w:rPr>
        </w:r>
        <w:r w:rsidR="00260538">
          <w:rPr>
            <w:webHidden/>
          </w:rPr>
          <w:fldChar w:fldCharType="separate"/>
        </w:r>
        <w:r w:rsidR="00260538">
          <w:rPr>
            <w:webHidden/>
          </w:rPr>
          <w:t>53</w:t>
        </w:r>
        <w:r w:rsidR="00260538">
          <w:rPr>
            <w:webHidden/>
          </w:rPr>
          <w:fldChar w:fldCharType="end"/>
        </w:r>
      </w:hyperlink>
    </w:p>
    <w:p w14:paraId="6EC42544" w14:textId="77777777" w:rsidR="00260538" w:rsidRDefault="006106A9">
      <w:pPr>
        <w:pStyle w:val="TOC2"/>
        <w:tabs>
          <w:tab w:val="left" w:pos="687"/>
        </w:tabs>
        <w:rPr>
          <w:rFonts w:asciiTheme="minorHAnsi" w:hAnsiTheme="minorHAnsi"/>
          <w:bCs w:val="0"/>
          <w:caps w:val="0"/>
          <w:sz w:val="22"/>
          <w:lang w:val="bg-BG"/>
        </w:rPr>
      </w:pPr>
      <w:hyperlink w:anchor="_Toc216029354" w:history="1">
        <w:r w:rsidR="00260538" w:rsidRPr="004F275B">
          <w:rPr>
            <w:rStyle w:val="Hyperlink"/>
          </w:rPr>
          <w:t>3.</w:t>
        </w:r>
        <w:r w:rsidR="00260538">
          <w:rPr>
            <w:rFonts w:asciiTheme="minorHAnsi" w:hAnsiTheme="minorHAnsi"/>
            <w:bCs w:val="0"/>
            <w:caps w:val="0"/>
            <w:sz w:val="22"/>
            <w:lang w:val="bg-BG"/>
          </w:rPr>
          <w:tab/>
        </w:r>
        <w:r w:rsidR="00260538" w:rsidRPr="004F275B">
          <w:rPr>
            <w:rStyle w:val="Hyperlink"/>
          </w:rPr>
          <w:t>Инвестиционна политика за периода 2026-2028 г.</w:t>
        </w:r>
        <w:r w:rsidR="00260538">
          <w:rPr>
            <w:webHidden/>
          </w:rPr>
          <w:tab/>
        </w:r>
        <w:r w:rsidR="00260538">
          <w:rPr>
            <w:webHidden/>
          </w:rPr>
          <w:fldChar w:fldCharType="begin"/>
        </w:r>
        <w:r w:rsidR="00260538">
          <w:rPr>
            <w:webHidden/>
          </w:rPr>
          <w:instrText xml:space="preserve"> PAGEREF _Toc216029354 \h </w:instrText>
        </w:r>
        <w:r w:rsidR="00260538">
          <w:rPr>
            <w:webHidden/>
          </w:rPr>
        </w:r>
        <w:r w:rsidR="00260538">
          <w:rPr>
            <w:webHidden/>
          </w:rPr>
          <w:fldChar w:fldCharType="separate"/>
        </w:r>
        <w:r w:rsidR="00260538">
          <w:rPr>
            <w:webHidden/>
          </w:rPr>
          <w:t>105</w:t>
        </w:r>
        <w:r w:rsidR="00260538">
          <w:rPr>
            <w:webHidden/>
          </w:rPr>
          <w:fldChar w:fldCharType="end"/>
        </w:r>
      </w:hyperlink>
    </w:p>
    <w:p w14:paraId="75D6983D" w14:textId="77777777" w:rsidR="00260538" w:rsidRDefault="006106A9">
      <w:pPr>
        <w:pStyle w:val="TOC1"/>
        <w:rPr>
          <w:rFonts w:asciiTheme="minorHAnsi" w:hAnsiTheme="minorHAnsi"/>
          <w:b w:val="0"/>
          <w:color w:val="auto"/>
        </w:rPr>
      </w:pPr>
      <w:hyperlink w:anchor="_Toc216029355" w:history="1">
        <w:r w:rsidR="00260538" w:rsidRPr="004F275B">
          <w:rPr>
            <w:rStyle w:val="Hyperlink"/>
          </w:rPr>
          <w:t>Част IV. Фискална децентрализация и бюджетни взаимоотношения с общините за периода 2026-2028 г.</w:t>
        </w:r>
        <w:r w:rsidR="00260538">
          <w:rPr>
            <w:webHidden/>
          </w:rPr>
          <w:tab/>
        </w:r>
        <w:r w:rsidR="00260538">
          <w:rPr>
            <w:webHidden/>
          </w:rPr>
          <w:fldChar w:fldCharType="begin"/>
        </w:r>
        <w:r w:rsidR="00260538">
          <w:rPr>
            <w:webHidden/>
          </w:rPr>
          <w:instrText xml:space="preserve"> PAGEREF _Toc216029355 \h </w:instrText>
        </w:r>
        <w:r w:rsidR="00260538">
          <w:rPr>
            <w:webHidden/>
          </w:rPr>
        </w:r>
        <w:r w:rsidR="00260538">
          <w:rPr>
            <w:webHidden/>
          </w:rPr>
          <w:fldChar w:fldCharType="separate"/>
        </w:r>
        <w:r w:rsidR="00260538">
          <w:rPr>
            <w:webHidden/>
          </w:rPr>
          <w:t>109</w:t>
        </w:r>
        <w:r w:rsidR="00260538">
          <w:rPr>
            <w:webHidden/>
          </w:rPr>
          <w:fldChar w:fldCharType="end"/>
        </w:r>
      </w:hyperlink>
    </w:p>
    <w:p w14:paraId="449B43C9" w14:textId="77777777" w:rsidR="00260538" w:rsidRDefault="006106A9">
      <w:pPr>
        <w:pStyle w:val="TOC1"/>
        <w:rPr>
          <w:rFonts w:asciiTheme="minorHAnsi" w:hAnsiTheme="minorHAnsi"/>
          <w:b w:val="0"/>
          <w:color w:val="auto"/>
        </w:rPr>
      </w:pPr>
      <w:hyperlink w:anchor="_Toc216029356" w:history="1">
        <w:r w:rsidR="00260538" w:rsidRPr="004F275B">
          <w:rPr>
            <w:rStyle w:val="Hyperlink"/>
          </w:rPr>
          <w:t>Част V.  Управление на средствата от европейските фондове и програми за периода 2026-2028 г.</w:t>
        </w:r>
        <w:r w:rsidR="00260538">
          <w:rPr>
            <w:webHidden/>
          </w:rPr>
          <w:tab/>
        </w:r>
        <w:r w:rsidR="00260538">
          <w:rPr>
            <w:webHidden/>
          </w:rPr>
          <w:fldChar w:fldCharType="begin"/>
        </w:r>
        <w:r w:rsidR="00260538">
          <w:rPr>
            <w:webHidden/>
          </w:rPr>
          <w:instrText xml:space="preserve"> PAGEREF _Toc216029356 \h </w:instrText>
        </w:r>
        <w:r w:rsidR="00260538">
          <w:rPr>
            <w:webHidden/>
          </w:rPr>
        </w:r>
        <w:r w:rsidR="00260538">
          <w:rPr>
            <w:webHidden/>
          </w:rPr>
          <w:fldChar w:fldCharType="separate"/>
        </w:r>
        <w:r w:rsidR="00260538">
          <w:rPr>
            <w:webHidden/>
          </w:rPr>
          <w:t>113</w:t>
        </w:r>
        <w:r w:rsidR="00260538">
          <w:rPr>
            <w:webHidden/>
          </w:rPr>
          <w:fldChar w:fldCharType="end"/>
        </w:r>
      </w:hyperlink>
    </w:p>
    <w:p w14:paraId="138457F4" w14:textId="77777777" w:rsidR="00260538" w:rsidRDefault="006106A9">
      <w:pPr>
        <w:pStyle w:val="TOC2"/>
        <w:tabs>
          <w:tab w:val="left" w:pos="687"/>
        </w:tabs>
        <w:rPr>
          <w:rFonts w:asciiTheme="minorHAnsi" w:hAnsiTheme="minorHAnsi"/>
          <w:bCs w:val="0"/>
          <w:caps w:val="0"/>
          <w:sz w:val="22"/>
          <w:lang w:val="bg-BG"/>
        </w:rPr>
      </w:pPr>
      <w:hyperlink w:anchor="_Toc216029357" w:history="1">
        <w:r w:rsidR="00260538" w:rsidRPr="004F275B">
          <w:rPr>
            <w:rStyle w:val="Hyperlink"/>
          </w:rPr>
          <w:t>1.</w:t>
        </w:r>
        <w:r w:rsidR="00260538">
          <w:rPr>
            <w:rFonts w:asciiTheme="minorHAnsi" w:hAnsiTheme="minorHAnsi"/>
            <w:bCs w:val="0"/>
            <w:caps w:val="0"/>
            <w:sz w:val="22"/>
            <w:lang w:val="bg-BG"/>
          </w:rPr>
          <w:tab/>
        </w:r>
        <w:r w:rsidR="00260538" w:rsidRPr="004F275B">
          <w:rPr>
            <w:rStyle w:val="Hyperlink"/>
          </w:rPr>
          <w:t>Национален фонд</w:t>
        </w:r>
        <w:r w:rsidR="00260538">
          <w:rPr>
            <w:webHidden/>
          </w:rPr>
          <w:tab/>
        </w:r>
        <w:r w:rsidR="00260538">
          <w:rPr>
            <w:webHidden/>
          </w:rPr>
          <w:fldChar w:fldCharType="begin"/>
        </w:r>
        <w:r w:rsidR="00260538">
          <w:rPr>
            <w:webHidden/>
          </w:rPr>
          <w:instrText xml:space="preserve"> PAGEREF _Toc216029357 \h </w:instrText>
        </w:r>
        <w:r w:rsidR="00260538">
          <w:rPr>
            <w:webHidden/>
          </w:rPr>
        </w:r>
        <w:r w:rsidR="00260538">
          <w:rPr>
            <w:webHidden/>
          </w:rPr>
          <w:fldChar w:fldCharType="separate"/>
        </w:r>
        <w:r w:rsidR="00260538">
          <w:rPr>
            <w:webHidden/>
          </w:rPr>
          <w:t>113</w:t>
        </w:r>
        <w:r w:rsidR="00260538">
          <w:rPr>
            <w:webHidden/>
          </w:rPr>
          <w:fldChar w:fldCharType="end"/>
        </w:r>
      </w:hyperlink>
    </w:p>
    <w:p w14:paraId="572EEEA0" w14:textId="77777777" w:rsidR="00260538" w:rsidRDefault="006106A9">
      <w:pPr>
        <w:pStyle w:val="TOC2"/>
        <w:tabs>
          <w:tab w:val="left" w:pos="687"/>
        </w:tabs>
        <w:rPr>
          <w:rFonts w:asciiTheme="minorHAnsi" w:hAnsiTheme="minorHAnsi"/>
          <w:bCs w:val="0"/>
          <w:caps w:val="0"/>
          <w:sz w:val="22"/>
          <w:lang w:val="bg-BG"/>
        </w:rPr>
      </w:pPr>
      <w:hyperlink w:anchor="_Toc216029358" w:history="1">
        <w:r w:rsidR="00260538" w:rsidRPr="004F275B">
          <w:rPr>
            <w:rStyle w:val="Hyperlink"/>
          </w:rPr>
          <w:t>2.</w:t>
        </w:r>
        <w:r w:rsidR="00260538">
          <w:rPr>
            <w:rFonts w:asciiTheme="minorHAnsi" w:hAnsiTheme="minorHAnsi"/>
            <w:bCs w:val="0"/>
            <w:caps w:val="0"/>
            <w:sz w:val="22"/>
            <w:lang w:val="bg-BG"/>
          </w:rPr>
          <w:tab/>
        </w:r>
        <w:r w:rsidR="00260538" w:rsidRPr="004F275B">
          <w:rPr>
            <w:rStyle w:val="Hyperlink"/>
          </w:rPr>
          <w:t>Държавен Фонд „Земеделие“</w:t>
        </w:r>
        <w:r w:rsidR="00260538">
          <w:rPr>
            <w:webHidden/>
          </w:rPr>
          <w:tab/>
        </w:r>
        <w:r w:rsidR="00260538">
          <w:rPr>
            <w:webHidden/>
          </w:rPr>
          <w:fldChar w:fldCharType="begin"/>
        </w:r>
        <w:r w:rsidR="00260538">
          <w:rPr>
            <w:webHidden/>
          </w:rPr>
          <w:instrText xml:space="preserve"> PAGEREF _Toc216029358 \h </w:instrText>
        </w:r>
        <w:r w:rsidR="00260538">
          <w:rPr>
            <w:webHidden/>
          </w:rPr>
        </w:r>
        <w:r w:rsidR="00260538">
          <w:rPr>
            <w:webHidden/>
          </w:rPr>
          <w:fldChar w:fldCharType="separate"/>
        </w:r>
        <w:r w:rsidR="00260538">
          <w:rPr>
            <w:webHidden/>
          </w:rPr>
          <w:t>115</w:t>
        </w:r>
        <w:r w:rsidR="00260538">
          <w:rPr>
            <w:webHidden/>
          </w:rPr>
          <w:fldChar w:fldCharType="end"/>
        </w:r>
      </w:hyperlink>
    </w:p>
    <w:p w14:paraId="3E8558CD" w14:textId="77777777" w:rsidR="00260538" w:rsidRDefault="006106A9">
      <w:pPr>
        <w:pStyle w:val="TOC2"/>
        <w:tabs>
          <w:tab w:val="left" w:pos="687"/>
        </w:tabs>
        <w:rPr>
          <w:rFonts w:asciiTheme="minorHAnsi" w:hAnsiTheme="minorHAnsi"/>
          <w:bCs w:val="0"/>
          <w:caps w:val="0"/>
          <w:sz w:val="22"/>
          <w:lang w:val="bg-BG"/>
        </w:rPr>
      </w:pPr>
      <w:hyperlink w:anchor="_Toc216029359" w:history="1">
        <w:r w:rsidR="00260538" w:rsidRPr="004F275B">
          <w:rPr>
            <w:rStyle w:val="Hyperlink"/>
          </w:rPr>
          <w:t>3.</w:t>
        </w:r>
        <w:r w:rsidR="00260538">
          <w:rPr>
            <w:rFonts w:asciiTheme="minorHAnsi" w:hAnsiTheme="minorHAnsi"/>
            <w:bCs w:val="0"/>
            <w:caps w:val="0"/>
            <w:sz w:val="22"/>
            <w:lang w:val="bg-BG"/>
          </w:rPr>
          <w:tab/>
        </w:r>
        <w:r w:rsidR="00260538" w:rsidRPr="004F275B">
          <w:rPr>
            <w:rStyle w:val="Hyperlink"/>
          </w:rPr>
          <w:t>Други сметки за средства от ЕС и средства по международни програми и договори, за които се прилага режим на сметките за средства от ЕС</w:t>
        </w:r>
        <w:r w:rsidR="00260538">
          <w:rPr>
            <w:webHidden/>
          </w:rPr>
          <w:tab/>
        </w:r>
        <w:r w:rsidR="00260538">
          <w:rPr>
            <w:webHidden/>
          </w:rPr>
          <w:fldChar w:fldCharType="begin"/>
        </w:r>
        <w:r w:rsidR="00260538">
          <w:rPr>
            <w:webHidden/>
          </w:rPr>
          <w:instrText xml:space="preserve"> PAGEREF _Toc216029359 \h </w:instrText>
        </w:r>
        <w:r w:rsidR="00260538">
          <w:rPr>
            <w:webHidden/>
          </w:rPr>
        </w:r>
        <w:r w:rsidR="00260538">
          <w:rPr>
            <w:webHidden/>
          </w:rPr>
          <w:fldChar w:fldCharType="separate"/>
        </w:r>
        <w:r w:rsidR="00260538">
          <w:rPr>
            <w:webHidden/>
          </w:rPr>
          <w:t>116</w:t>
        </w:r>
        <w:r w:rsidR="00260538">
          <w:rPr>
            <w:webHidden/>
          </w:rPr>
          <w:fldChar w:fldCharType="end"/>
        </w:r>
      </w:hyperlink>
    </w:p>
    <w:p w14:paraId="1CAC80CC" w14:textId="77777777" w:rsidR="00260538" w:rsidRDefault="006106A9">
      <w:pPr>
        <w:pStyle w:val="TOC2"/>
        <w:tabs>
          <w:tab w:val="left" w:pos="687"/>
        </w:tabs>
        <w:rPr>
          <w:rFonts w:asciiTheme="minorHAnsi" w:hAnsiTheme="minorHAnsi"/>
          <w:bCs w:val="0"/>
          <w:caps w:val="0"/>
          <w:sz w:val="22"/>
          <w:lang w:val="bg-BG"/>
        </w:rPr>
      </w:pPr>
      <w:hyperlink w:anchor="_Toc216029360" w:history="1">
        <w:r w:rsidR="00260538" w:rsidRPr="004F275B">
          <w:rPr>
            <w:rStyle w:val="Hyperlink"/>
          </w:rPr>
          <w:t>4.</w:t>
        </w:r>
        <w:r w:rsidR="00260538">
          <w:rPr>
            <w:rFonts w:asciiTheme="minorHAnsi" w:hAnsiTheme="minorHAnsi"/>
            <w:bCs w:val="0"/>
            <w:caps w:val="0"/>
            <w:sz w:val="22"/>
            <w:lang w:val="bg-BG"/>
          </w:rPr>
          <w:tab/>
        </w:r>
        <w:r w:rsidR="00260538" w:rsidRPr="004F275B">
          <w:rPr>
            <w:rStyle w:val="Hyperlink"/>
          </w:rPr>
          <w:t>Прогноза за вноската на Република България в общия бюджет на ЕС</w:t>
        </w:r>
        <w:r w:rsidR="00260538">
          <w:rPr>
            <w:webHidden/>
          </w:rPr>
          <w:tab/>
        </w:r>
        <w:r w:rsidR="00260538">
          <w:rPr>
            <w:webHidden/>
          </w:rPr>
          <w:fldChar w:fldCharType="begin"/>
        </w:r>
        <w:r w:rsidR="00260538">
          <w:rPr>
            <w:webHidden/>
          </w:rPr>
          <w:instrText xml:space="preserve"> PAGEREF _Toc216029360 \h </w:instrText>
        </w:r>
        <w:r w:rsidR="00260538">
          <w:rPr>
            <w:webHidden/>
          </w:rPr>
        </w:r>
        <w:r w:rsidR="00260538">
          <w:rPr>
            <w:webHidden/>
          </w:rPr>
          <w:fldChar w:fldCharType="separate"/>
        </w:r>
        <w:r w:rsidR="00260538">
          <w:rPr>
            <w:webHidden/>
          </w:rPr>
          <w:t>118</w:t>
        </w:r>
        <w:r w:rsidR="00260538">
          <w:rPr>
            <w:webHidden/>
          </w:rPr>
          <w:fldChar w:fldCharType="end"/>
        </w:r>
      </w:hyperlink>
    </w:p>
    <w:p w14:paraId="20D5E129" w14:textId="77777777" w:rsidR="00260538" w:rsidRDefault="006106A9">
      <w:pPr>
        <w:pStyle w:val="TOC1"/>
        <w:rPr>
          <w:rFonts w:asciiTheme="minorHAnsi" w:hAnsiTheme="minorHAnsi"/>
          <w:b w:val="0"/>
          <w:color w:val="auto"/>
        </w:rPr>
      </w:pPr>
      <w:hyperlink w:anchor="_Toc216029361" w:history="1">
        <w:r w:rsidR="00260538" w:rsidRPr="004F275B">
          <w:rPr>
            <w:rStyle w:val="Hyperlink"/>
          </w:rPr>
          <w:t>Част VI.  Политика по дълга и финансирането  за периода 2026-2028 г.</w:t>
        </w:r>
        <w:r w:rsidR="00260538">
          <w:rPr>
            <w:webHidden/>
          </w:rPr>
          <w:tab/>
        </w:r>
        <w:r w:rsidR="00260538">
          <w:rPr>
            <w:webHidden/>
          </w:rPr>
          <w:fldChar w:fldCharType="begin"/>
        </w:r>
        <w:r w:rsidR="00260538">
          <w:rPr>
            <w:webHidden/>
          </w:rPr>
          <w:instrText xml:space="preserve"> PAGEREF _Toc216029361 \h </w:instrText>
        </w:r>
        <w:r w:rsidR="00260538">
          <w:rPr>
            <w:webHidden/>
          </w:rPr>
        </w:r>
        <w:r w:rsidR="00260538">
          <w:rPr>
            <w:webHidden/>
          </w:rPr>
          <w:fldChar w:fldCharType="separate"/>
        </w:r>
        <w:r w:rsidR="00260538">
          <w:rPr>
            <w:webHidden/>
          </w:rPr>
          <w:t>119</w:t>
        </w:r>
        <w:r w:rsidR="00260538">
          <w:rPr>
            <w:webHidden/>
          </w:rPr>
          <w:fldChar w:fldCharType="end"/>
        </w:r>
      </w:hyperlink>
    </w:p>
    <w:p w14:paraId="482BAD92" w14:textId="77777777" w:rsidR="00260538" w:rsidRDefault="006106A9">
      <w:pPr>
        <w:pStyle w:val="TOC2"/>
        <w:tabs>
          <w:tab w:val="left" w:pos="687"/>
        </w:tabs>
        <w:rPr>
          <w:rFonts w:asciiTheme="minorHAnsi" w:hAnsiTheme="minorHAnsi"/>
          <w:bCs w:val="0"/>
          <w:caps w:val="0"/>
          <w:sz w:val="22"/>
          <w:lang w:val="bg-BG"/>
        </w:rPr>
      </w:pPr>
      <w:hyperlink w:anchor="_Toc216029362" w:history="1">
        <w:r w:rsidR="00260538" w:rsidRPr="004F275B">
          <w:rPr>
            <w:rStyle w:val="Hyperlink"/>
          </w:rPr>
          <w:t>1.</w:t>
        </w:r>
        <w:r w:rsidR="00260538">
          <w:rPr>
            <w:rFonts w:asciiTheme="minorHAnsi" w:hAnsiTheme="minorHAnsi"/>
            <w:bCs w:val="0"/>
            <w:caps w:val="0"/>
            <w:sz w:val="22"/>
            <w:lang w:val="bg-BG"/>
          </w:rPr>
          <w:tab/>
        </w:r>
        <w:r w:rsidR="00260538" w:rsidRPr="004F275B">
          <w:rPr>
            <w:rStyle w:val="Hyperlink"/>
          </w:rPr>
          <w:t>Държавен дълг. Обслужване и финансиране</w:t>
        </w:r>
        <w:r w:rsidR="00260538">
          <w:rPr>
            <w:webHidden/>
          </w:rPr>
          <w:tab/>
        </w:r>
        <w:r w:rsidR="00260538">
          <w:rPr>
            <w:webHidden/>
          </w:rPr>
          <w:fldChar w:fldCharType="begin"/>
        </w:r>
        <w:r w:rsidR="00260538">
          <w:rPr>
            <w:webHidden/>
          </w:rPr>
          <w:instrText xml:space="preserve"> PAGEREF _Toc216029362 \h </w:instrText>
        </w:r>
        <w:r w:rsidR="00260538">
          <w:rPr>
            <w:webHidden/>
          </w:rPr>
        </w:r>
        <w:r w:rsidR="00260538">
          <w:rPr>
            <w:webHidden/>
          </w:rPr>
          <w:fldChar w:fldCharType="separate"/>
        </w:r>
        <w:r w:rsidR="00260538">
          <w:rPr>
            <w:webHidden/>
          </w:rPr>
          <w:t>119</w:t>
        </w:r>
        <w:r w:rsidR="00260538">
          <w:rPr>
            <w:webHidden/>
          </w:rPr>
          <w:fldChar w:fldCharType="end"/>
        </w:r>
      </w:hyperlink>
    </w:p>
    <w:p w14:paraId="4EAEA569" w14:textId="77777777" w:rsidR="00260538" w:rsidRDefault="006106A9">
      <w:pPr>
        <w:pStyle w:val="TOC2"/>
        <w:tabs>
          <w:tab w:val="left" w:pos="687"/>
        </w:tabs>
        <w:rPr>
          <w:rFonts w:asciiTheme="minorHAnsi" w:hAnsiTheme="minorHAnsi"/>
          <w:bCs w:val="0"/>
          <w:caps w:val="0"/>
          <w:sz w:val="22"/>
          <w:lang w:val="bg-BG"/>
        </w:rPr>
      </w:pPr>
      <w:hyperlink w:anchor="_Toc216029363" w:history="1">
        <w:r w:rsidR="00260538" w:rsidRPr="004F275B">
          <w:rPr>
            <w:rStyle w:val="Hyperlink"/>
          </w:rPr>
          <w:t>2.</w:t>
        </w:r>
        <w:r w:rsidR="00260538">
          <w:rPr>
            <w:rFonts w:asciiTheme="minorHAnsi" w:hAnsiTheme="minorHAnsi"/>
            <w:bCs w:val="0"/>
            <w:caps w:val="0"/>
            <w:sz w:val="22"/>
            <w:lang w:val="bg-BG"/>
          </w:rPr>
          <w:tab/>
        </w:r>
        <w:r w:rsidR="00260538" w:rsidRPr="004F275B">
          <w:rPr>
            <w:rStyle w:val="Hyperlink"/>
          </w:rPr>
          <w:t>Държавногарантиран дълг</w:t>
        </w:r>
        <w:r w:rsidR="00260538">
          <w:rPr>
            <w:webHidden/>
          </w:rPr>
          <w:tab/>
        </w:r>
        <w:r w:rsidR="00260538">
          <w:rPr>
            <w:webHidden/>
          </w:rPr>
          <w:fldChar w:fldCharType="begin"/>
        </w:r>
        <w:r w:rsidR="00260538">
          <w:rPr>
            <w:webHidden/>
          </w:rPr>
          <w:instrText xml:space="preserve"> PAGEREF _Toc216029363 \h </w:instrText>
        </w:r>
        <w:r w:rsidR="00260538">
          <w:rPr>
            <w:webHidden/>
          </w:rPr>
        </w:r>
        <w:r w:rsidR="00260538">
          <w:rPr>
            <w:webHidden/>
          </w:rPr>
          <w:fldChar w:fldCharType="separate"/>
        </w:r>
        <w:r w:rsidR="00260538">
          <w:rPr>
            <w:webHidden/>
          </w:rPr>
          <w:t>125</w:t>
        </w:r>
        <w:r w:rsidR="00260538">
          <w:rPr>
            <w:webHidden/>
          </w:rPr>
          <w:fldChar w:fldCharType="end"/>
        </w:r>
      </w:hyperlink>
    </w:p>
    <w:p w14:paraId="1D0C9226" w14:textId="77777777" w:rsidR="00260538" w:rsidRDefault="006106A9">
      <w:pPr>
        <w:pStyle w:val="TOC2"/>
        <w:tabs>
          <w:tab w:val="left" w:pos="687"/>
        </w:tabs>
        <w:rPr>
          <w:rFonts w:asciiTheme="minorHAnsi" w:hAnsiTheme="minorHAnsi"/>
          <w:bCs w:val="0"/>
          <w:caps w:val="0"/>
          <w:sz w:val="22"/>
          <w:lang w:val="bg-BG"/>
        </w:rPr>
      </w:pPr>
      <w:hyperlink w:anchor="_Toc216029364" w:history="1">
        <w:r w:rsidR="00260538" w:rsidRPr="004F275B">
          <w:rPr>
            <w:rStyle w:val="Hyperlink"/>
          </w:rPr>
          <w:t>3.</w:t>
        </w:r>
        <w:r w:rsidR="00260538">
          <w:rPr>
            <w:rFonts w:asciiTheme="minorHAnsi" w:hAnsiTheme="minorHAnsi"/>
            <w:bCs w:val="0"/>
            <w:caps w:val="0"/>
            <w:sz w:val="22"/>
            <w:lang w:val="bg-BG"/>
          </w:rPr>
          <w:tab/>
        </w:r>
        <w:r w:rsidR="00260538" w:rsidRPr="004F275B">
          <w:rPr>
            <w:rStyle w:val="Hyperlink"/>
          </w:rPr>
          <w:t>Държавен дълг чрез финансов лизинг и други форми на държавен дълг</w:t>
        </w:r>
        <w:r w:rsidR="00260538">
          <w:rPr>
            <w:webHidden/>
          </w:rPr>
          <w:tab/>
        </w:r>
        <w:r w:rsidR="00260538">
          <w:rPr>
            <w:webHidden/>
          </w:rPr>
          <w:fldChar w:fldCharType="begin"/>
        </w:r>
        <w:r w:rsidR="00260538">
          <w:rPr>
            <w:webHidden/>
          </w:rPr>
          <w:instrText xml:space="preserve"> PAGEREF _Toc216029364 \h </w:instrText>
        </w:r>
        <w:r w:rsidR="00260538">
          <w:rPr>
            <w:webHidden/>
          </w:rPr>
        </w:r>
        <w:r w:rsidR="00260538">
          <w:rPr>
            <w:webHidden/>
          </w:rPr>
          <w:fldChar w:fldCharType="separate"/>
        </w:r>
        <w:r w:rsidR="00260538">
          <w:rPr>
            <w:webHidden/>
          </w:rPr>
          <w:t>127</w:t>
        </w:r>
        <w:r w:rsidR="00260538">
          <w:rPr>
            <w:webHidden/>
          </w:rPr>
          <w:fldChar w:fldCharType="end"/>
        </w:r>
      </w:hyperlink>
    </w:p>
    <w:p w14:paraId="064F8FF4" w14:textId="77777777" w:rsidR="00260538" w:rsidRDefault="006106A9">
      <w:pPr>
        <w:pStyle w:val="TOC2"/>
        <w:tabs>
          <w:tab w:val="left" w:pos="687"/>
        </w:tabs>
        <w:rPr>
          <w:rFonts w:asciiTheme="minorHAnsi" w:hAnsiTheme="minorHAnsi"/>
          <w:bCs w:val="0"/>
          <w:caps w:val="0"/>
          <w:sz w:val="22"/>
          <w:lang w:val="bg-BG"/>
        </w:rPr>
      </w:pPr>
      <w:hyperlink w:anchor="_Toc216029365" w:history="1">
        <w:r w:rsidR="00260538" w:rsidRPr="004F275B">
          <w:rPr>
            <w:rStyle w:val="Hyperlink"/>
          </w:rPr>
          <w:t>4.</w:t>
        </w:r>
        <w:r w:rsidR="00260538">
          <w:rPr>
            <w:rFonts w:asciiTheme="minorHAnsi" w:hAnsiTheme="minorHAnsi"/>
            <w:bCs w:val="0"/>
            <w:caps w:val="0"/>
            <w:sz w:val="22"/>
            <w:lang w:val="bg-BG"/>
          </w:rPr>
          <w:tab/>
        </w:r>
        <w:r w:rsidR="00260538" w:rsidRPr="004F275B">
          <w:rPr>
            <w:rStyle w:val="Hyperlink"/>
          </w:rPr>
          <w:t>Други операции в частта на финансирането</w:t>
        </w:r>
        <w:r w:rsidR="00260538">
          <w:rPr>
            <w:webHidden/>
          </w:rPr>
          <w:tab/>
        </w:r>
        <w:r w:rsidR="00260538">
          <w:rPr>
            <w:webHidden/>
          </w:rPr>
          <w:fldChar w:fldCharType="begin"/>
        </w:r>
        <w:r w:rsidR="00260538">
          <w:rPr>
            <w:webHidden/>
          </w:rPr>
          <w:instrText xml:space="preserve"> PAGEREF _Toc216029365 \h </w:instrText>
        </w:r>
        <w:r w:rsidR="00260538">
          <w:rPr>
            <w:webHidden/>
          </w:rPr>
        </w:r>
        <w:r w:rsidR="00260538">
          <w:rPr>
            <w:webHidden/>
          </w:rPr>
          <w:fldChar w:fldCharType="separate"/>
        </w:r>
        <w:r w:rsidR="00260538">
          <w:rPr>
            <w:webHidden/>
          </w:rPr>
          <w:t>127</w:t>
        </w:r>
        <w:r w:rsidR="00260538">
          <w:rPr>
            <w:webHidden/>
          </w:rPr>
          <w:fldChar w:fldCharType="end"/>
        </w:r>
      </w:hyperlink>
    </w:p>
    <w:p w14:paraId="35523671" w14:textId="77777777" w:rsidR="00260538" w:rsidRDefault="006106A9">
      <w:pPr>
        <w:pStyle w:val="TOC1"/>
        <w:rPr>
          <w:rFonts w:asciiTheme="minorHAnsi" w:hAnsiTheme="minorHAnsi"/>
          <w:b w:val="0"/>
          <w:color w:val="auto"/>
        </w:rPr>
      </w:pPr>
      <w:hyperlink w:anchor="_Toc216029366" w:history="1">
        <w:r w:rsidR="00260538" w:rsidRPr="004F275B">
          <w:rPr>
            <w:rStyle w:val="Hyperlink"/>
          </w:rPr>
          <w:t>Част VII.  Перспективи за развитието на публичните финанси</w:t>
        </w:r>
        <w:r w:rsidR="00260538">
          <w:rPr>
            <w:webHidden/>
          </w:rPr>
          <w:tab/>
        </w:r>
        <w:r w:rsidR="00260538">
          <w:rPr>
            <w:webHidden/>
          </w:rPr>
          <w:fldChar w:fldCharType="begin"/>
        </w:r>
        <w:r w:rsidR="00260538">
          <w:rPr>
            <w:webHidden/>
          </w:rPr>
          <w:instrText xml:space="preserve"> PAGEREF _Toc216029366 \h </w:instrText>
        </w:r>
        <w:r w:rsidR="00260538">
          <w:rPr>
            <w:webHidden/>
          </w:rPr>
        </w:r>
        <w:r w:rsidR="00260538">
          <w:rPr>
            <w:webHidden/>
          </w:rPr>
          <w:fldChar w:fldCharType="separate"/>
        </w:r>
        <w:r w:rsidR="00260538">
          <w:rPr>
            <w:webHidden/>
          </w:rPr>
          <w:t>130</w:t>
        </w:r>
        <w:r w:rsidR="00260538">
          <w:rPr>
            <w:webHidden/>
          </w:rPr>
          <w:fldChar w:fldCharType="end"/>
        </w:r>
      </w:hyperlink>
    </w:p>
    <w:p w14:paraId="2DFF6CBC" w14:textId="77777777" w:rsidR="00260538" w:rsidRDefault="006106A9">
      <w:pPr>
        <w:pStyle w:val="TOC2"/>
        <w:tabs>
          <w:tab w:val="left" w:pos="687"/>
        </w:tabs>
        <w:rPr>
          <w:rFonts w:asciiTheme="minorHAnsi" w:hAnsiTheme="minorHAnsi"/>
          <w:bCs w:val="0"/>
          <w:caps w:val="0"/>
          <w:sz w:val="22"/>
          <w:lang w:val="bg-BG"/>
        </w:rPr>
      </w:pPr>
      <w:hyperlink w:anchor="_Toc216029367" w:history="1">
        <w:r w:rsidR="00260538" w:rsidRPr="004F275B">
          <w:rPr>
            <w:rStyle w:val="Hyperlink"/>
          </w:rPr>
          <w:t>1.</w:t>
        </w:r>
        <w:r w:rsidR="00260538">
          <w:rPr>
            <w:rFonts w:asciiTheme="minorHAnsi" w:hAnsiTheme="minorHAnsi"/>
            <w:bCs w:val="0"/>
            <w:caps w:val="0"/>
            <w:sz w:val="22"/>
            <w:lang w:val="bg-BG"/>
          </w:rPr>
          <w:tab/>
        </w:r>
        <w:r w:rsidR="00260538" w:rsidRPr="004F275B">
          <w:rPr>
            <w:rStyle w:val="Hyperlink"/>
          </w:rPr>
          <w:t>Устойчивост на публичните финанси</w:t>
        </w:r>
        <w:r w:rsidR="00260538">
          <w:rPr>
            <w:webHidden/>
          </w:rPr>
          <w:tab/>
        </w:r>
        <w:r w:rsidR="00260538">
          <w:rPr>
            <w:webHidden/>
          </w:rPr>
          <w:fldChar w:fldCharType="begin"/>
        </w:r>
        <w:r w:rsidR="00260538">
          <w:rPr>
            <w:webHidden/>
          </w:rPr>
          <w:instrText xml:space="preserve"> PAGEREF _Toc216029367 \h </w:instrText>
        </w:r>
        <w:r w:rsidR="00260538">
          <w:rPr>
            <w:webHidden/>
          </w:rPr>
        </w:r>
        <w:r w:rsidR="00260538">
          <w:rPr>
            <w:webHidden/>
          </w:rPr>
          <w:fldChar w:fldCharType="separate"/>
        </w:r>
        <w:r w:rsidR="00260538">
          <w:rPr>
            <w:webHidden/>
          </w:rPr>
          <w:t>130</w:t>
        </w:r>
        <w:r w:rsidR="00260538">
          <w:rPr>
            <w:webHidden/>
          </w:rPr>
          <w:fldChar w:fldCharType="end"/>
        </w:r>
      </w:hyperlink>
    </w:p>
    <w:p w14:paraId="3AFB406A" w14:textId="77777777" w:rsidR="00260538" w:rsidRDefault="006106A9">
      <w:pPr>
        <w:pStyle w:val="TOC2"/>
        <w:tabs>
          <w:tab w:val="left" w:pos="687"/>
        </w:tabs>
        <w:rPr>
          <w:rFonts w:asciiTheme="minorHAnsi" w:hAnsiTheme="minorHAnsi"/>
          <w:bCs w:val="0"/>
          <w:caps w:val="0"/>
          <w:sz w:val="22"/>
          <w:lang w:val="bg-BG"/>
        </w:rPr>
      </w:pPr>
      <w:hyperlink w:anchor="_Toc216029368" w:history="1">
        <w:r w:rsidR="00260538" w:rsidRPr="004F275B">
          <w:rPr>
            <w:rStyle w:val="Hyperlink"/>
          </w:rPr>
          <w:t>2.</w:t>
        </w:r>
        <w:r w:rsidR="00260538">
          <w:rPr>
            <w:rFonts w:asciiTheme="minorHAnsi" w:hAnsiTheme="minorHAnsi"/>
            <w:bCs w:val="0"/>
            <w:caps w:val="0"/>
            <w:sz w:val="22"/>
            <w:lang w:val="bg-BG"/>
          </w:rPr>
          <w:tab/>
        </w:r>
        <w:r w:rsidR="00260538" w:rsidRPr="004F275B">
          <w:rPr>
            <w:rStyle w:val="Hyperlink"/>
          </w:rPr>
          <w:t>Анализ на чувствителността</w:t>
        </w:r>
        <w:r w:rsidR="00260538">
          <w:rPr>
            <w:webHidden/>
          </w:rPr>
          <w:tab/>
        </w:r>
        <w:r w:rsidR="00260538">
          <w:rPr>
            <w:webHidden/>
          </w:rPr>
          <w:fldChar w:fldCharType="begin"/>
        </w:r>
        <w:r w:rsidR="00260538">
          <w:rPr>
            <w:webHidden/>
          </w:rPr>
          <w:instrText xml:space="preserve"> PAGEREF _Toc216029368 \h </w:instrText>
        </w:r>
        <w:r w:rsidR="00260538">
          <w:rPr>
            <w:webHidden/>
          </w:rPr>
        </w:r>
        <w:r w:rsidR="00260538">
          <w:rPr>
            <w:webHidden/>
          </w:rPr>
          <w:fldChar w:fldCharType="separate"/>
        </w:r>
        <w:r w:rsidR="00260538">
          <w:rPr>
            <w:webHidden/>
          </w:rPr>
          <w:t>132</w:t>
        </w:r>
        <w:r w:rsidR="00260538">
          <w:rPr>
            <w:webHidden/>
          </w:rPr>
          <w:fldChar w:fldCharType="end"/>
        </w:r>
      </w:hyperlink>
    </w:p>
    <w:p w14:paraId="53E2ED5C" w14:textId="77777777" w:rsidR="00260538" w:rsidRDefault="006106A9">
      <w:pPr>
        <w:pStyle w:val="TOC2"/>
        <w:tabs>
          <w:tab w:val="left" w:pos="687"/>
        </w:tabs>
        <w:rPr>
          <w:rFonts w:asciiTheme="minorHAnsi" w:hAnsiTheme="minorHAnsi"/>
          <w:bCs w:val="0"/>
          <w:caps w:val="0"/>
          <w:sz w:val="22"/>
          <w:lang w:val="bg-BG"/>
        </w:rPr>
      </w:pPr>
      <w:hyperlink w:anchor="_Toc216029369" w:history="1">
        <w:r w:rsidR="00260538" w:rsidRPr="004F275B">
          <w:rPr>
            <w:rStyle w:val="Hyperlink"/>
          </w:rPr>
          <w:t>3.</w:t>
        </w:r>
        <w:r w:rsidR="00260538">
          <w:rPr>
            <w:rFonts w:asciiTheme="minorHAnsi" w:hAnsiTheme="minorHAnsi"/>
            <w:bCs w:val="0"/>
            <w:caps w:val="0"/>
            <w:sz w:val="22"/>
            <w:lang w:val="bg-BG"/>
          </w:rPr>
          <w:tab/>
        </w:r>
        <w:r w:rsidR="00260538" w:rsidRPr="004F275B">
          <w:rPr>
            <w:rStyle w:val="Hyperlink"/>
          </w:rPr>
          <w:t>Процедури и качество на публичните финанси</w:t>
        </w:r>
        <w:r w:rsidR="00260538">
          <w:rPr>
            <w:webHidden/>
          </w:rPr>
          <w:tab/>
        </w:r>
        <w:r w:rsidR="00260538">
          <w:rPr>
            <w:webHidden/>
          </w:rPr>
          <w:fldChar w:fldCharType="begin"/>
        </w:r>
        <w:r w:rsidR="00260538">
          <w:rPr>
            <w:webHidden/>
          </w:rPr>
          <w:instrText xml:space="preserve"> PAGEREF _Toc216029369 \h </w:instrText>
        </w:r>
        <w:r w:rsidR="00260538">
          <w:rPr>
            <w:webHidden/>
          </w:rPr>
        </w:r>
        <w:r w:rsidR="00260538">
          <w:rPr>
            <w:webHidden/>
          </w:rPr>
          <w:fldChar w:fldCharType="separate"/>
        </w:r>
        <w:r w:rsidR="00260538">
          <w:rPr>
            <w:webHidden/>
          </w:rPr>
          <w:t>135</w:t>
        </w:r>
        <w:r w:rsidR="00260538">
          <w:rPr>
            <w:webHidden/>
          </w:rPr>
          <w:fldChar w:fldCharType="end"/>
        </w:r>
      </w:hyperlink>
    </w:p>
    <w:p w14:paraId="43B8CDDF" w14:textId="77777777" w:rsidR="00260538" w:rsidRDefault="006106A9">
      <w:pPr>
        <w:pStyle w:val="TOC1"/>
        <w:rPr>
          <w:rFonts w:asciiTheme="minorHAnsi" w:hAnsiTheme="minorHAnsi"/>
          <w:b w:val="0"/>
          <w:color w:val="auto"/>
        </w:rPr>
      </w:pPr>
      <w:hyperlink w:anchor="_Toc216029370" w:history="1">
        <w:r w:rsidR="00260538" w:rsidRPr="004F275B">
          <w:rPr>
            <w:rStyle w:val="Hyperlink"/>
          </w:rPr>
          <w:t>Част VIII.  Мотиви към предложенията за промяна на други закони в проекта на ЗДБРБ за 2026 г.</w:t>
        </w:r>
        <w:r w:rsidR="00260538">
          <w:rPr>
            <w:webHidden/>
          </w:rPr>
          <w:tab/>
        </w:r>
        <w:r w:rsidR="00260538">
          <w:rPr>
            <w:webHidden/>
          </w:rPr>
          <w:fldChar w:fldCharType="begin"/>
        </w:r>
        <w:r w:rsidR="00260538">
          <w:rPr>
            <w:webHidden/>
          </w:rPr>
          <w:instrText xml:space="preserve"> PAGEREF _Toc216029370 \h </w:instrText>
        </w:r>
        <w:r w:rsidR="00260538">
          <w:rPr>
            <w:webHidden/>
          </w:rPr>
        </w:r>
        <w:r w:rsidR="00260538">
          <w:rPr>
            <w:webHidden/>
          </w:rPr>
          <w:fldChar w:fldCharType="separate"/>
        </w:r>
        <w:r w:rsidR="00260538">
          <w:rPr>
            <w:webHidden/>
          </w:rPr>
          <w:t>140</w:t>
        </w:r>
        <w:r w:rsidR="00260538">
          <w:rPr>
            <w:webHidden/>
          </w:rPr>
          <w:fldChar w:fldCharType="end"/>
        </w:r>
      </w:hyperlink>
    </w:p>
    <w:p w14:paraId="23BEA99F" w14:textId="77777777" w:rsidR="00260538" w:rsidRDefault="006106A9">
      <w:pPr>
        <w:pStyle w:val="TOC1"/>
        <w:rPr>
          <w:rFonts w:asciiTheme="minorHAnsi" w:hAnsiTheme="minorHAnsi"/>
          <w:b w:val="0"/>
          <w:color w:val="auto"/>
        </w:rPr>
      </w:pPr>
      <w:hyperlink w:anchor="_Toc216029371" w:history="1">
        <w:r w:rsidR="00260538" w:rsidRPr="004F275B">
          <w:rPr>
            <w:rStyle w:val="Hyperlink"/>
          </w:rPr>
          <w:t>Част IX.  Приложения</w:t>
        </w:r>
        <w:r w:rsidR="00260538">
          <w:rPr>
            <w:webHidden/>
          </w:rPr>
          <w:tab/>
        </w:r>
        <w:r w:rsidR="00260538">
          <w:rPr>
            <w:webHidden/>
          </w:rPr>
          <w:fldChar w:fldCharType="begin"/>
        </w:r>
        <w:r w:rsidR="00260538">
          <w:rPr>
            <w:webHidden/>
          </w:rPr>
          <w:instrText xml:space="preserve"> PAGEREF _Toc216029371 \h </w:instrText>
        </w:r>
        <w:r w:rsidR="00260538">
          <w:rPr>
            <w:webHidden/>
          </w:rPr>
        </w:r>
        <w:r w:rsidR="00260538">
          <w:rPr>
            <w:webHidden/>
          </w:rPr>
          <w:fldChar w:fldCharType="separate"/>
        </w:r>
        <w:r w:rsidR="00260538">
          <w:rPr>
            <w:webHidden/>
          </w:rPr>
          <w:t>145</w:t>
        </w:r>
        <w:r w:rsidR="00260538">
          <w:rPr>
            <w:webHidden/>
          </w:rPr>
          <w:fldChar w:fldCharType="end"/>
        </w:r>
      </w:hyperlink>
    </w:p>
    <w:p w14:paraId="647E08C9" w14:textId="77777777" w:rsidR="00260538" w:rsidRDefault="006106A9">
      <w:pPr>
        <w:pStyle w:val="TOC2"/>
        <w:rPr>
          <w:rFonts w:asciiTheme="minorHAnsi" w:hAnsiTheme="minorHAnsi"/>
          <w:bCs w:val="0"/>
          <w:caps w:val="0"/>
          <w:sz w:val="22"/>
          <w:lang w:val="bg-BG"/>
        </w:rPr>
      </w:pPr>
      <w:hyperlink w:anchor="_Toc216029372" w:history="1">
        <w:r w:rsidR="00260538" w:rsidRPr="004F275B">
          <w:rPr>
            <w:rStyle w:val="Hyperlink"/>
          </w:rPr>
          <w:t>Приложение № 1:  Преглед на изпълнението на КФП за 2024 г., изпълнение на КФП към 30.09.2025 г. и оценка за изпълнението на КФП за 2025 г.</w:t>
        </w:r>
        <w:r w:rsidR="00260538">
          <w:rPr>
            <w:webHidden/>
          </w:rPr>
          <w:tab/>
        </w:r>
        <w:r w:rsidR="00260538">
          <w:rPr>
            <w:webHidden/>
          </w:rPr>
          <w:fldChar w:fldCharType="begin"/>
        </w:r>
        <w:r w:rsidR="00260538">
          <w:rPr>
            <w:webHidden/>
          </w:rPr>
          <w:instrText xml:space="preserve"> PAGEREF _Toc216029372 \h </w:instrText>
        </w:r>
        <w:r w:rsidR="00260538">
          <w:rPr>
            <w:webHidden/>
          </w:rPr>
        </w:r>
        <w:r w:rsidR="00260538">
          <w:rPr>
            <w:webHidden/>
          </w:rPr>
          <w:fldChar w:fldCharType="separate"/>
        </w:r>
        <w:r w:rsidR="00260538">
          <w:rPr>
            <w:webHidden/>
          </w:rPr>
          <w:t>145</w:t>
        </w:r>
        <w:r w:rsidR="00260538">
          <w:rPr>
            <w:webHidden/>
          </w:rPr>
          <w:fldChar w:fldCharType="end"/>
        </w:r>
      </w:hyperlink>
    </w:p>
    <w:p w14:paraId="5223E08F" w14:textId="77777777" w:rsidR="00260538" w:rsidRDefault="006106A9">
      <w:pPr>
        <w:pStyle w:val="TOC2"/>
        <w:tabs>
          <w:tab w:val="left" w:pos="687"/>
        </w:tabs>
        <w:rPr>
          <w:rFonts w:asciiTheme="minorHAnsi" w:hAnsiTheme="minorHAnsi"/>
          <w:bCs w:val="0"/>
          <w:caps w:val="0"/>
          <w:sz w:val="22"/>
          <w:lang w:val="bg-BG"/>
        </w:rPr>
      </w:pPr>
      <w:hyperlink w:anchor="_Toc216029373" w:history="1">
        <w:r w:rsidR="00260538" w:rsidRPr="004F275B">
          <w:rPr>
            <w:rStyle w:val="Hyperlink"/>
          </w:rPr>
          <w:t>1.</w:t>
        </w:r>
        <w:r w:rsidR="00260538">
          <w:rPr>
            <w:rFonts w:asciiTheme="minorHAnsi" w:hAnsiTheme="minorHAnsi"/>
            <w:bCs w:val="0"/>
            <w:caps w:val="0"/>
            <w:sz w:val="22"/>
            <w:lang w:val="bg-BG"/>
          </w:rPr>
          <w:tab/>
        </w:r>
        <w:r w:rsidR="00260538" w:rsidRPr="004F275B">
          <w:rPr>
            <w:rStyle w:val="Hyperlink"/>
          </w:rPr>
          <w:t>Преглед на изпълнението на КФП за 2024 г.</w:t>
        </w:r>
        <w:r w:rsidR="00260538">
          <w:rPr>
            <w:webHidden/>
          </w:rPr>
          <w:tab/>
        </w:r>
        <w:r w:rsidR="00260538">
          <w:rPr>
            <w:webHidden/>
          </w:rPr>
          <w:fldChar w:fldCharType="begin"/>
        </w:r>
        <w:r w:rsidR="00260538">
          <w:rPr>
            <w:webHidden/>
          </w:rPr>
          <w:instrText xml:space="preserve"> PAGEREF _Toc216029373 \h </w:instrText>
        </w:r>
        <w:r w:rsidR="00260538">
          <w:rPr>
            <w:webHidden/>
          </w:rPr>
        </w:r>
        <w:r w:rsidR="00260538">
          <w:rPr>
            <w:webHidden/>
          </w:rPr>
          <w:fldChar w:fldCharType="separate"/>
        </w:r>
        <w:r w:rsidR="00260538">
          <w:rPr>
            <w:webHidden/>
          </w:rPr>
          <w:t>145</w:t>
        </w:r>
        <w:r w:rsidR="00260538">
          <w:rPr>
            <w:webHidden/>
          </w:rPr>
          <w:fldChar w:fldCharType="end"/>
        </w:r>
      </w:hyperlink>
    </w:p>
    <w:p w14:paraId="456AAA1C" w14:textId="77777777" w:rsidR="00260538" w:rsidRDefault="006106A9">
      <w:pPr>
        <w:pStyle w:val="TOC2"/>
        <w:tabs>
          <w:tab w:val="left" w:pos="687"/>
        </w:tabs>
        <w:rPr>
          <w:rFonts w:asciiTheme="minorHAnsi" w:hAnsiTheme="minorHAnsi"/>
          <w:bCs w:val="0"/>
          <w:caps w:val="0"/>
          <w:sz w:val="22"/>
          <w:lang w:val="bg-BG"/>
        </w:rPr>
      </w:pPr>
      <w:hyperlink w:anchor="_Toc216029374" w:history="1">
        <w:r w:rsidR="00260538" w:rsidRPr="004F275B">
          <w:rPr>
            <w:rStyle w:val="Hyperlink"/>
          </w:rPr>
          <w:t>2.</w:t>
        </w:r>
        <w:r w:rsidR="00260538">
          <w:rPr>
            <w:rFonts w:asciiTheme="minorHAnsi" w:hAnsiTheme="minorHAnsi"/>
            <w:bCs w:val="0"/>
            <w:caps w:val="0"/>
            <w:sz w:val="22"/>
            <w:lang w:val="bg-BG"/>
          </w:rPr>
          <w:tab/>
        </w:r>
        <w:r w:rsidR="00260538" w:rsidRPr="004F275B">
          <w:rPr>
            <w:rStyle w:val="Hyperlink"/>
          </w:rPr>
          <w:t>Изпълнение на КФП към 30.09.2025 г.</w:t>
        </w:r>
        <w:r w:rsidR="00260538">
          <w:rPr>
            <w:webHidden/>
          </w:rPr>
          <w:tab/>
        </w:r>
        <w:r w:rsidR="00260538">
          <w:rPr>
            <w:webHidden/>
          </w:rPr>
          <w:fldChar w:fldCharType="begin"/>
        </w:r>
        <w:r w:rsidR="00260538">
          <w:rPr>
            <w:webHidden/>
          </w:rPr>
          <w:instrText xml:space="preserve"> PAGEREF _Toc216029374 \h </w:instrText>
        </w:r>
        <w:r w:rsidR="00260538">
          <w:rPr>
            <w:webHidden/>
          </w:rPr>
        </w:r>
        <w:r w:rsidR="00260538">
          <w:rPr>
            <w:webHidden/>
          </w:rPr>
          <w:fldChar w:fldCharType="separate"/>
        </w:r>
        <w:r w:rsidR="00260538">
          <w:rPr>
            <w:webHidden/>
          </w:rPr>
          <w:t>150</w:t>
        </w:r>
        <w:r w:rsidR="00260538">
          <w:rPr>
            <w:webHidden/>
          </w:rPr>
          <w:fldChar w:fldCharType="end"/>
        </w:r>
      </w:hyperlink>
    </w:p>
    <w:p w14:paraId="280CDE0C" w14:textId="77777777" w:rsidR="00260538" w:rsidRDefault="006106A9">
      <w:pPr>
        <w:pStyle w:val="TOC2"/>
        <w:tabs>
          <w:tab w:val="left" w:pos="687"/>
        </w:tabs>
        <w:rPr>
          <w:rFonts w:asciiTheme="minorHAnsi" w:hAnsiTheme="minorHAnsi"/>
          <w:bCs w:val="0"/>
          <w:caps w:val="0"/>
          <w:sz w:val="22"/>
          <w:lang w:val="bg-BG"/>
        </w:rPr>
      </w:pPr>
      <w:hyperlink w:anchor="_Toc216029375" w:history="1">
        <w:r w:rsidR="00260538" w:rsidRPr="004F275B">
          <w:rPr>
            <w:rStyle w:val="Hyperlink"/>
          </w:rPr>
          <w:t>3.</w:t>
        </w:r>
        <w:r w:rsidR="00260538">
          <w:rPr>
            <w:rFonts w:asciiTheme="minorHAnsi" w:hAnsiTheme="minorHAnsi"/>
            <w:bCs w:val="0"/>
            <w:caps w:val="0"/>
            <w:sz w:val="22"/>
            <w:lang w:val="bg-BG"/>
          </w:rPr>
          <w:tab/>
        </w:r>
        <w:r w:rsidR="00260538" w:rsidRPr="004F275B">
          <w:rPr>
            <w:rStyle w:val="Hyperlink"/>
          </w:rPr>
          <w:t>Оценка за Изпълнението на КФП за 2025 г.</w:t>
        </w:r>
        <w:r w:rsidR="00260538">
          <w:rPr>
            <w:webHidden/>
          </w:rPr>
          <w:tab/>
        </w:r>
        <w:r w:rsidR="00260538">
          <w:rPr>
            <w:webHidden/>
          </w:rPr>
          <w:fldChar w:fldCharType="begin"/>
        </w:r>
        <w:r w:rsidR="00260538">
          <w:rPr>
            <w:webHidden/>
          </w:rPr>
          <w:instrText xml:space="preserve"> PAGEREF _Toc216029375 \h </w:instrText>
        </w:r>
        <w:r w:rsidR="00260538">
          <w:rPr>
            <w:webHidden/>
          </w:rPr>
        </w:r>
        <w:r w:rsidR="00260538">
          <w:rPr>
            <w:webHidden/>
          </w:rPr>
          <w:fldChar w:fldCharType="separate"/>
        </w:r>
        <w:r w:rsidR="00260538">
          <w:rPr>
            <w:webHidden/>
          </w:rPr>
          <w:t>155</w:t>
        </w:r>
        <w:r w:rsidR="00260538">
          <w:rPr>
            <w:webHidden/>
          </w:rPr>
          <w:fldChar w:fldCharType="end"/>
        </w:r>
      </w:hyperlink>
    </w:p>
    <w:p w14:paraId="10AF3F17" w14:textId="77777777" w:rsidR="00260538" w:rsidRDefault="006106A9">
      <w:pPr>
        <w:pStyle w:val="TOC2"/>
        <w:rPr>
          <w:rFonts w:asciiTheme="minorHAnsi" w:hAnsiTheme="minorHAnsi"/>
          <w:bCs w:val="0"/>
          <w:caps w:val="0"/>
          <w:sz w:val="22"/>
          <w:lang w:val="bg-BG"/>
        </w:rPr>
      </w:pPr>
      <w:hyperlink w:anchor="_Toc216029376" w:history="1">
        <w:r w:rsidR="00260538" w:rsidRPr="004F275B">
          <w:rPr>
            <w:rStyle w:val="Hyperlink"/>
          </w:rPr>
          <w:t>Приложение № 2:  Основни допускания по актуализираната средносрочна бюджетна прогноза за периода 2026-2028 г.</w:t>
        </w:r>
        <w:r w:rsidR="00260538">
          <w:rPr>
            <w:webHidden/>
          </w:rPr>
          <w:tab/>
        </w:r>
        <w:r w:rsidR="00260538">
          <w:rPr>
            <w:webHidden/>
          </w:rPr>
          <w:fldChar w:fldCharType="begin"/>
        </w:r>
        <w:r w:rsidR="00260538">
          <w:rPr>
            <w:webHidden/>
          </w:rPr>
          <w:instrText xml:space="preserve"> PAGEREF _Toc216029376 \h </w:instrText>
        </w:r>
        <w:r w:rsidR="00260538">
          <w:rPr>
            <w:webHidden/>
          </w:rPr>
        </w:r>
        <w:r w:rsidR="00260538">
          <w:rPr>
            <w:webHidden/>
          </w:rPr>
          <w:fldChar w:fldCharType="separate"/>
        </w:r>
        <w:r w:rsidR="00260538">
          <w:rPr>
            <w:webHidden/>
          </w:rPr>
          <w:t>156</w:t>
        </w:r>
        <w:r w:rsidR="00260538">
          <w:rPr>
            <w:webHidden/>
          </w:rPr>
          <w:fldChar w:fldCharType="end"/>
        </w:r>
      </w:hyperlink>
    </w:p>
    <w:p w14:paraId="2E1408D5" w14:textId="77777777" w:rsidR="00260538" w:rsidRDefault="006106A9">
      <w:pPr>
        <w:pStyle w:val="TOC2"/>
        <w:rPr>
          <w:rFonts w:asciiTheme="minorHAnsi" w:hAnsiTheme="minorHAnsi"/>
          <w:bCs w:val="0"/>
          <w:caps w:val="0"/>
          <w:sz w:val="22"/>
          <w:lang w:val="bg-BG"/>
        </w:rPr>
      </w:pPr>
      <w:hyperlink w:anchor="_Toc216029377" w:history="1">
        <w:r w:rsidR="00260538" w:rsidRPr="004F275B">
          <w:rPr>
            <w:rStyle w:val="Hyperlink"/>
          </w:rPr>
          <w:t>Приложение № 3: Консолидирана фискална програма за периода 2023-2028 г.</w:t>
        </w:r>
        <w:r w:rsidR="00260538">
          <w:rPr>
            <w:webHidden/>
          </w:rPr>
          <w:tab/>
        </w:r>
        <w:r w:rsidR="00260538">
          <w:rPr>
            <w:webHidden/>
          </w:rPr>
          <w:fldChar w:fldCharType="begin"/>
        </w:r>
        <w:r w:rsidR="00260538">
          <w:rPr>
            <w:webHidden/>
          </w:rPr>
          <w:instrText xml:space="preserve"> PAGEREF _Toc216029377 \h </w:instrText>
        </w:r>
        <w:r w:rsidR="00260538">
          <w:rPr>
            <w:webHidden/>
          </w:rPr>
        </w:r>
        <w:r w:rsidR="00260538">
          <w:rPr>
            <w:webHidden/>
          </w:rPr>
          <w:fldChar w:fldCharType="separate"/>
        </w:r>
        <w:r w:rsidR="00260538">
          <w:rPr>
            <w:webHidden/>
          </w:rPr>
          <w:t>166</w:t>
        </w:r>
        <w:r w:rsidR="00260538">
          <w:rPr>
            <w:webHidden/>
          </w:rPr>
          <w:fldChar w:fldCharType="end"/>
        </w:r>
      </w:hyperlink>
    </w:p>
    <w:p w14:paraId="51A3A50D" w14:textId="77777777" w:rsidR="00260538" w:rsidRDefault="006106A9">
      <w:pPr>
        <w:pStyle w:val="TOC2"/>
        <w:rPr>
          <w:rFonts w:asciiTheme="minorHAnsi" w:hAnsiTheme="minorHAnsi"/>
          <w:bCs w:val="0"/>
          <w:caps w:val="0"/>
          <w:sz w:val="22"/>
          <w:lang w:val="bg-BG"/>
        </w:rPr>
      </w:pPr>
      <w:hyperlink w:anchor="_Toc216029378" w:history="1">
        <w:r w:rsidR="00260538" w:rsidRPr="004F275B">
          <w:rPr>
            <w:rStyle w:val="Hyperlink"/>
          </w:rPr>
          <w:t>Приложение № 4:  Тавани на разходите по бюджетни организации за периода 2026-2028 г.</w:t>
        </w:r>
        <w:r w:rsidR="00260538">
          <w:rPr>
            <w:webHidden/>
          </w:rPr>
          <w:tab/>
        </w:r>
        <w:r w:rsidR="00260538">
          <w:rPr>
            <w:webHidden/>
          </w:rPr>
          <w:fldChar w:fldCharType="begin"/>
        </w:r>
        <w:r w:rsidR="00260538">
          <w:rPr>
            <w:webHidden/>
          </w:rPr>
          <w:instrText xml:space="preserve"> PAGEREF _Toc216029378 \h </w:instrText>
        </w:r>
        <w:r w:rsidR="00260538">
          <w:rPr>
            <w:webHidden/>
          </w:rPr>
        </w:r>
        <w:r w:rsidR="00260538">
          <w:rPr>
            <w:webHidden/>
          </w:rPr>
          <w:fldChar w:fldCharType="separate"/>
        </w:r>
        <w:r w:rsidR="00260538">
          <w:rPr>
            <w:webHidden/>
          </w:rPr>
          <w:t>170</w:t>
        </w:r>
        <w:r w:rsidR="00260538">
          <w:rPr>
            <w:webHidden/>
          </w:rPr>
          <w:fldChar w:fldCharType="end"/>
        </w:r>
      </w:hyperlink>
    </w:p>
    <w:p w14:paraId="0DFFBD1E" w14:textId="77777777" w:rsidR="00260538" w:rsidRDefault="006106A9">
      <w:pPr>
        <w:pStyle w:val="TOC2"/>
        <w:rPr>
          <w:rFonts w:asciiTheme="minorHAnsi" w:hAnsiTheme="minorHAnsi"/>
          <w:bCs w:val="0"/>
          <w:caps w:val="0"/>
          <w:sz w:val="22"/>
          <w:lang w:val="bg-BG"/>
        </w:rPr>
      </w:pPr>
      <w:hyperlink w:anchor="_Toc216029379" w:history="1">
        <w:r w:rsidR="00260538" w:rsidRPr="004F275B">
          <w:rPr>
            <w:rStyle w:val="Hyperlink"/>
          </w:rPr>
          <w:t>Приложение № 5:  Препоръчителни тавани на разходите по бюджетите на Народното събрание и на съдебната власт за периода 2026-2028 г.</w:t>
        </w:r>
        <w:r w:rsidR="00260538">
          <w:rPr>
            <w:webHidden/>
          </w:rPr>
          <w:tab/>
        </w:r>
        <w:r w:rsidR="00260538">
          <w:rPr>
            <w:webHidden/>
          </w:rPr>
          <w:fldChar w:fldCharType="begin"/>
        </w:r>
        <w:r w:rsidR="00260538">
          <w:rPr>
            <w:webHidden/>
          </w:rPr>
          <w:instrText xml:space="preserve"> PAGEREF _Toc216029379 \h </w:instrText>
        </w:r>
        <w:r w:rsidR="00260538">
          <w:rPr>
            <w:webHidden/>
          </w:rPr>
        </w:r>
        <w:r w:rsidR="00260538">
          <w:rPr>
            <w:webHidden/>
          </w:rPr>
          <w:fldChar w:fldCharType="separate"/>
        </w:r>
        <w:r w:rsidR="00260538">
          <w:rPr>
            <w:webHidden/>
          </w:rPr>
          <w:t>172</w:t>
        </w:r>
        <w:r w:rsidR="00260538">
          <w:rPr>
            <w:webHidden/>
          </w:rPr>
          <w:fldChar w:fldCharType="end"/>
        </w:r>
      </w:hyperlink>
    </w:p>
    <w:p w14:paraId="2706CFC3" w14:textId="77777777" w:rsidR="00260538" w:rsidRDefault="006106A9">
      <w:pPr>
        <w:pStyle w:val="TOC2"/>
        <w:rPr>
          <w:rFonts w:asciiTheme="minorHAnsi" w:hAnsiTheme="minorHAnsi"/>
          <w:bCs w:val="0"/>
          <w:caps w:val="0"/>
          <w:sz w:val="22"/>
          <w:lang w:val="bg-BG"/>
        </w:rPr>
      </w:pPr>
      <w:hyperlink w:anchor="_Toc216029380" w:history="1">
        <w:r w:rsidR="00260538" w:rsidRPr="004F275B">
          <w:rPr>
            <w:rStyle w:val="Hyperlink"/>
          </w:rPr>
          <w:t>Приложение № 6:  Размери на бюджетните взаимоотношения (трансферите) на държавния бюджет с бюджетите на БНТ, БНР, БТА, БАН, държавните висши училища и държавните висши военни училища за периода 2026-2028 г.</w:t>
        </w:r>
        <w:r w:rsidR="00260538">
          <w:rPr>
            <w:webHidden/>
          </w:rPr>
          <w:tab/>
        </w:r>
        <w:r w:rsidR="00260538">
          <w:rPr>
            <w:webHidden/>
          </w:rPr>
          <w:fldChar w:fldCharType="begin"/>
        </w:r>
        <w:r w:rsidR="00260538">
          <w:rPr>
            <w:webHidden/>
          </w:rPr>
          <w:instrText xml:space="preserve"> PAGEREF _Toc216029380 \h </w:instrText>
        </w:r>
        <w:r w:rsidR="00260538">
          <w:rPr>
            <w:webHidden/>
          </w:rPr>
        </w:r>
        <w:r w:rsidR="00260538">
          <w:rPr>
            <w:webHidden/>
          </w:rPr>
          <w:fldChar w:fldCharType="separate"/>
        </w:r>
        <w:r w:rsidR="00260538">
          <w:rPr>
            <w:webHidden/>
          </w:rPr>
          <w:t>172</w:t>
        </w:r>
        <w:r w:rsidR="00260538">
          <w:rPr>
            <w:webHidden/>
          </w:rPr>
          <w:fldChar w:fldCharType="end"/>
        </w:r>
      </w:hyperlink>
    </w:p>
    <w:p w14:paraId="4B5D3798" w14:textId="77777777" w:rsidR="00260538" w:rsidRDefault="006106A9">
      <w:pPr>
        <w:pStyle w:val="TOC2"/>
        <w:rPr>
          <w:rFonts w:asciiTheme="minorHAnsi" w:hAnsiTheme="minorHAnsi"/>
          <w:bCs w:val="0"/>
          <w:caps w:val="0"/>
          <w:sz w:val="22"/>
          <w:lang w:val="bg-BG"/>
        </w:rPr>
      </w:pPr>
      <w:hyperlink w:anchor="_Toc216029381" w:history="1">
        <w:r w:rsidR="00260538" w:rsidRPr="004F275B">
          <w:rPr>
            <w:rStyle w:val="Hyperlink"/>
          </w:rPr>
          <w:t>Приложение № 7:  Размери на разходите и трансферите (нето) по сметките за средствата от Европейския съюз за периода 2026-2028 г.</w:t>
        </w:r>
        <w:r w:rsidR="00260538">
          <w:rPr>
            <w:webHidden/>
          </w:rPr>
          <w:tab/>
        </w:r>
        <w:r w:rsidR="00260538">
          <w:rPr>
            <w:webHidden/>
          </w:rPr>
          <w:fldChar w:fldCharType="begin"/>
        </w:r>
        <w:r w:rsidR="00260538">
          <w:rPr>
            <w:webHidden/>
          </w:rPr>
          <w:instrText xml:space="preserve"> PAGEREF _Toc216029381 \h </w:instrText>
        </w:r>
        <w:r w:rsidR="00260538">
          <w:rPr>
            <w:webHidden/>
          </w:rPr>
        </w:r>
        <w:r w:rsidR="00260538">
          <w:rPr>
            <w:webHidden/>
          </w:rPr>
          <w:fldChar w:fldCharType="separate"/>
        </w:r>
        <w:r w:rsidR="00260538">
          <w:rPr>
            <w:webHidden/>
          </w:rPr>
          <w:t>173</w:t>
        </w:r>
        <w:r w:rsidR="00260538">
          <w:rPr>
            <w:webHidden/>
          </w:rPr>
          <w:fldChar w:fldCharType="end"/>
        </w:r>
      </w:hyperlink>
    </w:p>
    <w:p w14:paraId="522A8E32" w14:textId="77777777" w:rsidR="00260538" w:rsidRDefault="006106A9">
      <w:pPr>
        <w:pStyle w:val="TOC2"/>
        <w:rPr>
          <w:rFonts w:asciiTheme="minorHAnsi" w:hAnsiTheme="minorHAnsi"/>
          <w:bCs w:val="0"/>
          <w:caps w:val="0"/>
          <w:sz w:val="22"/>
          <w:lang w:val="bg-BG"/>
        </w:rPr>
      </w:pPr>
      <w:hyperlink w:anchor="_Toc216029382" w:history="1">
        <w:r w:rsidR="00260538" w:rsidRPr="004F275B">
          <w:rPr>
            <w:rStyle w:val="Hyperlink"/>
          </w:rPr>
          <w:t>Приложение № 8:  Размери на разходите и трансферите (нето) по други икономически обособени лица и структурни единици, включени в КФП за периода 2026-2028 г.</w:t>
        </w:r>
        <w:r w:rsidR="00260538">
          <w:rPr>
            <w:webHidden/>
          </w:rPr>
          <w:tab/>
        </w:r>
        <w:r w:rsidR="00260538">
          <w:rPr>
            <w:webHidden/>
          </w:rPr>
          <w:fldChar w:fldCharType="begin"/>
        </w:r>
        <w:r w:rsidR="00260538">
          <w:rPr>
            <w:webHidden/>
          </w:rPr>
          <w:instrText xml:space="preserve"> PAGEREF _Toc216029382 \h </w:instrText>
        </w:r>
        <w:r w:rsidR="00260538">
          <w:rPr>
            <w:webHidden/>
          </w:rPr>
        </w:r>
        <w:r w:rsidR="00260538">
          <w:rPr>
            <w:webHidden/>
          </w:rPr>
          <w:fldChar w:fldCharType="separate"/>
        </w:r>
        <w:r w:rsidR="00260538">
          <w:rPr>
            <w:webHidden/>
          </w:rPr>
          <w:t>174</w:t>
        </w:r>
        <w:r w:rsidR="00260538">
          <w:rPr>
            <w:webHidden/>
          </w:rPr>
          <w:fldChar w:fldCharType="end"/>
        </w:r>
      </w:hyperlink>
    </w:p>
    <w:p w14:paraId="459DF50C" w14:textId="77777777" w:rsidR="00260538" w:rsidRDefault="006106A9">
      <w:pPr>
        <w:pStyle w:val="TOC2"/>
        <w:rPr>
          <w:rFonts w:asciiTheme="minorHAnsi" w:hAnsiTheme="minorHAnsi"/>
          <w:bCs w:val="0"/>
          <w:caps w:val="0"/>
          <w:sz w:val="22"/>
          <w:lang w:val="bg-BG"/>
        </w:rPr>
      </w:pPr>
      <w:hyperlink w:anchor="_Toc216029383" w:history="1">
        <w:r w:rsidR="00260538" w:rsidRPr="004F275B">
          <w:rPr>
            <w:rStyle w:val="Hyperlink"/>
          </w:rPr>
          <w:t>Приложение № 9:  Размери на основните бюджетни взаимоотношения между централния бюджет и бюджетите на общините за периода 2026-2028 г.</w:t>
        </w:r>
        <w:r w:rsidR="00260538">
          <w:rPr>
            <w:webHidden/>
          </w:rPr>
          <w:tab/>
        </w:r>
        <w:r w:rsidR="00260538">
          <w:rPr>
            <w:webHidden/>
          </w:rPr>
          <w:fldChar w:fldCharType="begin"/>
        </w:r>
        <w:r w:rsidR="00260538">
          <w:rPr>
            <w:webHidden/>
          </w:rPr>
          <w:instrText xml:space="preserve"> PAGEREF _Toc216029383 \h </w:instrText>
        </w:r>
        <w:r w:rsidR="00260538">
          <w:rPr>
            <w:webHidden/>
          </w:rPr>
        </w:r>
        <w:r w:rsidR="00260538">
          <w:rPr>
            <w:webHidden/>
          </w:rPr>
          <w:fldChar w:fldCharType="separate"/>
        </w:r>
        <w:r w:rsidR="00260538">
          <w:rPr>
            <w:webHidden/>
          </w:rPr>
          <w:t>175</w:t>
        </w:r>
        <w:r w:rsidR="00260538">
          <w:rPr>
            <w:webHidden/>
          </w:rPr>
          <w:fldChar w:fldCharType="end"/>
        </w:r>
      </w:hyperlink>
    </w:p>
    <w:p w14:paraId="57CEA1E1" w14:textId="77777777" w:rsidR="00260538" w:rsidRDefault="006106A9">
      <w:pPr>
        <w:pStyle w:val="TOC2"/>
        <w:rPr>
          <w:rFonts w:asciiTheme="minorHAnsi" w:hAnsiTheme="minorHAnsi"/>
          <w:bCs w:val="0"/>
          <w:caps w:val="0"/>
          <w:sz w:val="22"/>
          <w:lang w:val="bg-BG"/>
        </w:rPr>
      </w:pPr>
      <w:hyperlink w:anchor="_Toc216029384" w:history="1">
        <w:r w:rsidR="00260538" w:rsidRPr="004F275B">
          <w:rPr>
            <w:rStyle w:val="Hyperlink"/>
          </w:rPr>
          <w:t>Приложение № 10:  Данъчни разходи за 2024 г. и 2026 г.</w:t>
        </w:r>
        <w:r w:rsidR="00260538">
          <w:rPr>
            <w:webHidden/>
          </w:rPr>
          <w:tab/>
        </w:r>
        <w:r w:rsidR="00260538">
          <w:rPr>
            <w:webHidden/>
          </w:rPr>
          <w:fldChar w:fldCharType="begin"/>
        </w:r>
        <w:r w:rsidR="00260538">
          <w:rPr>
            <w:webHidden/>
          </w:rPr>
          <w:instrText xml:space="preserve"> PAGEREF _Toc216029384 \h </w:instrText>
        </w:r>
        <w:r w:rsidR="00260538">
          <w:rPr>
            <w:webHidden/>
          </w:rPr>
        </w:r>
        <w:r w:rsidR="00260538">
          <w:rPr>
            <w:webHidden/>
          </w:rPr>
          <w:fldChar w:fldCharType="separate"/>
        </w:r>
        <w:r w:rsidR="00260538">
          <w:rPr>
            <w:webHidden/>
          </w:rPr>
          <w:t>176</w:t>
        </w:r>
        <w:r w:rsidR="00260538">
          <w:rPr>
            <w:webHidden/>
          </w:rPr>
          <w:fldChar w:fldCharType="end"/>
        </w:r>
      </w:hyperlink>
    </w:p>
    <w:p w14:paraId="2D250A62" w14:textId="77777777" w:rsidR="00310779" w:rsidRPr="008200BE" w:rsidRDefault="00E269CB" w:rsidP="004C3CD4">
      <w:pPr>
        <w:spacing w:after="0"/>
        <w:jc w:val="left"/>
        <w:rPr>
          <w:b/>
          <w:bCs/>
          <w:caps/>
          <w:sz w:val="28"/>
          <w:szCs w:val="32"/>
        </w:rPr>
      </w:pPr>
      <w:r w:rsidRPr="008200BE">
        <w:rPr>
          <w:w w:val="90"/>
          <w:lang w:eastAsia="zh-CN"/>
        </w:rPr>
        <w:fldChar w:fldCharType="end"/>
      </w:r>
    </w:p>
    <w:p w14:paraId="010C1CAF" w14:textId="77777777" w:rsidR="004C3CD4" w:rsidRPr="008200BE" w:rsidRDefault="004C3CD4" w:rsidP="00106543">
      <w:pPr>
        <w:rPr>
          <w:rStyle w:val="Hyperlink"/>
          <w:rFonts w:eastAsia="Times New Roman"/>
          <w:szCs w:val="20"/>
          <w:lang w:eastAsia="en-GB"/>
        </w:rPr>
      </w:pPr>
      <w:r w:rsidRPr="008200BE">
        <w:rPr>
          <w:rStyle w:val="Hyperlink"/>
          <w:rFonts w:eastAsia="Times New Roman"/>
          <w:szCs w:val="20"/>
          <w:lang w:eastAsia="en-GB"/>
        </w:rPr>
        <w:br w:type="page"/>
      </w:r>
    </w:p>
    <w:p w14:paraId="48B51933" w14:textId="77777777" w:rsidR="004C3CD4" w:rsidRPr="008200BE" w:rsidRDefault="004C3CD4" w:rsidP="003153D7">
      <w:pPr>
        <w:rPr>
          <w:spacing w:val="12"/>
          <w:sz w:val="32"/>
        </w:rPr>
      </w:pPr>
      <w:bookmarkStart w:id="15" w:name="_Toc464746958"/>
      <w:bookmarkStart w:id="16" w:name="_Toc465070435"/>
      <w:bookmarkStart w:id="17" w:name="_Toc465176563"/>
      <w:bookmarkStart w:id="18" w:name="_Toc465177067"/>
      <w:bookmarkStart w:id="19" w:name="_Toc465177880"/>
      <w:bookmarkStart w:id="20" w:name="_Toc465177988"/>
      <w:bookmarkStart w:id="21" w:name="_Toc465178096"/>
      <w:r w:rsidRPr="008200BE">
        <w:rPr>
          <w:spacing w:val="12"/>
          <w:sz w:val="32"/>
        </w:rPr>
        <w:lastRenderedPageBreak/>
        <w:t>Списък с включените в текста таблици</w:t>
      </w:r>
      <w:bookmarkEnd w:id="15"/>
      <w:bookmarkEnd w:id="16"/>
      <w:bookmarkEnd w:id="17"/>
      <w:bookmarkEnd w:id="18"/>
      <w:bookmarkEnd w:id="19"/>
      <w:bookmarkEnd w:id="20"/>
      <w:bookmarkEnd w:id="21"/>
    </w:p>
    <w:p w14:paraId="66949923" w14:textId="77777777" w:rsidR="004C3CD4" w:rsidRPr="008200BE" w:rsidRDefault="004C3CD4" w:rsidP="00EF7923">
      <w:pPr>
        <w:tabs>
          <w:tab w:val="left" w:pos="1530"/>
        </w:tabs>
        <w:ind w:hanging="180"/>
        <w:rPr>
          <w:rStyle w:val="Hyperlink"/>
          <w:rFonts w:eastAsia="Times New Roman"/>
          <w:szCs w:val="20"/>
          <w:lang w:eastAsia="en-GB"/>
        </w:rPr>
      </w:pPr>
    </w:p>
    <w:p w14:paraId="6DC3B053" w14:textId="77777777" w:rsidR="00C11357" w:rsidRPr="00C11357" w:rsidRDefault="004C3CD4">
      <w:pPr>
        <w:pStyle w:val="TableofFigures"/>
        <w:tabs>
          <w:tab w:val="left" w:pos="1224"/>
          <w:tab w:val="right" w:leader="dot" w:pos="9060"/>
        </w:tabs>
        <w:rPr>
          <w:rFonts w:asciiTheme="minorHAnsi" w:eastAsiaTheme="minorEastAsia" w:hAnsiTheme="minorHAnsi"/>
          <w:noProof/>
          <w:sz w:val="22"/>
          <w:lang w:eastAsia="bg-BG"/>
        </w:rPr>
      </w:pPr>
      <w:r w:rsidRPr="00C11357">
        <w:rPr>
          <w:rStyle w:val="Hyperlink"/>
          <w:sz w:val="22"/>
          <w:highlight w:val="yellow"/>
        </w:rPr>
        <w:fldChar w:fldCharType="begin"/>
      </w:r>
      <w:r w:rsidRPr="00C11357">
        <w:rPr>
          <w:rStyle w:val="Hyperlink"/>
          <w:sz w:val="22"/>
          <w:highlight w:val="yellow"/>
        </w:rPr>
        <w:instrText xml:space="preserve"> TOC \h \z \c "Табл." </w:instrText>
      </w:r>
      <w:r w:rsidRPr="00C11357">
        <w:rPr>
          <w:rStyle w:val="Hyperlink"/>
          <w:sz w:val="22"/>
          <w:highlight w:val="yellow"/>
        </w:rPr>
        <w:fldChar w:fldCharType="separate"/>
      </w:r>
      <w:hyperlink w:anchor="_Toc213229049"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noProof/>
            <w:sz w:val="22"/>
            <w:lang w:eastAsia="en-US"/>
          </w:rPr>
          <w:t>Основни допускания за развитието на външната среда</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_Toc213229049 \h </w:instrText>
        </w:r>
        <w:r w:rsidR="00C11357" w:rsidRPr="00C11357">
          <w:rPr>
            <w:noProof/>
            <w:webHidden/>
            <w:sz w:val="22"/>
          </w:rPr>
        </w:r>
        <w:r w:rsidR="00C11357" w:rsidRPr="00C11357">
          <w:rPr>
            <w:noProof/>
            <w:webHidden/>
            <w:sz w:val="22"/>
          </w:rPr>
          <w:fldChar w:fldCharType="separate"/>
        </w:r>
        <w:r w:rsidR="00A625AA">
          <w:rPr>
            <w:noProof/>
            <w:webHidden/>
            <w:sz w:val="22"/>
          </w:rPr>
          <w:t>14</w:t>
        </w:r>
        <w:r w:rsidR="00C11357" w:rsidRPr="00C11357">
          <w:rPr>
            <w:noProof/>
            <w:webHidden/>
            <w:sz w:val="22"/>
          </w:rPr>
          <w:fldChar w:fldCharType="end"/>
        </w:r>
      </w:hyperlink>
    </w:p>
    <w:p w14:paraId="07504D7A" w14:textId="77777777" w:rsidR="00C11357" w:rsidRPr="00C11357" w:rsidRDefault="006106A9">
      <w:pPr>
        <w:pStyle w:val="TableofFigures"/>
        <w:tabs>
          <w:tab w:val="left" w:pos="1224"/>
          <w:tab w:val="right" w:leader="dot" w:pos="9060"/>
        </w:tabs>
        <w:rPr>
          <w:rFonts w:asciiTheme="minorHAnsi" w:eastAsiaTheme="minorEastAsia" w:hAnsiTheme="minorHAnsi"/>
          <w:noProof/>
          <w:sz w:val="22"/>
          <w:lang w:eastAsia="bg-BG"/>
        </w:rPr>
      </w:pPr>
      <w:hyperlink w:anchor="_Toc213229050"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noProof/>
            <w:sz w:val="22"/>
            <w:lang w:eastAsia="en-US"/>
          </w:rPr>
          <w:t>Основни макроикономически показатели</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_Toc213229050 \h </w:instrText>
        </w:r>
        <w:r w:rsidR="00C11357" w:rsidRPr="00C11357">
          <w:rPr>
            <w:noProof/>
            <w:webHidden/>
            <w:sz w:val="22"/>
          </w:rPr>
        </w:r>
        <w:r w:rsidR="00C11357" w:rsidRPr="00C11357">
          <w:rPr>
            <w:noProof/>
            <w:webHidden/>
            <w:sz w:val="22"/>
          </w:rPr>
          <w:fldChar w:fldCharType="separate"/>
        </w:r>
        <w:r w:rsidR="00A625AA">
          <w:rPr>
            <w:noProof/>
            <w:webHidden/>
            <w:sz w:val="22"/>
          </w:rPr>
          <w:t>15</w:t>
        </w:r>
        <w:r w:rsidR="00C11357" w:rsidRPr="00C11357">
          <w:rPr>
            <w:noProof/>
            <w:webHidden/>
            <w:sz w:val="22"/>
          </w:rPr>
          <w:fldChar w:fldCharType="end"/>
        </w:r>
      </w:hyperlink>
    </w:p>
    <w:p w14:paraId="2EB8F566" w14:textId="77777777" w:rsidR="00C11357" w:rsidRPr="00C11357" w:rsidRDefault="006106A9">
      <w:pPr>
        <w:pStyle w:val="TableofFigures"/>
        <w:tabs>
          <w:tab w:val="left" w:pos="1224"/>
          <w:tab w:val="right" w:leader="dot" w:pos="9060"/>
        </w:tabs>
        <w:rPr>
          <w:rFonts w:asciiTheme="minorHAnsi" w:eastAsiaTheme="minorEastAsia" w:hAnsiTheme="minorHAnsi"/>
          <w:noProof/>
          <w:sz w:val="22"/>
          <w:lang w:eastAsia="bg-BG"/>
        </w:rPr>
      </w:pPr>
      <w:hyperlink w:anchor="_Toc213229051"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3:</w:t>
        </w:r>
        <w:r w:rsidR="00C11357" w:rsidRPr="00C11357">
          <w:rPr>
            <w:rFonts w:asciiTheme="minorHAnsi" w:eastAsiaTheme="minorEastAsia" w:hAnsiTheme="minorHAnsi"/>
            <w:noProof/>
            <w:sz w:val="22"/>
            <w:lang w:eastAsia="bg-BG"/>
          </w:rPr>
          <w:tab/>
        </w:r>
        <w:r w:rsidR="00C11357" w:rsidRPr="00C11357">
          <w:rPr>
            <w:rStyle w:val="Hyperlink"/>
            <w:noProof/>
            <w:sz w:val="22"/>
            <w:lang w:eastAsia="en-US"/>
          </w:rPr>
          <w:t>Стойности на потенциалния растеж и на отклонението от потенциалния БВП</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_Toc213229051 \h </w:instrText>
        </w:r>
        <w:r w:rsidR="00C11357" w:rsidRPr="00C11357">
          <w:rPr>
            <w:noProof/>
            <w:webHidden/>
            <w:sz w:val="22"/>
          </w:rPr>
        </w:r>
        <w:r w:rsidR="00C11357" w:rsidRPr="00C11357">
          <w:rPr>
            <w:noProof/>
            <w:webHidden/>
            <w:sz w:val="22"/>
          </w:rPr>
          <w:fldChar w:fldCharType="separate"/>
        </w:r>
        <w:r w:rsidR="00A625AA">
          <w:rPr>
            <w:noProof/>
            <w:webHidden/>
            <w:sz w:val="22"/>
          </w:rPr>
          <w:t>19</w:t>
        </w:r>
        <w:r w:rsidR="00C11357" w:rsidRPr="00C11357">
          <w:rPr>
            <w:noProof/>
            <w:webHidden/>
            <w:sz w:val="22"/>
          </w:rPr>
          <w:fldChar w:fldCharType="end"/>
        </w:r>
      </w:hyperlink>
    </w:p>
    <w:p w14:paraId="08AB06C0" w14:textId="77777777" w:rsidR="00C11357" w:rsidRPr="00C11357" w:rsidRDefault="006106A9">
      <w:pPr>
        <w:pStyle w:val="TableofFigures"/>
        <w:tabs>
          <w:tab w:val="left" w:pos="1224"/>
          <w:tab w:val="right" w:leader="dot" w:pos="9060"/>
        </w:tabs>
        <w:rPr>
          <w:rFonts w:asciiTheme="minorHAnsi" w:eastAsiaTheme="minorEastAsia" w:hAnsiTheme="minorHAnsi"/>
          <w:noProof/>
          <w:sz w:val="22"/>
          <w:lang w:eastAsia="bg-BG"/>
        </w:rPr>
      </w:pPr>
      <w:hyperlink w:anchor="_Toc213229052" w:history="1">
        <w:r w:rsidR="00C11357" w:rsidRPr="00C11357">
          <w:rPr>
            <w:rStyle w:val="Hyperlink"/>
            <w:rFonts w:eastAsiaTheme="majorEastAsia"/>
            <w:noProof/>
            <w:sz w:val="22"/>
          </w:rPr>
          <w:t>Табл. I</w:t>
        </w:r>
        <w:r w:rsidR="00C11357" w:rsidRPr="00C11357">
          <w:rPr>
            <w:rStyle w:val="Hyperlink"/>
            <w:rFonts w:eastAsiaTheme="majorEastAsia"/>
            <w:noProof/>
            <w:sz w:val="22"/>
          </w:rPr>
          <w:noBreakHyphen/>
          <w:t>4:</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Сравнение на макроикономическата прогноза на МФ с прогнозата на ЕК</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_Toc213229052 \h </w:instrText>
        </w:r>
        <w:r w:rsidR="00C11357" w:rsidRPr="00C11357">
          <w:rPr>
            <w:noProof/>
            <w:webHidden/>
            <w:sz w:val="22"/>
          </w:rPr>
        </w:r>
        <w:r w:rsidR="00C11357" w:rsidRPr="00C11357">
          <w:rPr>
            <w:noProof/>
            <w:webHidden/>
            <w:sz w:val="22"/>
          </w:rPr>
          <w:fldChar w:fldCharType="separate"/>
        </w:r>
        <w:r w:rsidR="00A625AA">
          <w:rPr>
            <w:noProof/>
            <w:webHidden/>
            <w:sz w:val="22"/>
          </w:rPr>
          <w:t>19</w:t>
        </w:r>
        <w:r w:rsidR="00C11357" w:rsidRPr="00C11357">
          <w:rPr>
            <w:noProof/>
            <w:webHidden/>
            <w:sz w:val="22"/>
          </w:rPr>
          <w:fldChar w:fldCharType="end"/>
        </w:r>
      </w:hyperlink>
    </w:p>
    <w:p w14:paraId="242EAC2C" w14:textId="77777777" w:rsidR="00C11357" w:rsidRPr="00C11357" w:rsidRDefault="006106A9">
      <w:pPr>
        <w:pStyle w:val="TableofFigures"/>
        <w:tabs>
          <w:tab w:val="left" w:pos="1261"/>
          <w:tab w:val="right" w:leader="dot" w:pos="9060"/>
        </w:tabs>
        <w:rPr>
          <w:rFonts w:asciiTheme="minorHAnsi" w:eastAsiaTheme="minorEastAsia" w:hAnsiTheme="minorHAnsi"/>
          <w:noProof/>
          <w:sz w:val="22"/>
          <w:lang w:eastAsia="bg-BG"/>
        </w:rPr>
      </w:pPr>
      <w:hyperlink w:anchor="_Toc213229053"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показатели на КФП (касова основа)</w:t>
        </w:r>
        <w:r w:rsidR="00C11357" w:rsidRPr="00C11357">
          <w:rPr>
            <w:rStyle w:val="Hyperlink"/>
            <w:rFonts w:eastAsiaTheme="majorEastAsia"/>
            <w:noProof/>
            <w:sz w:val="22"/>
            <w:vertAlign w:val="superscript"/>
          </w:rPr>
          <w:t xml:space="preserve"> </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_Toc213229053 \h </w:instrText>
        </w:r>
        <w:r w:rsidR="00C11357" w:rsidRPr="00C11357">
          <w:rPr>
            <w:noProof/>
            <w:webHidden/>
            <w:sz w:val="22"/>
          </w:rPr>
        </w:r>
        <w:r w:rsidR="00C11357" w:rsidRPr="00C11357">
          <w:rPr>
            <w:noProof/>
            <w:webHidden/>
            <w:sz w:val="22"/>
          </w:rPr>
          <w:fldChar w:fldCharType="separate"/>
        </w:r>
        <w:r w:rsidR="00A625AA">
          <w:rPr>
            <w:noProof/>
            <w:webHidden/>
            <w:sz w:val="22"/>
          </w:rPr>
          <w:t>20</w:t>
        </w:r>
        <w:r w:rsidR="00C11357" w:rsidRPr="00C11357">
          <w:rPr>
            <w:noProof/>
            <w:webHidden/>
            <w:sz w:val="22"/>
          </w:rPr>
          <w:fldChar w:fldCharType="end"/>
        </w:r>
      </w:hyperlink>
    </w:p>
    <w:p w14:paraId="2D8FE535" w14:textId="77777777" w:rsidR="00C11357" w:rsidRPr="00C11357" w:rsidRDefault="006106A9">
      <w:pPr>
        <w:pStyle w:val="TableofFigures"/>
        <w:tabs>
          <w:tab w:val="left" w:pos="1261"/>
          <w:tab w:val="right" w:leader="dot" w:pos="9060"/>
        </w:tabs>
        <w:rPr>
          <w:rFonts w:asciiTheme="minorHAnsi" w:eastAsiaTheme="minorEastAsia" w:hAnsiTheme="minorHAnsi"/>
          <w:noProof/>
          <w:sz w:val="22"/>
          <w:lang w:eastAsia="bg-BG"/>
        </w:rPr>
      </w:pPr>
      <w:hyperlink w:anchor="_Toc213229054"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показатели по КФП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_Toc213229054 \h </w:instrText>
        </w:r>
        <w:r w:rsidR="00C11357" w:rsidRPr="00C11357">
          <w:rPr>
            <w:noProof/>
            <w:webHidden/>
            <w:sz w:val="22"/>
          </w:rPr>
        </w:r>
        <w:r w:rsidR="00C11357" w:rsidRPr="00C11357">
          <w:rPr>
            <w:noProof/>
            <w:webHidden/>
            <w:sz w:val="22"/>
          </w:rPr>
          <w:fldChar w:fldCharType="separate"/>
        </w:r>
        <w:r w:rsidR="00A625AA">
          <w:rPr>
            <w:noProof/>
            <w:webHidden/>
            <w:sz w:val="22"/>
          </w:rPr>
          <w:t>21</w:t>
        </w:r>
        <w:r w:rsidR="00C11357" w:rsidRPr="00C11357">
          <w:rPr>
            <w:noProof/>
            <w:webHidden/>
            <w:sz w:val="22"/>
          </w:rPr>
          <w:fldChar w:fldCharType="end"/>
        </w:r>
      </w:hyperlink>
    </w:p>
    <w:p w14:paraId="0458F833" w14:textId="77777777" w:rsidR="00C11357" w:rsidRPr="00C11357" w:rsidRDefault="006106A9">
      <w:pPr>
        <w:pStyle w:val="TableofFigures"/>
        <w:tabs>
          <w:tab w:val="left" w:pos="1261"/>
          <w:tab w:val="right" w:leader="dot" w:pos="9060"/>
        </w:tabs>
        <w:rPr>
          <w:rFonts w:asciiTheme="minorHAnsi" w:eastAsiaTheme="minorEastAsia" w:hAnsiTheme="minorHAnsi"/>
          <w:noProof/>
          <w:sz w:val="22"/>
          <w:lang w:eastAsia="bg-BG"/>
        </w:rPr>
      </w:pPr>
      <w:hyperlink w:anchor="_Toc213229055"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3:</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КФП – Национален бюджет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_Toc213229055 \h </w:instrText>
        </w:r>
        <w:r w:rsidR="00C11357" w:rsidRPr="00C11357">
          <w:rPr>
            <w:noProof/>
            <w:webHidden/>
            <w:sz w:val="22"/>
          </w:rPr>
        </w:r>
        <w:r w:rsidR="00C11357" w:rsidRPr="00C11357">
          <w:rPr>
            <w:noProof/>
            <w:webHidden/>
            <w:sz w:val="22"/>
          </w:rPr>
          <w:fldChar w:fldCharType="separate"/>
        </w:r>
        <w:r w:rsidR="00A625AA">
          <w:rPr>
            <w:noProof/>
            <w:webHidden/>
            <w:sz w:val="22"/>
          </w:rPr>
          <w:t>22</w:t>
        </w:r>
        <w:r w:rsidR="00C11357" w:rsidRPr="00C11357">
          <w:rPr>
            <w:noProof/>
            <w:webHidden/>
            <w:sz w:val="22"/>
          </w:rPr>
          <w:fldChar w:fldCharType="end"/>
        </w:r>
      </w:hyperlink>
    </w:p>
    <w:p w14:paraId="64367D1D" w14:textId="77777777" w:rsidR="00C11357" w:rsidRPr="00C11357" w:rsidRDefault="006106A9">
      <w:pPr>
        <w:pStyle w:val="TableofFigures"/>
        <w:tabs>
          <w:tab w:val="left" w:pos="1261"/>
          <w:tab w:val="right" w:leader="dot" w:pos="9060"/>
        </w:tabs>
        <w:rPr>
          <w:rFonts w:asciiTheme="minorHAnsi" w:eastAsiaTheme="minorEastAsia" w:hAnsiTheme="minorHAnsi"/>
          <w:noProof/>
          <w:sz w:val="22"/>
          <w:lang w:eastAsia="bg-BG"/>
        </w:rPr>
      </w:pPr>
      <w:hyperlink w:anchor="_Toc213229056"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4:</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КФП – Сметки за средства от ЕС (2026-2028 г.)</w:t>
        </w:r>
        <w:r w:rsidR="00C11357" w:rsidRPr="00C11357">
          <w:rPr>
            <w:rStyle w:val="Hyperlink"/>
            <w:rFonts w:eastAsiaTheme="majorEastAsia"/>
            <w:noProof/>
            <w:sz w:val="22"/>
            <w:vertAlign w:val="superscript"/>
          </w:rPr>
          <w:t xml:space="preserve"> </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_Toc213229056 \h </w:instrText>
        </w:r>
        <w:r w:rsidR="00C11357" w:rsidRPr="00C11357">
          <w:rPr>
            <w:noProof/>
            <w:webHidden/>
            <w:sz w:val="22"/>
          </w:rPr>
        </w:r>
        <w:r w:rsidR="00C11357" w:rsidRPr="00C11357">
          <w:rPr>
            <w:noProof/>
            <w:webHidden/>
            <w:sz w:val="22"/>
          </w:rPr>
          <w:fldChar w:fldCharType="separate"/>
        </w:r>
        <w:r w:rsidR="00A625AA">
          <w:rPr>
            <w:noProof/>
            <w:webHidden/>
            <w:sz w:val="22"/>
          </w:rPr>
          <w:t>23</w:t>
        </w:r>
        <w:r w:rsidR="00C11357" w:rsidRPr="00C11357">
          <w:rPr>
            <w:noProof/>
            <w:webHidden/>
            <w:sz w:val="22"/>
          </w:rPr>
          <w:fldChar w:fldCharType="end"/>
        </w:r>
      </w:hyperlink>
    </w:p>
    <w:p w14:paraId="196AB168" w14:textId="77777777" w:rsidR="00C11357" w:rsidRPr="00C11357" w:rsidRDefault="006106A9">
      <w:pPr>
        <w:pStyle w:val="TableofFigures"/>
        <w:tabs>
          <w:tab w:val="left" w:pos="1261"/>
          <w:tab w:val="right" w:leader="dot" w:pos="9060"/>
        </w:tabs>
        <w:rPr>
          <w:rFonts w:asciiTheme="minorHAnsi" w:eastAsiaTheme="minorEastAsia" w:hAnsiTheme="minorHAnsi"/>
          <w:noProof/>
          <w:sz w:val="22"/>
          <w:lang w:eastAsia="bg-BG"/>
        </w:rPr>
      </w:pPr>
      <w:hyperlink w:anchor="_Toc213229057"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5:</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Фискален ангажимент</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_Toc213229057 \h </w:instrText>
        </w:r>
        <w:r w:rsidR="00C11357" w:rsidRPr="00C11357">
          <w:rPr>
            <w:noProof/>
            <w:webHidden/>
            <w:sz w:val="22"/>
          </w:rPr>
        </w:r>
        <w:r w:rsidR="00C11357" w:rsidRPr="00C11357">
          <w:rPr>
            <w:noProof/>
            <w:webHidden/>
            <w:sz w:val="22"/>
          </w:rPr>
          <w:fldChar w:fldCharType="separate"/>
        </w:r>
        <w:r w:rsidR="00A625AA">
          <w:rPr>
            <w:noProof/>
            <w:webHidden/>
            <w:sz w:val="22"/>
          </w:rPr>
          <w:t>25</w:t>
        </w:r>
        <w:r w:rsidR="00C11357" w:rsidRPr="00C11357">
          <w:rPr>
            <w:noProof/>
            <w:webHidden/>
            <w:sz w:val="22"/>
          </w:rPr>
          <w:fldChar w:fldCharType="end"/>
        </w:r>
      </w:hyperlink>
    </w:p>
    <w:p w14:paraId="2D249D87" w14:textId="77777777" w:rsidR="00C11357" w:rsidRPr="00C11357" w:rsidRDefault="006106A9">
      <w:pPr>
        <w:pStyle w:val="TableofFigures"/>
        <w:tabs>
          <w:tab w:val="left" w:pos="1261"/>
          <w:tab w:val="right" w:leader="dot" w:pos="9060"/>
        </w:tabs>
        <w:rPr>
          <w:rFonts w:asciiTheme="minorHAnsi" w:eastAsiaTheme="minorEastAsia" w:hAnsiTheme="minorHAnsi"/>
          <w:noProof/>
          <w:sz w:val="22"/>
          <w:lang w:eastAsia="bg-BG"/>
        </w:rPr>
      </w:pPr>
      <w:hyperlink w:anchor="_Toc213229058"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6:</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Разходи за отбрана по КОФОГ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_Toc213229058 \h </w:instrText>
        </w:r>
        <w:r w:rsidR="00C11357" w:rsidRPr="00C11357">
          <w:rPr>
            <w:noProof/>
            <w:webHidden/>
            <w:sz w:val="22"/>
          </w:rPr>
        </w:r>
        <w:r w:rsidR="00C11357" w:rsidRPr="00C11357">
          <w:rPr>
            <w:noProof/>
            <w:webHidden/>
            <w:sz w:val="22"/>
          </w:rPr>
          <w:fldChar w:fldCharType="separate"/>
        </w:r>
        <w:r w:rsidR="00A625AA">
          <w:rPr>
            <w:noProof/>
            <w:webHidden/>
            <w:sz w:val="22"/>
          </w:rPr>
          <w:t>25</w:t>
        </w:r>
        <w:r w:rsidR="00C11357" w:rsidRPr="00C11357">
          <w:rPr>
            <w:noProof/>
            <w:webHidden/>
            <w:sz w:val="22"/>
          </w:rPr>
          <w:fldChar w:fldCharType="end"/>
        </w:r>
      </w:hyperlink>
    </w:p>
    <w:p w14:paraId="70BC071A" w14:textId="77777777" w:rsidR="00C11357" w:rsidRPr="00C11357" w:rsidRDefault="006106A9" w:rsidP="00C11357">
      <w:pPr>
        <w:pStyle w:val="TableofFigures"/>
        <w:tabs>
          <w:tab w:val="left" w:pos="1314"/>
          <w:tab w:val="right" w:leader="dot" w:pos="9060"/>
        </w:tabs>
        <w:ind w:left="1260" w:hanging="1260"/>
        <w:rPr>
          <w:rFonts w:asciiTheme="minorHAnsi" w:eastAsiaTheme="minorEastAsia" w:hAnsiTheme="minorHAnsi"/>
          <w:noProof/>
          <w:sz w:val="22"/>
          <w:lang w:eastAsia="bg-BG"/>
        </w:rPr>
      </w:pPr>
      <w:hyperlink w:anchor="_Toc213229059"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7:</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Изменение на показателите на сектор „Държавно управление“ за периода 2025-2028 г.</w:t>
        </w:r>
        <w:r w:rsidR="00C11357" w:rsidRPr="00C11357">
          <w:rPr>
            <w:rStyle w:val="Hyperlink"/>
            <w:rFonts w:eastAsiaTheme="majorEastAsia"/>
            <w:noProof/>
            <w:sz w:val="22"/>
            <w:vertAlign w:val="superscript"/>
          </w:rPr>
          <w:t xml:space="preserve"> </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_Toc213229059 \h </w:instrText>
        </w:r>
        <w:r w:rsidR="00C11357" w:rsidRPr="00C11357">
          <w:rPr>
            <w:noProof/>
            <w:webHidden/>
            <w:sz w:val="22"/>
          </w:rPr>
        </w:r>
        <w:r w:rsidR="00C11357" w:rsidRPr="00C11357">
          <w:rPr>
            <w:noProof/>
            <w:webHidden/>
            <w:sz w:val="22"/>
          </w:rPr>
          <w:fldChar w:fldCharType="separate"/>
        </w:r>
        <w:r w:rsidR="00A625AA">
          <w:rPr>
            <w:noProof/>
            <w:webHidden/>
            <w:sz w:val="22"/>
          </w:rPr>
          <w:t>27</w:t>
        </w:r>
        <w:r w:rsidR="00C11357" w:rsidRPr="00C11357">
          <w:rPr>
            <w:noProof/>
            <w:webHidden/>
            <w:sz w:val="22"/>
          </w:rPr>
          <w:fldChar w:fldCharType="end"/>
        </w:r>
      </w:hyperlink>
    </w:p>
    <w:p w14:paraId="78696016" w14:textId="77777777" w:rsidR="00C11357" w:rsidRPr="00C11357" w:rsidRDefault="006106A9" w:rsidP="00C11357">
      <w:pPr>
        <w:pStyle w:val="TableofFigures"/>
        <w:tabs>
          <w:tab w:val="left" w:pos="1333"/>
          <w:tab w:val="right" w:leader="dot" w:pos="9060"/>
        </w:tabs>
        <w:ind w:left="1260" w:hanging="1260"/>
        <w:rPr>
          <w:rFonts w:asciiTheme="minorHAnsi" w:eastAsiaTheme="minorEastAsia" w:hAnsiTheme="minorHAnsi"/>
          <w:noProof/>
          <w:sz w:val="22"/>
          <w:lang w:eastAsia="bg-BG"/>
        </w:rPr>
      </w:pPr>
      <w:hyperlink w:anchor="_Toc213229060"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8:</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Бюджетна прогноза на сектор „Държавно управление“ при непроменени политики за периода 2025-2028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_Toc213229060 \h </w:instrText>
        </w:r>
        <w:r w:rsidR="00C11357" w:rsidRPr="00C11357">
          <w:rPr>
            <w:noProof/>
            <w:webHidden/>
            <w:sz w:val="22"/>
          </w:rPr>
        </w:r>
        <w:r w:rsidR="00C11357" w:rsidRPr="00C11357">
          <w:rPr>
            <w:noProof/>
            <w:webHidden/>
            <w:sz w:val="22"/>
          </w:rPr>
          <w:fldChar w:fldCharType="separate"/>
        </w:r>
        <w:r w:rsidR="00A625AA">
          <w:rPr>
            <w:noProof/>
            <w:webHidden/>
            <w:sz w:val="22"/>
          </w:rPr>
          <w:t>29</w:t>
        </w:r>
        <w:r w:rsidR="00C11357" w:rsidRPr="00C11357">
          <w:rPr>
            <w:noProof/>
            <w:webHidden/>
            <w:sz w:val="22"/>
          </w:rPr>
          <w:fldChar w:fldCharType="end"/>
        </w:r>
      </w:hyperlink>
    </w:p>
    <w:p w14:paraId="7D981EB4" w14:textId="77777777" w:rsidR="00C11357" w:rsidRPr="00C11357" w:rsidRDefault="006106A9">
      <w:pPr>
        <w:pStyle w:val="TableofFigures"/>
        <w:tabs>
          <w:tab w:val="left" w:pos="1261"/>
          <w:tab w:val="right" w:leader="dot" w:pos="9060"/>
        </w:tabs>
        <w:rPr>
          <w:rFonts w:asciiTheme="minorHAnsi" w:eastAsiaTheme="minorEastAsia" w:hAnsiTheme="minorHAnsi"/>
          <w:noProof/>
          <w:sz w:val="22"/>
          <w:lang w:eastAsia="bg-BG"/>
        </w:rPr>
      </w:pPr>
      <w:hyperlink w:anchor="_Toc213229061"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9:</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Дискреционни приходни мерки на начислена основа, млн. евро</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_Toc213229061 \h </w:instrText>
        </w:r>
        <w:r w:rsidR="00C11357" w:rsidRPr="00C11357">
          <w:rPr>
            <w:noProof/>
            <w:webHidden/>
            <w:sz w:val="22"/>
          </w:rPr>
        </w:r>
        <w:r w:rsidR="00C11357" w:rsidRPr="00C11357">
          <w:rPr>
            <w:noProof/>
            <w:webHidden/>
            <w:sz w:val="22"/>
          </w:rPr>
          <w:fldChar w:fldCharType="separate"/>
        </w:r>
        <w:r w:rsidR="00A625AA">
          <w:rPr>
            <w:noProof/>
            <w:webHidden/>
            <w:sz w:val="22"/>
          </w:rPr>
          <w:t>32</w:t>
        </w:r>
        <w:r w:rsidR="00C11357" w:rsidRPr="00C11357">
          <w:rPr>
            <w:noProof/>
            <w:webHidden/>
            <w:sz w:val="22"/>
          </w:rPr>
          <w:fldChar w:fldCharType="end"/>
        </w:r>
      </w:hyperlink>
    </w:p>
    <w:p w14:paraId="4FDEE330" w14:textId="77777777" w:rsidR="00C11357" w:rsidRPr="00C11357" w:rsidRDefault="006106A9"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2"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10:</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Дискреционни разходни мерки на начислена основа, млн. евро</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_Toc213229062 \h </w:instrText>
        </w:r>
        <w:r w:rsidR="00C11357" w:rsidRPr="00C11357">
          <w:rPr>
            <w:noProof/>
            <w:webHidden/>
            <w:sz w:val="22"/>
          </w:rPr>
        </w:r>
        <w:r w:rsidR="00C11357" w:rsidRPr="00C11357">
          <w:rPr>
            <w:noProof/>
            <w:webHidden/>
            <w:sz w:val="22"/>
          </w:rPr>
          <w:fldChar w:fldCharType="separate"/>
        </w:r>
        <w:r w:rsidR="00A625AA">
          <w:rPr>
            <w:noProof/>
            <w:webHidden/>
            <w:sz w:val="22"/>
          </w:rPr>
          <w:t>33</w:t>
        </w:r>
        <w:r w:rsidR="00C11357" w:rsidRPr="00C11357">
          <w:rPr>
            <w:noProof/>
            <w:webHidden/>
            <w:sz w:val="22"/>
          </w:rPr>
          <w:fldChar w:fldCharType="end"/>
        </w:r>
      </w:hyperlink>
    </w:p>
    <w:p w14:paraId="34BE95C2" w14:textId="77777777" w:rsidR="00C11357" w:rsidRPr="00C11357" w:rsidRDefault="006106A9"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3" w:history="1">
        <w:r w:rsidR="00C11357" w:rsidRPr="00C11357">
          <w:rPr>
            <w:rStyle w:val="Hyperlink"/>
            <w:rFonts w:eastAsiaTheme="majorEastAsia"/>
            <w:noProof/>
            <w:sz w:val="22"/>
          </w:rPr>
          <w:t>Табл. II</w:t>
        </w:r>
        <w:r w:rsidR="00C11357" w:rsidRPr="00C11357">
          <w:rPr>
            <w:rStyle w:val="Hyperlink"/>
            <w:rFonts w:eastAsiaTheme="majorEastAsia"/>
            <w:noProof/>
            <w:sz w:val="22"/>
          </w:rPr>
          <w:noBreakHyphen/>
          <w:t>11: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Сравнение на бюджетната прогноза на МФ с прогнозата на ЕК</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_Toc213229063 \h </w:instrText>
        </w:r>
        <w:r w:rsidR="00C11357" w:rsidRPr="00C11357">
          <w:rPr>
            <w:noProof/>
            <w:webHidden/>
            <w:sz w:val="22"/>
          </w:rPr>
        </w:r>
        <w:r w:rsidR="00C11357" w:rsidRPr="00C11357">
          <w:rPr>
            <w:noProof/>
            <w:webHidden/>
            <w:sz w:val="22"/>
          </w:rPr>
          <w:fldChar w:fldCharType="separate"/>
        </w:r>
        <w:r w:rsidR="00A625AA">
          <w:rPr>
            <w:noProof/>
            <w:webHidden/>
            <w:sz w:val="22"/>
          </w:rPr>
          <w:t>34</w:t>
        </w:r>
        <w:r w:rsidR="00C11357" w:rsidRPr="00C11357">
          <w:rPr>
            <w:noProof/>
            <w:webHidden/>
            <w:sz w:val="22"/>
          </w:rPr>
          <w:fldChar w:fldCharType="end"/>
        </w:r>
      </w:hyperlink>
    </w:p>
    <w:p w14:paraId="0E840DD8" w14:textId="77777777" w:rsidR="00C11357" w:rsidRPr="00C11357" w:rsidRDefault="006106A9"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64" w:history="1">
        <w:r w:rsidR="00C11357" w:rsidRPr="00C11357">
          <w:rPr>
            <w:rStyle w:val="Hyperlink"/>
            <w:rFonts w:eastAsiaTheme="majorEastAsia"/>
            <w:noProof/>
            <w:sz w:val="22"/>
          </w:rPr>
          <w:t>Табл. III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cs="Calibri"/>
            <w:noProof/>
            <w:sz w:val="22"/>
          </w:rPr>
          <w:t>Разходи по функции по КФП за периода 2026-2028 г. с разпределен резерв по функции (без вноска в общия бюджет на ЕС)</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_Toc213229064 \h </w:instrText>
        </w:r>
        <w:r w:rsidR="00C11357" w:rsidRPr="00C11357">
          <w:rPr>
            <w:noProof/>
            <w:webHidden/>
            <w:sz w:val="22"/>
          </w:rPr>
        </w:r>
        <w:r w:rsidR="00C11357" w:rsidRPr="00C11357">
          <w:rPr>
            <w:noProof/>
            <w:webHidden/>
            <w:sz w:val="22"/>
          </w:rPr>
          <w:fldChar w:fldCharType="separate"/>
        </w:r>
        <w:r w:rsidR="00A625AA">
          <w:rPr>
            <w:noProof/>
            <w:webHidden/>
            <w:sz w:val="22"/>
          </w:rPr>
          <w:t>53</w:t>
        </w:r>
        <w:r w:rsidR="00C11357" w:rsidRPr="00C11357">
          <w:rPr>
            <w:noProof/>
            <w:webHidden/>
            <w:sz w:val="22"/>
          </w:rPr>
          <w:fldChar w:fldCharType="end"/>
        </w:r>
      </w:hyperlink>
    </w:p>
    <w:p w14:paraId="7B13CD30" w14:textId="77777777" w:rsidR="00C11357" w:rsidRPr="00C11357" w:rsidRDefault="006106A9"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5" w:history="1">
        <w:r w:rsidR="00C11357" w:rsidRPr="00C11357">
          <w:rPr>
            <w:rStyle w:val="Hyperlink"/>
            <w:rFonts w:eastAsiaTheme="majorEastAsia"/>
            <w:noProof/>
            <w:sz w:val="22"/>
          </w:rPr>
          <w:t>Табл. III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Разходи за отбрана за периода 2025-2028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_Toc213229065 \h </w:instrText>
        </w:r>
        <w:r w:rsidR="00C11357" w:rsidRPr="00C11357">
          <w:rPr>
            <w:noProof/>
            <w:webHidden/>
            <w:sz w:val="22"/>
          </w:rPr>
        </w:r>
        <w:r w:rsidR="00C11357" w:rsidRPr="00C11357">
          <w:rPr>
            <w:noProof/>
            <w:webHidden/>
            <w:sz w:val="22"/>
          </w:rPr>
          <w:fldChar w:fldCharType="separate"/>
        </w:r>
        <w:r w:rsidR="00A625AA">
          <w:rPr>
            <w:noProof/>
            <w:webHidden/>
            <w:sz w:val="22"/>
          </w:rPr>
          <w:t>66</w:t>
        </w:r>
        <w:r w:rsidR="00C11357" w:rsidRPr="00C11357">
          <w:rPr>
            <w:noProof/>
            <w:webHidden/>
            <w:sz w:val="22"/>
          </w:rPr>
          <w:fldChar w:fldCharType="end"/>
        </w:r>
      </w:hyperlink>
    </w:p>
    <w:p w14:paraId="41B3B3B5" w14:textId="77777777" w:rsidR="00C11357" w:rsidRPr="00C11357" w:rsidRDefault="006106A9"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66" w:history="1">
        <w:r w:rsidR="00C11357" w:rsidRPr="00C11357">
          <w:rPr>
            <w:rStyle w:val="Hyperlink"/>
            <w:rFonts w:eastAsiaTheme="majorEastAsia"/>
            <w:noProof/>
            <w:sz w:val="22"/>
          </w:rPr>
          <w:t>Табл. IV</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бюджетни взаимоотношения на общините с централния бюджет за периода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_Toc213229066 \h </w:instrText>
        </w:r>
        <w:r w:rsidR="00C11357" w:rsidRPr="00C11357">
          <w:rPr>
            <w:noProof/>
            <w:webHidden/>
            <w:sz w:val="22"/>
          </w:rPr>
        </w:r>
        <w:r w:rsidR="00C11357" w:rsidRPr="00C11357">
          <w:rPr>
            <w:noProof/>
            <w:webHidden/>
            <w:sz w:val="22"/>
          </w:rPr>
          <w:fldChar w:fldCharType="separate"/>
        </w:r>
        <w:r w:rsidR="00A625AA">
          <w:rPr>
            <w:noProof/>
            <w:webHidden/>
            <w:sz w:val="22"/>
          </w:rPr>
          <w:t>110</w:t>
        </w:r>
        <w:r w:rsidR="00C11357" w:rsidRPr="00C11357">
          <w:rPr>
            <w:noProof/>
            <w:webHidden/>
            <w:sz w:val="22"/>
          </w:rPr>
          <w:fldChar w:fldCharType="end"/>
        </w:r>
      </w:hyperlink>
    </w:p>
    <w:p w14:paraId="2601F79A" w14:textId="77777777" w:rsidR="00C11357" w:rsidRPr="00C11357" w:rsidRDefault="006106A9">
      <w:pPr>
        <w:pStyle w:val="TableofFigures"/>
        <w:tabs>
          <w:tab w:val="left" w:pos="1275"/>
          <w:tab w:val="right" w:leader="dot" w:pos="9060"/>
        </w:tabs>
        <w:rPr>
          <w:rFonts w:asciiTheme="minorHAnsi" w:eastAsiaTheme="minorEastAsia" w:hAnsiTheme="minorHAnsi"/>
          <w:noProof/>
          <w:sz w:val="22"/>
          <w:lang w:eastAsia="bg-BG"/>
        </w:rPr>
      </w:pPr>
      <w:hyperlink w:anchor="_Toc213229067" w:history="1">
        <w:r w:rsidR="00C11357" w:rsidRPr="00C11357">
          <w:rPr>
            <w:rStyle w:val="Hyperlink"/>
            <w:rFonts w:eastAsiaTheme="majorEastAsia"/>
            <w:noProof/>
            <w:sz w:val="22"/>
          </w:rPr>
          <w:t>Табл. V</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Разходи и плащания за селскостопанската политика за периода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_Toc213229067 \h </w:instrText>
        </w:r>
        <w:r w:rsidR="00C11357" w:rsidRPr="00C11357">
          <w:rPr>
            <w:noProof/>
            <w:webHidden/>
            <w:sz w:val="22"/>
          </w:rPr>
        </w:r>
        <w:r w:rsidR="00C11357" w:rsidRPr="00C11357">
          <w:rPr>
            <w:noProof/>
            <w:webHidden/>
            <w:sz w:val="22"/>
          </w:rPr>
          <w:fldChar w:fldCharType="separate"/>
        </w:r>
        <w:r w:rsidR="00A625AA">
          <w:rPr>
            <w:noProof/>
            <w:webHidden/>
            <w:sz w:val="22"/>
          </w:rPr>
          <w:t>116</w:t>
        </w:r>
        <w:r w:rsidR="00C11357" w:rsidRPr="00C11357">
          <w:rPr>
            <w:noProof/>
            <w:webHidden/>
            <w:sz w:val="22"/>
          </w:rPr>
          <w:fldChar w:fldCharType="end"/>
        </w:r>
      </w:hyperlink>
    </w:p>
    <w:p w14:paraId="3484A869" w14:textId="77777777" w:rsidR="00C11357" w:rsidRPr="00C11357" w:rsidRDefault="006106A9">
      <w:pPr>
        <w:pStyle w:val="TableofFigures"/>
        <w:tabs>
          <w:tab w:val="left" w:pos="1275"/>
          <w:tab w:val="right" w:leader="dot" w:pos="9060"/>
        </w:tabs>
        <w:rPr>
          <w:rFonts w:asciiTheme="minorHAnsi" w:eastAsiaTheme="minorEastAsia" w:hAnsiTheme="minorHAnsi"/>
          <w:noProof/>
          <w:sz w:val="22"/>
          <w:lang w:eastAsia="bg-BG"/>
        </w:rPr>
      </w:pPr>
      <w:hyperlink w:anchor="_Toc213229068" w:history="1">
        <w:r w:rsidR="00C11357" w:rsidRPr="00C11357">
          <w:rPr>
            <w:rStyle w:val="Hyperlink"/>
            <w:rFonts w:eastAsiaTheme="majorEastAsia"/>
            <w:noProof/>
            <w:sz w:val="22"/>
          </w:rPr>
          <w:t>Табл. V</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cs="Calibri"/>
            <w:noProof/>
            <w:sz w:val="22"/>
          </w:rPr>
          <w:t>Разходи и плащания за рибарската политика за периода 2026-2028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_Toc213229068 \h </w:instrText>
        </w:r>
        <w:r w:rsidR="00C11357" w:rsidRPr="00C11357">
          <w:rPr>
            <w:noProof/>
            <w:webHidden/>
            <w:sz w:val="22"/>
          </w:rPr>
        </w:r>
        <w:r w:rsidR="00C11357" w:rsidRPr="00C11357">
          <w:rPr>
            <w:noProof/>
            <w:webHidden/>
            <w:sz w:val="22"/>
          </w:rPr>
          <w:fldChar w:fldCharType="separate"/>
        </w:r>
        <w:r w:rsidR="00A625AA">
          <w:rPr>
            <w:noProof/>
            <w:webHidden/>
            <w:sz w:val="22"/>
          </w:rPr>
          <w:t>116</w:t>
        </w:r>
        <w:r w:rsidR="00C11357" w:rsidRPr="00C11357">
          <w:rPr>
            <w:noProof/>
            <w:webHidden/>
            <w:sz w:val="22"/>
          </w:rPr>
          <w:fldChar w:fldCharType="end"/>
        </w:r>
      </w:hyperlink>
    </w:p>
    <w:p w14:paraId="603D9956" w14:textId="77777777" w:rsidR="00C11357" w:rsidRPr="00C11357" w:rsidRDefault="006106A9"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69" w:history="1">
        <w:r w:rsidR="00C11357" w:rsidRPr="00C11357">
          <w:rPr>
            <w:rStyle w:val="Hyperlink"/>
            <w:rFonts w:eastAsiaTheme="majorEastAsia"/>
            <w:noProof/>
            <w:sz w:val="22"/>
          </w:rPr>
          <w:t>Табл. VI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Theme="majorEastAsia" w:cs="Calibri"/>
            <w:noProof/>
            <w:sz w:val="22"/>
          </w:rPr>
          <w:t>Държавен дълг – вътрешен и външен и съотношение спрямо БВП</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_Toc213229069 \h </w:instrText>
        </w:r>
        <w:r w:rsidR="00C11357" w:rsidRPr="00C11357">
          <w:rPr>
            <w:noProof/>
            <w:webHidden/>
            <w:sz w:val="22"/>
          </w:rPr>
        </w:r>
        <w:r w:rsidR="00C11357" w:rsidRPr="00C11357">
          <w:rPr>
            <w:noProof/>
            <w:webHidden/>
            <w:sz w:val="22"/>
          </w:rPr>
          <w:fldChar w:fldCharType="separate"/>
        </w:r>
        <w:r w:rsidR="00A625AA">
          <w:rPr>
            <w:noProof/>
            <w:webHidden/>
            <w:sz w:val="22"/>
          </w:rPr>
          <w:t>122</w:t>
        </w:r>
        <w:r w:rsidR="00C11357" w:rsidRPr="00C11357">
          <w:rPr>
            <w:noProof/>
            <w:webHidden/>
            <w:sz w:val="22"/>
          </w:rPr>
          <w:fldChar w:fldCharType="end"/>
        </w:r>
      </w:hyperlink>
    </w:p>
    <w:p w14:paraId="3630663D" w14:textId="77777777" w:rsidR="00C11357" w:rsidRPr="00C11357" w:rsidRDefault="006106A9" w:rsidP="00C11357">
      <w:pPr>
        <w:pStyle w:val="TableofFigures"/>
        <w:tabs>
          <w:tab w:val="left" w:pos="1260"/>
          <w:tab w:val="right" w:leader="dot" w:pos="9060"/>
        </w:tabs>
        <w:rPr>
          <w:rFonts w:asciiTheme="minorHAnsi" w:eastAsiaTheme="minorEastAsia" w:hAnsiTheme="minorHAnsi"/>
          <w:noProof/>
          <w:sz w:val="22"/>
          <w:lang w:eastAsia="bg-BG"/>
        </w:rPr>
      </w:pPr>
      <w:hyperlink w:anchor="_Toc213229070" w:history="1">
        <w:r w:rsidR="00C11357" w:rsidRPr="00C11357">
          <w:rPr>
            <w:rStyle w:val="Hyperlink"/>
            <w:rFonts w:eastAsiaTheme="majorEastAsia"/>
            <w:noProof/>
            <w:sz w:val="22"/>
          </w:rPr>
          <w:t>Табл. VI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Структура на държавния дълг за периода 2024-2028 г.</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_Toc213229070 \h </w:instrText>
        </w:r>
        <w:r w:rsidR="00C11357" w:rsidRPr="00C11357">
          <w:rPr>
            <w:noProof/>
            <w:webHidden/>
            <w:sz w:val="22"/>
          </w:rPr>
        </w:r>
        <w:r w:rsidR="00C11357" w:rsidRPr="00C11357">
          <w:rPr>
            <w:noProof/>
            <w:webHidden/>
            <w:sz w:val="22"/>
          </w:rPr>
          <w:fldChar w:fldCharType="separate"/>
        </w:r>
        <w:r w:rsidR="00A625AA">
          <w:rPr>
            <w:noProof/>
            <w:webHidden/>
            <w:sz w:val="22"/>
          </w:rPr>
          <w:t>123</w:t>
        </w:r>
        <w:r w:rsidR="00C11357" w:rsidRPr="00C11357">
          <w:rPr>
            <w:noProof/>
            <w:webHidden/>
            <w:sz w:val="22"/>
          </w:rPr>
          <w:fldChar w:fldCharType="end"/>
        </w:r>
      </w:hyperlink>
    </w:p>
    <w:p w14:paraId="79CEFE82" w14:textId="77777777" w:rsidR="00C11357" w:rsidRPr="00C11357" w:rsidRDefault="006106A9" w:rsidP="00C11357">
      <w:pPr>
        <w:pStyle w:val="TableofFigures"/>
        <w:tabs>
          <w:tab w:val="left" w:pos="1260"/>
          <w:tab w:val="left" w:pos="1435"/>
          <w:tab w:val="right" w:leader="dot" w:pos="9060"/>
        </w:tabs>
        <w:rPr>
          <w:rFonts w:asciiTheme="minorHAnsi" w:eastAsiaTheme="minorEastAsia" w:hAnsiTheme="minorHAnsi"/>
          <w:noProof/>
          <w:sz w:val="22"/>
          <w:lang w:eastAsia="bg-BG"/>
        </w:rPr>
      </w:pPr>
      <w:hyperlink w:anchor="_Toc213229071" w:history="1">
        <w:r w:rsidR="00C11357" w:rsidRPr="00C11357">
          <w:rPr>
            <w:rStyle w:val="Hyperlink"/>
            <w:rFonts w:eastAsiaTheme="majorEastAsia"/>
            <w:noProof/>
            <w:sz w:val="22"/>
          </w:rPr>
          <w:t>Табл. VII</w:t>
        </w:r>
        <w:r w:rsidR="00C11357" w:rsidRPr="00C11357">
          <w:rPr>
            <w:rStyle w:val="Hyperlink"/>
            <w:rFonts w:eastAsiaTheme="majorEastAsia"/>
            <w:noProof/>
            <w:sz w:val="22"/>
          </w:rPr>
          <w:noBreakHyphen/>
          <w:t>1:</w:t>
        </w:r>
        <w:r w:rsidR="00C11357" w:rsidRPr="00C11357">
          <w:rPr>
            <w:rFonts w:asciiTheme="minorHAnsi" w:eastAsiaTheme="minorEastAsia" w:hAnsiTheme="minorHAnsi"/>
            <w:noProof/>
            <w:sz w:val="22"/>
            <w:lang w:eastAsia="bg-BG"/>
          </w:rPr>
          <w:tab/>
        </w:r>
        <w:r w:rsidR="00C11357" w:rsidRPr="00C11357">
          <w:rPr>
            <w:rStyle w:val="Hyperlink"/>
            <w:rFonts w:eastAsia="MS Mincho"/>
            <w:noProof/>
            <w:sz w:val="22"/>
            <w:lang w:eastAsia="ar-SA"/>
          </w:rPr>
          <w:t>Индикатори за устойчивост</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_Toc213229071 \h </w:instrText>
        </w:r>
        <w:r w:rsidR="00C11357" w:rsidRPr="00C11357">
          <w:rPr>
            <w:noProof/>
            <w:webHidden/>
            <w:sz w:val="22"/>
          </w:rPr>
        </w:r>
        <w:r w:rsidR="00C11357" w:rsidRPr="00C11357">
          <w:rPr>
            <w:noProof/>
            <w:webHidden/>
            <w:sz w:val="22"/>
          </w:rPr>
          <w:fldChar w:fldCharType="separate"/>
        </w:r>
        <w:r w:rsidR="00A625AA">
          <w:rPr>
            <w:noProof/>
            <w:webHidden/>
            <w:sz w:val="22"/>
          </w:rPr>
          <w:t>130</w:t>
        </w:r>
        <w:r w:rsidR="00C11357" w:rsidRPr="00C11357">
          <w:rPr>
            <w:noProof/>
            <w:webHidden/>
            <w:sz w:val="22"/>
          </w:rPr>
          <w:fldChar w:fldCharType="end"/>
        </w:r>
      </w:hyperlink>
    </w:p>
    <w:p w14:paraId="1506C4F4" w14:textId="77777777" w:rsidR="00C11357" w:rsidRPr="00C11357" w:rsidRDefault="006106A9"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72" w:history="1">
        <w:r w:rsidR="00C11357" w:rsidRPr="00C11357">
          <w:rPr>
            <w:rStyle w:val="Hyperlink"/>
            <w:rFonts w:eastAsiaTheme="majorEastAsia"/>
            <w:noProof/>
            <w:sz w:val="22"/>
          </w:rPr>
          <w:t>Табл. VII</w:t>
        </w:r>
        <w:r w:rsidR="00C11357" w:rsidRPr="00C11357">
          <w:rPr>
            <w:rStyle w:val="Hyperlink"/>
            <w:rFonts w:eastAsiaTheme="majorEastAsia"/>
            <w:noProof/>
            <w:sz w:val="22"/>
          </w:rPr>
          <w:noBreakHyphen/>
          <w:t>2:</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Обобщение на допусканията, използвани в алтернативния сценарий (отклонение спрямо базовия)</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_Toc213229072 \h </w:instrText>
        </w:r>
        <w:r w:rsidR="00C11357" w:rsidRPr="00C11357">
          <w:rPr>
            <w:noProof/>
            <w:webHidden/>
            <w:sz w:val="22"/>
          </w:rPr>
        </w:r>
        <w:r w:rsidR="00C11357" w:rsidRPr="00C11357">
          <w:rPr>
            <w:noProof/>
            <w:webHidden/>
            <w:sz w:val="22"/>
          </w:rPr>
          <w:fldChar w:fldCharType="separate"/>
        </w:r>
        <w:r w:rsidR="00A625AA">
          <w:rPr>
            <w:noProof/>
            <w:webHidden/>
            <w:sz w:val="22"/>
          </w:rPr>
          <w:t>134</w:t>
        </w:r>
        <w:r w:rsidR="00C11357" w:rsidRPr="00C11357">
          <w:rPr>
            <w:noProof/>
            <w:webHidden/>
            <w:sz w:val="22"/>
          </w:rPr>
          <w:fldChar w:fldCharType="end"/>
        </w:r>
      </w:hyperlink>
    </w:p>
    <w:p w14:paraId="3FBE84B4" w14:textId="77777777" w:rsidR="00C11357" w:rsidRPr="00C11357" w:rsidRDefault="006106A9" w:rsidP="00C11357">
      <w:pPr>
        <w:pStyle w:val="TableofFigures"/>
        <w:tabs>
          <w:tab w:val="left" w:pos="1260"/>
          <w:tab w:val="right" w:leader="dot" w:pos="9060"/>
        </w:tabs>
        <w:ind w:left="1260" w:hanging="1260"/>
        <w:rPr>
          <w:rFonts w:asciiTheme="minorHAnsi" w:eastAsiaTheme="minorEastAsia" w:hAnsiTheme="minorHAnsi"/>
          <w:noProof/>
          <w:sz w:val="22"/>
          <w:lang w:eastAsia="bg-BG"/>
        </w:rPr>
      </w:pPr>
      <w:hyperlink w:anchor="_Toc213229073" w:history="1">
        <w:r w:rsidR="00C11357" w:rsidRPr="00C11357">
          <w:rPr>
            <w:rStyle w:val="Hyperlink"/>
            <w:rFonts w:eastAsiaTheme="majorEastAsia"/>
            <w:noProof/>
            <w:sz w:val="22"/>
          </w:rPr>
          <w:t>Табл. VII</w:t>
        </w:r>
        <w:r w:rsidR="00C11357" w:rsidRPr="00C11357">
          <w:rPr>
            <w:rStyle w:val="Hyperlink"/>
            <w:rFonts w:eastAsiaTheme="majorEastAsia"/>
            <w:noProof/>
            <w:sz w:val="22"/>
          </w:rPr>
          <w:noBreakHyphen/>
          <w:t>3:</w:t>
        </w:r>
        <w:r w:rsidR="00C11357" w:rsidRPr="00C11357">
          <w:rPr>
            <w:rFonts w:asciiTheme="minorHAnsi" w:eastAsiaTheme="minorEastAsia" w:hAnsiTheme="minorHAnsi"/>
            <w:noProof/>
            <w:sz w:val="22"/>
            <w:lang w:eastAsia="bg-BG"/>
          </w:rPr>
          <w:tab/>
        </w:r>
        <w:r w:rsidR="00C11357" w:rsidRPr="00C11357">
          <w:rPr>
            <w:rStyle w:val="Hyperlink"/>
            <w:rFonts w:eastAsiaTheme="majorEastAsia"/>
            <w:noProof/>
            <w:sz w:val="22"/>
          </w:rPr>
          <w:t>Основни макроикономически показатели</w:t>
        </w:r>
        <w:r w:rsidR="00C11357" w:rsidRPr="00C11357">
          <w:rPr>
            <w:rStyle w:val="Hyperlink"/>
            <w:rFonts w:eastAsiaTheme="minorHAnsi"/>
            <w:noProof/>
            <w:sz w:val="22"/>
            <w:lang w:eastAsia="en-US"/>
          </w:rPr>
          <w:t xml:space="preserve"> </w:t>
        </w:r>
        <w:r w:rsidR="00C11357" w:rsidRPr="00C11357">
          <w:rPr>
            <w:rStyle w:val="Hyperlink"/>
            <w:rFonts w:eastAsiaTheme="majorEastAsia"/>
            <w:noProof/>
            <w:sz w:val="22"/>
          </w:rPr>
          <w:t>при алтернативния сценарий (отклонение спрямо базовия)</w:t>
        </w:r>
        <w:r w:rsidR="00C11357" w:rsidRPr="00C11357">
          <w:rPr>
            <w:noProof/>
            <w:webHidden/>
            <w:sz w:val="22"/>
          </w:rPr>
          <w:tab/>
        </w:r>
        <w:r w:rsidR="00C11357" w:rsidRPr="00C11357">
          <w:rPr>
            <w:noProof/>
            <w:webHidden/>
            <w:sz w:val="22"/>
          </w:rPr>
          <w:fldChar w:fldCharType="begin"/>
        </w:r>
        <w:r w:rsidR="00C11357" w:rsidRPr="00C11357">
          <w:rPr>
            <w:noProof/>
            <w:webHidden/>
            <w:sz w:val="22"/>
          </w:rPr>
          <w:instrText xml:space="preserve"> PAGEREF _Toc213229073 \h </w:instrText>
        </w:r>
        <w:r w:rsidR="00C11357" w:rsidRPr="00C11357">
          <w:rPr>
            <w:noProof/>
            <w:webHidden/>
            <w:sz w:val="22"/>
          </w:rPr>
        </w:r>
        <w:r w:rsidR="00C11357" w:rsidRPr="00C11357">
          <w:rPr>
            <w:noProof/>
            <w:webHidden/>
            <w:sz w:val="22"/>
          </w:rPr>
          <w:fldChar w:fldCharType="separate"/>
        </w:r>
        <w:r w:rsidR="00A625AA">
          <w:rPr>
            <w:noProof/>
            <w:webHidden/>
            <w:sz w:val="22"/>
          </w:rPr>
          <w:t>134</w:t>
        </w:r>
        <w:r w:rsidR="00C11357" w:rsidRPr="00C11357">
          <w:rPr>
            <w:noProof/>
            <w:webHidden/>
            <w:sz w:val="22"/>
          </w:rPr>
          <w:fldChar w:fldCharType="end"/>
        </w:r>
      </w:hyperlink>
    </w:p>
    <w:p w14:paraId="0AF5D2D9" w14:textId="77777777" w:rsidR="00981C9E" w:rsidRPr="008200BE" w:rsidRDefault="004C3CD4" w:rsidP="00821E98">
      <w:pPr>
        <w:pStyle w:val="TOC4"/>
        <w:tabs>
          <w:tab w:val="left" w:pos="1224"/>
          <w:tab w:val="left" w:pos="1530"/>
        </w:tabs>
        <w:ind w:left="1134" w:hanging="1134"/>
        <w:sectPr w:rsidR="00981C9E" w:rsidRPr="008200BE" w:rsidSect="00F10E07">
          <w:headerReference w:type="even" r:id="rId10"/>
          <w:headerReference w:type="default" r:id="rId11"/>
          <w:footerReference w:type="even" r:id="rId12"/>
          <w:footerReference w:type="default" r:id="rId13"/>
          <w:footerReference w:type="first" r:id="rId14"/>
          <w:type w:val="evenPage"/>
          <w:pgSz w:w="11906" w:h="16838" w:code="9"/>
          <w:pgMar w:top="1418" w:right="1418" w:bottom="851" w:left="1418" w:header="709" w:footer="709" w:gutter="0"/>
          <w:cols w:space="708"/>
          <w:titlePg/>
          <w:docGrid w:linePitch="360"/>
        </w:sectPr>
      </w:pPr>
      <w:r w:rsidRPr="00C11357">
        <w:rPr>
          <w:rStyle w:val="Hyperlink"/>
          <w:sz w:val="22"/>
          <w:szCs w:val="22"/>
          <w:highlight w:val="yellow"/>
        </w:rPr>
        <w:fldChar w:fldCharType="end"/>
      </w:r>
      <w:bookmarkStart w:id="22" w:name="_Toc464470169"/>
      <w:bookmarkStart w:id="23" w:name="_Toc464470213"/>
      <w:bookmarkStart w:id="24" w:name="_Toc464644944"/>
      <w:bookmarkStart w:id="25" w:name="_Toc464646345"/>
      <w:bookmarkStart w:id="26" w:name="_Toc465205487"/>
      <w:r w:rsidR="002D3A26" w:rsidRPr="008200BE">
        <w:t xml:space="preserve"> </w:t>
      </w:r>
    </w:p>
    <w:p w14:paraId="13A68010" w14:textId="77777777" w:rsidR="00083361" w:rsidRPr="008200BE" w:rsidRDefault="00083361" w:rsidP="008E1EE5">
      <w:pPr>
        <w:pStyle w:val="Heading1"/>
        <w:numPr>
          <w:ilvl w:val="0"/>
          <w:numId w:val="0"/>
        </w:numPr>
      </w:pPr>
      <w:bookmarkStart w:id="27" w:name="_Toc216029341"/>
      <w:r w:rsidRPr="008200BE">
        <w:lastRenderedPageBreak/>
        <w:t>Въведение</w:t>
      </w:r>
      <w:bookmarkEnd w:id="22"/>
      <w:bookmarkEnd w:id="23"/>
      <w:bookmarkEnd w:id="24"/>
      <w:bookmarkEnd w:id="25"/>
      <w:bookmarkEnd w:id="26"/>
      <w:bookmarkEnd w:id="27"/>
    </w:p>
    <w:p w14:paraId="758BA63F" w14:textId="77777777" w:rsidR="002C1520" w:rsidRPr="002C1520" w:rsidRDefault="002C1520" w:rsidP="003C380E">
      <w:pPr>
        <w:rPr>
          <w:rFonts w:eastAsia="Times New Roman" w:cs="Times New Roman"/>
          <w:lang w:eastAsia="zh-CN"/>
        </w:rPr>
      </w:pPr>
      <w:r w:rsidRPr="002C1520">
        <w:rPr>
          <w:rFonts w:eastAsia="Times New Roman" w:cs="Times New Roman"/>
          <w:lang w:eastAsia="zh-CN"/>
        </w:rPr>
        <w:t>Актуализираната средносрочна бюджетна прогноза за периода 2026-2028 г. (АСБП 2026-2028) е изготвена на основание чл. 79 от Закона за публичните финанси. Тя представлява мотиви към законопроекта за държавния бюджет на Република България за 2026 г.</w:t>
      </w:r>
    </w:p>
    <w:p w14:paraId="0975C72F" w14:textId="77777777" w:rsidR="00113940" w:rsidRDefault="00107FD0" w:rsidP="003C380E">
      <w:pPr>
        <w:rPr>
          <w:rFonts w:cs="Times New Roman"/>
          <w:szCs w:val="24"/>
        </w:rPr>
      </w:pPr>
      <w:r>
        <w:rPr>
          <w:rFonts w:cs="Times New Roman"/>
          <w:szCs w:val="24"/>
        </w:rPr>
        <w:t>Приемането на бюджетната процедура е от ключово значение за изготвянето на основните бюджетни документи, тъй като тя включва сроковете, разпределението на отговорностите и изискванията за съставянето на средносрочната бюджетна прогноза и на проекта на държавния бюджет и обхваща всички бюджетни организации, както и юридически лица, контролирани от държавата и/или от общините, които не са част от консолидираната фискална програма, но попадат в обхвата на сектор „Държавно управление“.</w:t>
      </w:r>
    </w:p>
    <w:p w14:paraId="06671924" w14:textId="77777777" w:rsidR="00113940" w:rsidRDefault="00113940" w:rsidP="003C380E">
      <w:pPr>
        <w:rPr>
          <w:rFonts w:cs="Times New Roman"/>
          <w:szCs w:val="24"/>
        </w:rPr>
      </w:pPr>
      <w:r>
        <w:rPr>
          <w:rFonts w:cs="Times New Roman"/>
          <w:szCs w:val="24"/>
        </w:rPr>
        <w:t>Б</w:t>
      </w:r>
      <w:r w:rsidRPr="00113940">
        <w:rPr>
          <w:rFonts w:cs="Times New Roman"/>
          <w:szCs w:val="24"/>
        </w:rPr>
        <w:t>юджетната процедура за 2026 г.</w:t>
      </w:r>
      <w:r>
        <w:rPr>
          <w:rFonts w:cs="Times New Roman"/>
          <w:szCs w:val="24"/>
        </w:rPr>
        <w:t xml:space="preserve"> беше приета с Решение № 474 от 17 юли 2025 г. на Министерския съвет на основание чл. 67, ал. 1 от Закона за публичните финанси.</w:t>
      </w:r>
    </w:p>
    <w:p w14:paraId="3C3C1CFF" w14:textId="77777777" w:rsidR="00107FD0" w:rsidRDefault="00107FD0" w:rsidP="003C380E">
      <w:pPr>
        <w:rPr>
          <w:rFonts w:cs="Times New Roman"/>
          <w:szCs w:val="24"/>
        </w:rPr>
      </w:pPr>
      <w:r>
        <w:rPr>
          <w:rFonts w:cs="Times New Roman"/>
          <w:szCs w:val="24"/>
        </w:rPr>
        <w:t xml:space="preserve">Съставянето на Бюджет 2026 е на база на националните бюджетни документи и приетите бюджетни закони за 2025 г., както и на други документи, чието изготвяне е регламентирано в бюджетната процедура за 2025 г., а също и на Националния средносрочен фискално-структурен план на Република България за периода 2025-2028 година, одобрен с Решение № 111 на Министерския съвет от 2025 г., който съдържа политики, приоритети, реформи и планове за инвестиции в средносрочен хоризонт. </w:t>
      </w:r>
    </w:p>
    <w:p w14:paraId="69312ED6" w14:textId="77777777" w:rsidR="00107FD0" w:rsidRDefault="00107FD0" w:rsidP="003C380E">
      <w:pPr>
        <w:rPr>
          <w:rFonts w:cs="Times New Roman"/>
          <w:szCs w:val="24"/>
        </w:rPr>
      </w:pPr>
      <w:r>
        <w:rPr>
          <w:rFonts w:cs="Times New Roman"/>
          <w:szCs w:val="24"/>
        </w:rPr>
        <w:t xml:space="preserve">В кратки срокове през м. февруари 2025 г. се изготвиха проектите на трите бюджетни закона за 2025 г. и актуализирана бюджетна рамка за периода 2025-2028 г., които да съответстват на политическите приоритети за управленския мандат на правителството. </w:t>
      </w:r>
    </w:p>
    <w:p w14:paraId="1EDEBD88" w14:textId="77777777" w:rsidR="00107FD0" w:rsidRDefault="00107FD0" w:rsidP="003C380E">
      <w:pPr>
        <w:rPr>
          <w:rFonts w:cs="Times New Roman"/>
          <w:szCs w:val="24"/>
        </w:rPr>
      </w:pPr>
      <w:r>
        <w:rPr>
          <w:rFonts w:cs="Times New Roman"/>
          <w:szCs w:val="24"/>
        </w:rPr>
        <w:t xml:space="preserve">С </w:t>
      </w:r>
      <w:r>
        <w:rPr>
          <w:rFonts w:cs="Times New Roman"/>
          <w:i/>
          <w:szCs w:val="24"/>
        </w:rPr>
        <w:t>Решение № 88 от 24 февруари 2025 г. на Министерския съвет</w:t>
      </w:r>
      <w:r>
        <w:rPr>
          <w:rFonts w:cs="Times New Roman"/>
          <w:szCs w:val="24"/>
        </w:rPr>
        <w:t xml:space="preserve"> бяха одобрени законопроектът за държавния бюджет за 2025 г. и Актуализираната средносрочна бюджетна прогноза за периода 2025-2028 г.</w:t>
      </w:r>
    </w:p>
    <w:p w14:paraId="6219D28F" w14:textId="77777777" w:rsidR="00107FD0" w:rsidRDefault="00107FD0" w:rsidP="003C380E">
      <w:pPr>
        <w:rPr>
          <w:rFonts w:cs="Times New Roman"/>
          <w:szCs w:val="24"/>
        </w:rPr>
      </w:pPr>
      <w:r>
        <w:rPr>
          <w:rFonts w:cs="Times New Roman"/>
          <w:i/>
          <w:szCs w:val="24"/>
        </w:rPr>
        <w:t>Законът за държавния бюджет на Република България за 2025 г.</w:t>
      </w:r>
      <w:r>
        <w:rPr>
          <w:rFonts w:cs="Times New Roman"/>
          <w:szCs w:val="24"/>
        </w:rPr>
        <w:t xml:space="preserve"> беше приет от Народното събрание на 21 март 2025 г. и обнародван в „Държавен вестник“, бр. 26 (извънреден) от 27 март 2025 г.</w:t>
      </w:r>
    </w:p>
    <w:p w14:paraId="13AFB515" w14:textId="77777777" w:rsidR="00107FD0" w:rsidRDefault="00107FD0" w:rsidP="003C380E">
      <w:pPr>
        <w:rPr>
          <w:rFonts w:cs="Times New Roman"/>
          <w:szCs w:val="24"/>
        </w:rPr>
      </w:pPr>
      <w:r>
        <w:rPr>
          <w:rFonts w:cs="Times New Roman"/>
          <w:i/>
          <w:szCs w:val="24"/>
        </w:rPr>
        <w:t xml:space="preserve">Постановление № 28 от 16 април 2025 г. на Министерския съвет за изпълнението на държавния бюджет на Република България за 2025 г. </w:t>
      </w:r>
      <w:r>
        <w:rPr>
          <w:rFonts w:cs="Times New Roman"/>
          <w:szCs w:val="24"/>
        </w:rPr>
        <w:t>беше прието и обнародвано в „Държавен вестник“, бр. 33 (извънреден) от 17.04.2025 г.</w:t>
      </w:r>
    </w:p>
    <w:p w14:paraId="56C2A724" w14:textId="77777777" w:rsidR="000777D8" w:rsidRDefault="00E337E9" w:rsidP="003C380E">
      <w:pPr>
        <w:rPr>
          <w:rFonts w:cs="Times New Roman"/>
          <w:szCs w:val="24"/>
        </w:rPr>
      </w:pPr>
      <w:r>
        <w:rPr>
          <w:rFonts w:cs="Times New Roman"/>
          <w:szCs w:val="24"/>
        </w:rPr>
        <w:t>Първоначално разработените проекти на бюджетни закони за 2026 г., които бяха одобрени от Министерския съвет и внесени за разглеждане в Народното събрание през м. ноември тази година</w:t>
      </w:r>
      <w:r w:rsidR="00697B52">
        <w:rPr>
          <w:rFonts w:cs="Times New Roman"/>
          <w:szCs w:val="24"/>
        </w:rPr>
        <w:t>,</w:t>
      </w:r>
      <w:r w:rsidR="00EC6CB1">
        <w:rPr>
          <w:rFonts w:cs="Times New Roman"/>
          <w:szCs w:val="24"/>
        </w:rPr>
        <w:t xml:space="preserve"> бяха оттеглени</w:t>
      </w:r>
      <w:r w:rsidR="003C380E" w:rsidRPr="003C380E">
        <w:rPr>
          <w:rFonts w:cs="Times New Roman"/>
          <w:szCs w:val="24"/>
        </w:rPr>
        <w:t xml:space="preserve"> с</w:t>
      </w:r>
      <w:r w:rsidRPr="003C380E">
        <w:rPr>
          <w:rFonts w:cs="Times New Roman"/>
          <w:szCs w:val="24"/>
        </w:rPr>
        <w:t xml:space="preserve"> Решение № 839 от 2 декември 2025 г. на Министерския съвет</w:t>
      </w:r>
      <w:r w:rsidR="00697B52">
        <w:rPr>
          <w:rFonts w:cs="Times New Roman"/>
          <w:szCs w:val="24"/>
        </w:rPr>
        <w:t>.</w:t>
      </w:r>
    </w:p>
    <w:p w14:paraId="0492F8FB" w14:textId="77777777" w:rsidR="00883F0D" w:rsidRPr="00883F0D" w:rsidRDefault="00107FD0" w:rsidP="00883F0D">
      <w:pPr>
        <w:rPr>
          <w:rFonts w:cs="Times New Roman"/>
          <w:szCs w:val="24"/>
          <w:lang w:bidi="bg-BG"/>
        </w:rPr>
      </w:pPr>
      <w:r>
        <w:rPr>
          <w:rFonts w:cs="Times New Roman"/>
          <w:szCs w:val="24"/>
          <w:lang w:bidi="bg-BG"/>
        </w:rPr>
        <w:t>Целите на фискалната политика и параметрите на бюджетната рамка</w:t>
      </w:r>
      <w:r w:rsidR="00113940">
        <w:rPr>
          <w:rFonts w:cs="Times New Roman"/>
          <w:szCs w:val="24"/>
          <w:lang w:bidi="bg-BG"/>
        </w:rPr>
        <w:t xml:space="preserve"> за периода 2026-2028 г.</w:t>
      </w:r>
      <w:r>
        <w:rPr>
          <w:rFonts w:cs="Times New Roman"/>
          <w:szCs w:val="24"/>
          <w:lang w:bidi="bg-BG"/>
        </w:rPr>
        <w:t xml:space="preserve"> са съобразени с приоритетите за запазване на фискалната устойчивост в средносрочен план и с необходимостта от реализиране на приходни мерки и осигуряване </w:t>
      </w:r>
      <w:r>
        <w:rPr>
          <w:rFonts w:cs="Times New Roman"/>
          <w:szCs w:val="24"/>
          <w:lang w:bidi="bg-BG"/>
        </w:rPr>
        <w:lastRenderedPageBreak/>
        <w:t>на разходни политики</w:t>
      </w:r>
      <w:r w:rsidR="00883F0D">
        <w:rPr>
          <w:rFonts w:cs="Times New Roman"/>
          <w:szCs w:val="24"/>
          <w:lang w:bidi="bg-BG"/>
        </w:rPr>
        <w:t>,</w:t>
      </w:r>
      <w:r w:rsidR="00883F0D" w:rsidRPr="00883F0D">
        <w:rPr>
          <w:rFonts w:cs="Times New Roman"/>
          <w:szCs w:val="24"/>
          <w:lang w:bidi="bg-BG"/>
        </w:rPr>
        <w:t xml:space="preserve"> като в резултат на отразените промени се наблюдава фискална консолидация. </w:t>
      </w:r>
    </w:p>
    <w:p w14:paraId="1566740D" w14:textId="77777777" w:rsidR="002C1520" w:rsidRDefault="002C1520" w:rsidP="003C380E">
      <w:pPr>
        <w:rPr>
          <w:rFonts w:eastAsia="Times New Roman" w:cs="Times New Roman"/>
          <w:lang w:eastAsia="zh-CN"/>
        </w:rPr>
      </w:pPr>
      <w:r w:rsidRPr="002C1520">
        <w:rPr>
          <w:rFonts w:eastAsia="Times New Roman" w:cs="Times New Roman"/>
          <w:lang w:eastAsia="zh-CN" w:bidi="bg-BG"/>
        </w:rPr>
        <w:t xml:space="preserve">Параметрите на бюджетната рамка за периода 2026-2028 г. са съобразени с </w:t>
      </w:r>
      <w:r w:rsidRPr="00801255">
        <w:rPr>
          <w:rFonts w:eastAsia="Times New Roman" w:cs="Times New Roman"/>
          <w:lang w:eastAsia="zh-CN" w:bidi="bg-BG"/>
        </w:rPr>
        <w:t>фискалните правила, ограниченията,</w:t>
      </w:r>
      <w:r w:rsidRPr="002C1520">
        <w:rPr>
          <w:rFonts w:eastAsia="Times New Roman" w:cs="Times New Roman"/>
          <w:lang w:eastAsia="zh-CN" w:bidi="bg-BG"/>
        </w:rPr>
        <w:t xml:space="preserve"> допустимите отклонения и активираните клаузи за дерогации, предвидени в реформираната и ревизирана европейска рамка за икономическо управление и други актове на ЕС, които предстои да бъдат транспонирани и в националното бюджетно законодателство. </w:t>
      </w:r>
      <w:r w:rsidRPr="002C1520">
        <w:rPr>
          <w:rFonts w:eastAsia="Times New Roman" w:cs="Times New Roman"/>
          <w:lang w:eastAsia="zh-CN"/>
        </w:rPr>
        <w:t xml:space="preserve">Те са в съответствие и с приоритетите и целите, заложени в Програмата за управление на Република България за периода 2025-2029 г. - за постигане на балансирана фискална политика, завършване на процеса </w:t>
      </w:r>
      <w:r w:rsidR="00857A6B">
        <w:rPr>
          <w:rFonts w:eastAsia="Times New Roman" w:cs="Times New Roman"/>
          <w:lang w:eastAsia="zh-CN"/>
        </w:rPr>
        <w:t>на</w:t>
      </w:r>
      <w:r w:rsidRPr="002C1520">
        <w:rPr>
          <w:rFonts w:eastAsia="Times New Roman" w:cs="Times New Roman"/>
          <w:lang w:eastAsia="zh-CN"/>
        </w:rPr>
        <w:t xml:space="preserve"> присъединяване на България към еврозоната и въвеждане на еврото като официална валута в България.</w:t>
      </w:r>
    </w:p>
    <w:p w14:paraId="167ED969" w14:textId="77777777" w:rsidR="00113940" w:rsidRDefault="00113940" w:rsidP="003C380E">
      <w:pPr>
        <w:rPr>
          <w:rFonts w:cs="Times New Roman"/>
          <w:szCs w:val="24"/>
        </w:rPr>
      </w:pPr>
      <w:r>
        <w:rPr>
          <w:rFonts w:cs="Times New Roman"/>
          <w:szCs w:val="24"/>
        </w:rPr>
        <w:t>Във връзка с въвеждането на еврото от 1 януари 2026 г. информацията и документите по  бюджетната процедура за 2026 г. се изготвят в евро при официален валутен курс съгласно чл. 5 от Закона за въвеждане на еврото в Република България.</w:t>
      </w:r>
    </w:p>
    <w:p w14:paraId="1B675DF3" w14:textId="77777777" w:rsidR="00E71766" w:rsidRDefault="002C1520" w:rsidP="003C380E">
      <w:pPr>
        <w:rPr>
          <w:rFonts w:eastAsia="Times New Roman" w:cs="Times New Roman"/>
          <w:lang w:eastAsia="zh-CN" w:bidi="bg-BG"/>
        </w:rPr>
      </w:pPr>
      <w:r w:rsidRPr="002C1520">
        <w:rPr>
          <w:rFonts w:eastAsia="Times New Roman" w:cs="Times New Roman"/>
          <w:lang w:eastAsia="zh-CN" w:bidi="bg-BG"/>
        </w:rPr>
        <w:t xml:space="preserve">Разчетите в АСБП за периода 2026-2028 г. отразяват тенденциите в есенната макроикономическа прогноза за развитието на националната икономика, основните допускания и оценките за ефекта от приходните и разходните </w:t>
      </w:r>
      <w:proofErr w:type="spellStart"/>
      <w:r w:rsidRPr="002C1520">
        <w:rPr>
          <w:rFonts w:eastAsia="Times New Roman" w:cs="Times New Roman"/>
          <w:lang w:eastAsia="zh-CN" w:bidi="bg-BG"/>
        </w:rPr>
        <w:t>дискреционни</w:t>
      </w:r>
      <w:proofErr w:type="spellEnd"/>
      <w:r w:rsidRPr="002C1520">
        <w:rPr>
          <w:rFonts w:eastAsia="Times New Roman" w:cs="Times New Roman"/>
          <w:lang w:eastAsia="zh-CN" w:bidi="bg-BG"/>
        </w:rPr>
        <w:t xml:space="preserve"> мерки. Параметрите на разходите за прогнозния период са съобразени с възможностите на бюджета за финансиране на политиките, както и с перспективите за развитие на публичните сфери, фискалните цели </w:t>
      </w:r>
      <w:r w:rsidR="00E71766">
        <w:rPr>
          <w:rFonts w:eastAsia="Times New Roman" w:cs="Times New Roman"/>
          <w:lang w:eastAsia="zh-CN" w:bidi="bg-BG"/>
        </w:rPr>
        <w:t>и приоритети на правителството.</w:t>
      </w:r>
    </w:p>
    <w:p w14:paraId="678BEDB8" w14:textId="77777777" w:rsidR="007A682B" w:rsidRPr="007A682B" w:rsidRDefault="007A682B" w:rsidP="007A682B">
      <w:pPr>
        <w:rPr>
          <w:rFonts w:eastAsia="Times New Roman" w:cs="Times New Roman"/>
          <w:lang w:eastAsia="zh-CN" w:bidi="bg-BG"/>
        </w:rPr>
      </w:pPr>
      <w:r w:rsidRPr="007A682B">
        <w:rPr>
          <w:rFonts w:eastAsia="Times New Roman" w:cs="Times New Roman"/>
          <w:lang w:eastAsia="zh-CN" w:bidi="bg-BG"/>
        </w:rPr>
        <w:t>Размерът на бюджетното салдо по консолидираната фискална програма (КФП), изразен като дял от БВП, през прогнозния период 2026-2028 г. е дефицит от 3,0% от БВП през 2026 г., 2,8% от БВП през 2027 г. и 2,4% от БВП през 2028 г. Запазването на нивото на дефицита в рамките на ограниченията гарантира осигуряването на редица разходни политики, обезпечени със съответните приходни мерки.</w:t>
      </w:r>
    </w:p>
    <w:p w14:paraId="7E2B9FC1" w14:textId="77777777" w:rsidR="007A682B" w:rsidRPr="007A682B" w:rsidRDefault="007A682B" w:rsidP="007A682B">
      <w:pPr>
        <w:rPr>
          <w:rFonts w:eastAsia="Times New Roman" w:cs="Times New Roman"/>
          <w:lang w:eastAsia="zh-CN" w:bidi="bg-BG"/>
        </w:rPr>
      </w:pPr>
      <w:r w:rsidRPr="007A682B">
        <w:rPr>
          <w:rFonts w:eastAsia="Times New Roman" w:cs="Times New Roman"/>
          <w:lang w:eastAsia="zh-CN" w:bidi="bg-BG"/>
        </w:rPr>
        <w:t xml:space="preserve">При това ниво на дефицита размерът на приходите, помощите и даренията по КФП е съответно - 50 402,3 млн. евро през 2026 г., 51 546,9 млн. евро през 2027 г. и 54 745,6 млн. евро през 2028 г., като ръстът през 2026 г. спрямо очакваното ниво от 44 499,2 млн. евро през 2025 г. се дължи основно на заложените нови приходни мерки и очаквания ефект от такива, приети през 2025 г., които не се проявиха в пълен обем поради по-късното приемане на Бюджет 2025. </w:t>
      </w:r>
    </w:p>
    <w:p w14:paraId="6A9CAF3D" w14:textId="77777777" w:rsidR="007A682B" w:rsidRPr="007A682B" w:rsidRDefault="007A682B" w:rsidP="007A682B">
      <w:pPr>
        <w:rPr>
          <w:rFonts w:eastAsia="Times New Roman" w:cs="Times New Roman"/>
          <w:lang w:eastAsia="zh-CN" w:bidi="bg-BG"/>
        </w:rPr>
      </w:pPr>
      <w:r w:rsidRPr="007A682B">
        <w:rPr>
          <w:rFonts w:eastAsia="Times New Roman" w:cs="Times New Roman"/>
          <w:lang w:eastAsia="zh-CN" w:bidi="bg-BG"/>
        </w:rPr>
        <w:t xml:space="preserve">Размерът на общите разходи по КФП по годините от периода е съответно 54 051,9 млн. евро през 2026 г., 55 091,2 млн. евро през 2027 г. и 58 007,1 млн. евро през 2028 г. </w:t>
      </w:r>
    </w:p>
    <w:p w14:paraId="17FBA861" w14:textId="77777777" w:rsidR="007A682B" w:rsidRDefault="007A682B" w:rsidP="000D7D8F">
      <w:pPr>
        <w:rPr>
          <w:rFonts w:eastAsia="Times New Roman" w:cs="Times New Roman"/>
          <w:lang w:eastAsia="zh-CN" w:bidi="bg-BG"/>
        </w:rPr>
      </w:pPr>
      <w:r w:rsidRPr="007A682B">
        <w:rPr>
          <w:rFonts w:eastAsia="Times New Roman" w:cs="Times New Roman"/>
          <w:lang w:eastAsia="zh-CN" w:bidi="bg-BG"/>
        </w:rPr>
        <w:t>По националното правило по чл. 28, ал. 1 от Закона за публичните финанси разходите са в размер на 40,1% от БВП</w:t>
      </w:r>
      <w:r w:rsidR="0098648A" w:rsidRPr="0098648A">
        <w:rPr>
          <w:rFonts w:eastAsia="Times New Roman" w:cs="Times New Roman"/>
          <w:lang w:eastAsia="zh-CN" w:bidi="bg-BG"/>
        </w:rPr>
        <w:t xml:space="preserve"> </w:t>
      </w:r>
      <w:r w:rsidR="0098648A" w:rsidRPr="007A682B">
        <w:rPr>
          <w:rFonts w:eastAsia="Times New Roman" w:cs="Times New Roman"/>
          <w:lang w:eastAsia="zh-CN" w:bidi="bg-BG"/>
        </w:rPr>
        <w:t>за 2026 г.</w:t>
      </w:r>
      <w:r w:rsidRPr="007A682B">
        <w:rPr>
          <w:rFonts w:eastAsia="Times New Roman" w:cs="Times New Roman"/>
          <w:lang w:eastAsia="zh-CN" w:bidi="bg-BG"/>
        </w:rPr>
        <w:t xml:space="preserve">, 39,9% от БВП </w:t>
      </w:r>
      <w:r w:rsidR="0098648A" w:rsidRPr="007A682B">
        <w:rPr>
          <w:rFonts w:eastAsia="Times New Roman" w:cs="Times New Roman"/>
          <w:lang w:eastAsia="zh-CN" w:bidi="bg-BG"/>
        </w:rPr>
        <w:t xml:space="preserve">за 2027 г. </w:t>
      </w:r>
      <w:r w:rsidRPr="007A682B">
        <w:rPr>
          <w:rFonts w:eastAsia="Times New Roman" w:cs="Times New Roman"/>
          <w:lang w:eastAsia="zh-CN" w:bidi="bg-BG"/>
        </w:rPr>
        <w:t>и 40,0% от БВП</w:t>
      </w:r>
      <w:r w:rsidR="0098648A" w:rsidRPr="0098648A">
        <w:rPr>
          <w:rFonts w:eastAsia="Times New Roman" w:cs="Times New Roman"/>
          <w:lang w:eastAsia="zh-CN" w:bidi="bg-BG"/>
        </w:rPr>
        <w:t xml:space="preserve"> </w:t>
      </w:r>
      <w:r w:rsidR="0098648A">
        <w:rPr>
          <w:rFonts w:eastAsia="Times New Roman" w:cs="Times New Roman"/>
          <w:lang w:eastAsia="zh-CN" w:bidi="bg-BG"/>
        </w:rPr>
        <w:t>за 2028 г.</w:t>
      </w:r>
      <w:r w:rsidRPr="007A682B">
        <w:rPr>
          <w:rFonts w:eastAsia="Times New Roman" w:cs="Times New Roman"/>
          <w:lang w:eastAsia="zh-CN" w:bidi="bg-BG"/>
        </w:rPr>
        <w:t xml:space="preserve"> Следва да се отбележи, че при прилагане на активираната клауза за дерогация по отношение на увеличените разходи за отбрана е налице ефект, който води до спадане на тези разходи под 40 на сто.</w:t>
      </w:r>
      <w:r w:rsidR="0098648A">
        <w:rPr>
          <w:rFonts w:eastAsia="Times New Roman" w:cs="Times New Roman"/>
          <w:lang w:eastAsia="zh-CN" w:bidi="bg-BG"/>
        </w:rPr>
        <w:t xml:space="preserve"> </w:t>
      </w:r>
      <w:r w:rsidR="00770253" w:rsidRPr="00E05CA3">
        <w:rPr>
          <w:rFonts w:eastAsia="Times New Roman" w:cs="Times New Roman"/>
          <w:lang w:eastAsia="zh-CN" w:bidi="bg-BG"/>
        </w:rPr>
        <w:t xml:space="preserve">С въвеждането на ревизираната рамка за икономическо управление на ЕС водещо става новото правило за ограничението на ръста на нетните разходи. </w:t>
      </w:r>
    </w:p>
    <w:p w14:paraId="2C775653" w14:textId="77777777" w:rsidR="000D7D8F" w:rsidRPr="000D7D8F" w:rsidRDefault="000D7D8F" w:rsidP="000D7D8F">
      <w:pPr>
        <w:rPr>
          <w:rFonts w:eastAsia="Times New Roman" w:cs="Times New Roman"/>
          <w:lang w:eastAsia="zh-CN" w:bidi="bg-BG"/>
        </w:rPr>
      </w:pPr>
      <w:r w:rsidRPr="000D7D8F">
        <w:rPr>
          <w:rFonts w:eastAsia="Times New Roman" w:cs="Times New Roman"/>
          <w:lang w:eastAsia="zh-CN" w:bidi="bg-BG"/>
        </w:rPr>
        <w:t xml:space="preserve">По прогноза на Министерството на финансите бюджетното салдо на сектор „Държавно управление“ за 2025 г. и 2026 г. е отрицателно в размер на 3,0% от БВП. През 2027 г. и 2028 г. се очаква разходите за отбрана на начислена основа да достигнат максимални стойности съответно 4 530,8 млн. евро (3,6% от БВП) и 3 324,6 млн. евро (2,5% от БВП). Този ръст на инвестициите в отбрана ще се отрази и на салдото  на сектор „Държавно </w:t>
      </w:r>
      <w:r w:rsidRPr="000D7D8F">
        <w:rPr>
          <w:rFonts w:eastAsia="Times New Roman" w:cs="Times New Roman"/>
          <w:lang w:eastAsia="zh-CN" w:bidi="bg-BG"/>
        </w:rPr>
        <w:lastRenderedPageBreak/>
        <w:t>управление“, като по предварителни оценки на МФ се очаква да достигне до -4,1% от БВП за 2027 г. и до -2,9% от БВП за 2028 г. С оглед на действието на националната клауза за дерогация съгласно Регламент (ЕС) 2024/1263, това влияние е временно и не води до трайно влошаване на бюджетната позиция и до нарушаване на фискалната устойчивост в дългосрочен план. При отчитане на допустимата гъвкавост на разходите за отбрана по националната клауза за дерогация, дефицитът на сектор „Държавно управление“ достига 2,7% от БВП за 2026 г., 2,6% от БВП за 2027 г. и 1,8% от БВП за 2028 г.</w:t>
      </w:r>
    </w:p>
    <w:p w14:paraId="793773C2" w14:textId="77777777" w:rsidR="008642D0" w:rsidRPr="0067608C" w:rsidRDefault="008642D0" w:rsidP="003C380E">
      <w:r w:rsidRPr="0067608C">
        <w:t>В подкрепа на инвестиции</w:t>
      </w:r>
      <w:r w:rsidR="00F8111C" w:rsidRPr="0067608C">
        <w:t>те за отбрана</w:t>
      </w:r>
      <w:r w:rsidRPr="0067608C">
        <w:t xml:space="preserve"> беше разработен специален инструмент „Мерки за сигурността на Европа чрез укрепване на европейската отбранителна промишленост“ („инс</w:t>
      </w:r>
      <w:r w:rsidR="00955110" w:rsidRPr="0067608C">
        <w:t>трументът SAFE“</w:t>
      </w:r>
      <w:r w:rsidRPr="0067608C">
        <w:t>), създаден с Регламент (ЕС) 2025/1106 на Съвета от 27 май 2025</w:t>
      </w:r>
      <w:r w:rsidR="00397E18" w:rsidRPr="0067608C">
        <w:t> </w:t>
      </w:r>
      <w:r w:rsidRPr="0067608C">
        <w:t>г., по линия на който на държавите членки се предоставя финансова помощ, позволяваща им да направят спешни и мащабни публични инвестиции в подкрепа на европейската отбранителна промишленост в отговор на настоящата кризисна обстановка. В тази връзка България е заявила намерение да се възползва от този инструмент за финансиране в размер до 3,2 млрд.</w:t>
      </w:r>
      <w:r w:rsidR="004750B7" w:rsidRPr="0067608C">
        <w:t xml:space="preserve"> </w:t>
      </w:r>
      <w:r w:rsidRPr="0067608C">
        <w:t>евро, който е включен в лимита за дълга за 2026 г.</w:t>
      </w:r>
      <w:r w:rsidR="00DC60BE" w:rsidRPr="0067608C">
        <w:t xml:space="preserve">, и ще </w:t>
      </w:r>
      <w:r w:rsidR="00826F50" w:rsidRPr="0067608C">
        <w:t xml:space="preserve">се </w:t>
      </w:r>
      <w:r w:rsidR="00DC60BE" w:rsidRPr="0067608C">
        <w:t xml:space="preserve">усвоява поетапно съгласно одобрен от Народното събрание национален план с включени проекти, одобрени от Европейската комисия и финансирани по инструмента </w:t>
      </w:r>
      <w:r w:rsidR="00DC60BE" w:rsidRPr="0067608C">
        <w:rPr>
          <w:lang w:val="en-US"/>
        </w:rPr>
        <w:t>SAFE</w:t>
      </w:r>
      <w:r w:rsidR="00DC60BE" w:rsidRPr="0067608C">
        <w:t>.</w:t>
      </w:r>
    </w:p>
    <w:p w14:paraId="5F60CFDD" w14:textId="77777777" w:rsidR="00777D7D" w:rsidRPr="005C58FE" w:rsidRDefault="00777D7D" w:rsidP="003C380E">
      <w:pPr>
        <w:rPr>
          <w:rFonts w:eastAsia="Times New Roman" w:cs="Times New Roman"/>
          <w:lang w:bidi="bg-BG"/>
        </w:rPr>
      </w:pPr>
      <w:r w:rsidRPr="005518F3">
        <w:rPr>
          <w:rFonts w:eastAsia="Times New Roman" w:cs="Times New Roman"/>
          <w:lang w:bidi="bg-BG"/>
        </w:rPr>
        <w:t xml:space="preserve">Въз основа на допусканията </w:t>
      </w:r>
      <w:r w:rsidR="008E1DB1" w:rsidRPr="005518F3">
        <w:rPr>
          <w:rFonts w:eastAsia="Times New Roman" w:cs="Times New Roman"/>
          <w:lang w:bidi="bg-BG"/>
        </w:rPr>
        <w:t>през периода 2026</w:t>
      </w:r>
      <w:r w:rsidRPr="005518F3">
        <w:rPr>
          <w:rFonts w:eastAsia="Times New Roman" w:cs="Times New Roman"/>
          <w:lang w:bidi="bg-BG"/>
        </w:rPr>
        <w:t>-2028 г. се предвижда държавният дълг да дост</w:t>
      </w:r>
      <w:r w:rsidR="008E1DB1" w:rsidRPr="005518F3">
        <w:rPr>
          <w:rFonts w:eastAsia="Times New Roman" w:cs="Times New Roman"/>
          <w:lang w:bidi="bg-BG"/>
        </w:rPr>
        <w:t xml:space="preserve">игне съответно до </w:t>
      </w:r>
      <w:r w:rsidR="008630BD" w:rsidRPr="005518F3">
        <w:rPr>
          <w:rFonts w:eastAsia="Times New Roman" w:cs="Times New Roman"/>
          <w:lang w:bidi="bg-BG"/>
        </w:rPr>
        <w:t>37</w:t>
      </w:r>
      <w:r w:rsidR="008E1DB1" w:rsidRPr="005518F3">
        <w:rPr>
          <w:rFonts w:eastAsia="Times New Roman" w:cs="Times New Roman"/>
          <w:lang w:bidi="bg-BG"/>
        </w:rPr>
        <w:t xml:space="preserve">,6 млрд. евро </w:t>
      </w:r>
      <w:r w:rsidRPr="005518F3">
        <w:rPr>
          <w:rFonts w:eastAsia="Times New Roman" w:cs="Times New Roman"/>
          <w:lang w:bidi="bg-BG"/>
        </w:rPr>
        <w:t xml:space="preserve"> </w:t>
      </w:r>
      <w:r w:rsidR="008630BD" w:rsidRPr="005518F3">
        <w:rPr>
          <w:rFonts w:eastAsia="Times New Roman" w:cs="Times New Roman"/>
          <w:lang w:bidi="bg-BG"/>
        </w:rPr>
        <w:t>(31,3</w:t>
      </w:r>
      <w:r w:rsidR="008E1DB1" w:rsidRPr="005518F3">
        <w:rPr>
          <w:rFonts w:eastAsia="Times New Roman" w:cs="Times New Roman"/>
          <w:lang w:bidi="bg-BG"/>
        </w:rPr>
        <w:t>% от БВП) през 2026</w:t>
      </w:r>
      <w:r w:rsidRPr="005518F3">
        <w:rPr>
          <w:rFonts w:eastAsia="Times New Roman" w:cs="Times New Roman"/>
          <w:lang w:bidi="bg-BG"/>
        </w:rPr>
        <w:t xml:space="preserve"> г., </w:t>
      </w:r>
      <w:r w:rsidR="00731D6E" w:rsidRPr="005518F3">
        <w:rPr>
          <w:rFonts w:eastAsia="Times New Roman" w:cs="Times New Roman"/>
          <w:lang w:bidi="bg-BG"/>
        </w:rPr>
        <w:t>43,5 млрд. евро (34,2</w:t>
      </w:r>
      <w:r w:rsidR="008E1DB1" w:rsidRPr="005518F3">
        <w:rPr>
          <w:rFonts w:eastAsia="Times New Roman" w:cs="Times New Roman"/>
          <w:lang w:bidi="bg-BG"/>
        </w:rPr>
        <w:t>% от БВП) през 2027</w:t>
      </w:r>
      <w:r w:rsidR="006F0EE8" w:rsidRPr="005518F3">
        <w:rPr>
          <w:rFonts w:eastAsia="Times New Roman" w:cs="Times New Roman"/>
          <w:lang w:bidi="bg-BG"/>
        </w:rPr>
        <w:t xml:space="preserve"> г.</w:t>
      </w:r>
      <w:r w:rsidRPr="005518F3">
        <w:rPr>
          <w:rFonts w:eastAsia="Times New Roman" w:cs="Times New Roman"/>
          <w:lang w:bidi="bg-BG"/>
        </w:rPr>
        <w:t xml:space="preserve"> </w:t>
      </w:r>
      <w:r w:rsidR="00731D6E" w:rsidRPr="005518F3">
        <w:rPr>
          <w:rFonts w:eastAsia="Times New Roman" w:cs="Times New Roman"/>
          <w:lang w:bidi="bg-BG"/>
        </w:rPr>
        <w:t>и 49</w:t>
      </w:r>
      <w:r w:rsidR="008E1DB1" w:rsidRPr="005518F3">
        <w:rPr>
          <w:rFonts w:eastAsia="Times New Roman" w:cs="Times New Roman"/>
          <w:lang w:bidi="bg-BG"/>
        </w:rPr>
        <w:t xml:space="preserve">,0 млрд. евро </w:t>
      </w:r>
      <w:r w:rsidR="00237895" w:rsidRPr="005518F3">
        <w:rPr>
          <w:rFonts w:eastAsia="Times New Roman" w:cs="Times New Roman"/>
          <w:lang w:bidi="bg-BG"/>
        </w:rPr>
        <w:t>(</w:t>
      </w:r>
      <w:r w:rsidR="00731D6E" w:rsidRPr="005518F3">
        <w:rPr>
          <w:rFonts w:eastAsia="Times New Roman" w:cs="Times New Roman"/>
          <w:lang w:bidi="bg-BG"/>
        </w:rPr>
        <w:t>36,6</w:t>
      </w:r>
      <w:r w:rsidRPr="005518F3">
        <w:rPr>
          <w:rFonts w:eastAsia="Times New Roman" w:cs="Times New Roman"/>
          <w:lang w:bidi="bg-BG"/>
        </w:rPr>
        <w:t>% от БВП) през 2028 г.</w:t>
      </w:r>
    </w:p>
    <w:p w14:paraId="20132AD4" w14:textId="77777777" w:rsidR="00B74041" w:rsidRPr="008E1DB1" w:rsidRDefault="00B74041" w:rsidP="003C380E">
      <w:pPr>
        <w:rPr>
          <w:rFonts w:eastAsia="Times New Roman" w:cs="Times New Roman"/>
          <w:lang w:bidi="bg-BG"/>
        </w:rPr>
      </w:pPr>
      <w:r w:rsidRPr="008E1DB1">
        <w:rPr>
          <w:rFonts w:eastAsia="Times New Roman" w:cs="Times New Roman"/>
          <w:lang w:bidi="bg-BG"/>
        </w:rPr>
        <w:t xml:space="preserve">Минималният размер на </w:t>
      </w:r>
      <w:r w:rsidRPr="00216166">
        <w:rPr>
          <w:rFonts w:eastAsia="Times New Roman" w:cs="Times New Roman"/>
          <w:lang w:bidi="bg-BG"/>
        </w:rPr>
        <w:t>фискалния резерв</w:t>
      </w:r>
      <w:r w:rsidR="008E1DB1">
        <w:rPr>
          <w:rFonts w:eastAsia="Times New Roman" w:cs="Times New Roman"/>
          <w:lang w:bidi="bg-BG"/>
        </w:rPr>
        <w:t xml:space="preserve"> към 31.12.2026</w:t>
      </w:r>
      <w:r w:rsidRPr="008E1DB1">
        <w:rPr>
          <w:rFonts w:eastAsia="Times New Roman" w:cs="Times New Roman"/>
          <w:lang w:bidi="bg-BG"/>
        </w:rPr>
        <w:t xml:space="preserve"> г. е </w:t>
      </w:r>
      <w:r w:rsidR="00397E18">
        <w:rPr>
          <w:rFonts w:eastAsia="Times New Roman" w:cs="Times New Roman"/>
          <w:lang w:bidi="bg-BG"/>
        </w:rPr>
        <w:t>заложен</w:t>
      </w:r>
      <w:r w:rsidRPr="008E1DB1">
        <w:rPr>
          <w:rFonts w:eastAsia="Times New Roman" w:cs="Times New Roman"/>
          <w:lang w:bidi="bg-BG"/>
        </w:rPr>
        <w:t xml:space="preserve"> в размер </w:t>
      </w:r>
      <w:r w:rsidRPr="00057674">
        <w:rPr>
          <w:rFonts w:eastAsia="Times New Roman" w:cs="Times New Roman"/>
          <w:lang w:bidi="bg-BG"/>
        </w:rPr>
        <w:t xml:space="preserve">на </w:t>
      </w:r>
      <w:r w:rsidR="002C3F2A" w:rsidRPr="00057674">
        <w:rPr>
          <w:rFonts w:eastAsia="Times New Roman" w:cs="Times New Roman"/>
          <w:lang w:bidi="bg-BG"/>
        </w:rPr>
        <w:t>2,4</w:t>
      </w:r>
      <w:r w:rsidR="002C3F2A">
        <w:rPr>
          <w:rFonts w:eastAsia="Times New Roman" w:cs="Times New Roman"/>
          <w:lang w:bidi="bg-BG"/>
        </w:rPr>
        <w:t xml:space="preserve"> млрд. евро</w:t>
      </w:r>
      <w:r w:rsidRPr="008E1DB1">
        <w:rPr>
          <w:rFonts w:eastAsia="Times New Roman" w:cs="Times New Roman"/>
          <w:lang w:bidi="bg-BG"/>
        </w:rPr>
        <w:t xml:space="preserve">. </w:t>
      </w:r>
    </w:p>
    <w:p w14:paraId="1A5EBCD1" w14:textId="77777777" w:rsidR="006A79D9" w:rsidRPr="006A79D9" w:rsidRDefault="006A79D9" w:rsidP="006A79D9">
      <w:pPr>
        <w:rPr>
          <w:rFonts w:eastAsia="Times New Roman" w:cs="Times New Roman"/>
          <w:bCs/>
          <w:lang w:bidi="bg-BG"/>
        </w:rPr>
      </w:pPr>
      <w:r w:rsidRPr="006A79D9">
        <w:rPr>
          <w:rFonts w:eastAsia="Times New Roman" w:cs="Times New Roman"/>
          <w:bCs/>
          <w:lang w:bidi="bg-BG"/>
        </w:rPr>
        <w:t xml:space="preserve">Есенната </w:t>
      </w:r>
      <w:r w:rsidRPr="006A79D9">
        <w:rPr>
          <w:rFonts w:eastAsia="Times New Roman" w:cs="Times New Roman"/>
          <w:lang w:bidi="bg-BG"/>
        </w:rPr>
        <w:t>макроикономическа прогноза</w:t>
      </w:r>
      <w:r w:rsidRPr="006A79D9">
        <w:rPr>
          <w:rFonts w:eastAsia="Times New Roman" w:cs="Times New Roman"/>
          <w:b/>
          <w:lang w:bidi="bg-BG"/>
        </w:rPr>
        <w:t xml:space="preserve"> </w:t>
      </w:r>
      <w:r w:rsidRPr="006A79D9">
        <w:rPr>
          <w:rFonts w:eastAsia="Times New Roman" w:cs="Times New Roman"/>
          <w:lang w:bidi="bg-BG"/>
        </w:rPr>
        <w:t>за периода,</w:t>
      </w:r>
      <w:r w:rsidRPr="006A79D9">
        <w:rPr>
          <w:rFonts w:eastAsia="Times New Roman" w:cs="Times New Roman"/>
          <w:b/>
          <w:lang w:bidi="bg-BG"/>
        </w:rPr>
        <w:t xml:space="preserve"> </w:t>
      </w:r>
      <w:r w:rsidRPr="006A79D9">
        <w:rPr>
          <w:rFonts w:eastAsia="Times New Roman" w:cs="Times New Roman"/>
          <w:lang w:bidi="bg-BG"/>
        </w:rPr>
        <w:t xml:space="preserve">изготвена от Министерството на финансите (МФ), предвижда </w:t>
      </w:r>
      <w:r w:rsidRPr="006A79D9">
        <w:rPr>
          <w:rFonts w:eastAsia="Times New Roman" w:cs="Times New Roman"/>
          <w:bCs/>
          <w:lang w:bidi="bg-BG"/>
        </w:rPr>
        <w:t xml:space="preserve">растежът на икономиката да </w:t>
      </w:r>
      <w:r w:rsidR="00BC53ED">
        <w:rPr>
          <w:rFonts w:eastAsia="Times New Roman" w:cs="Times New Roman"/>
          <w:bCs/>
          <w:lang w:bidi="bg-BG"/>
        </w:rPr>
        <w:t>достигне</w:t>
      </w:r>
      <w:r w:rsidRPr="006A79D9">
        <w:rPr>
          <w:rFonts w:eastAsia="Times New Roman" w:cs="Times New Roman"/>
          <w:bCs/>
          <w:lang w:bidi="bg-BG"/>
        </w:rPr>
        <w:t xml:space="preserve"> до 2,7% през 2026 г. В периода 2027-2028 г. растежът на БВП се очаква да бъде в рамките на 2,5-2,4%. Средногодишната инфлация за 2026 г. се очаква да бъде близка до тази през 2025 г. - 3,5%</w:t>
      </w:r>
      <w:r w:rsidR="00285D3C">
        <w:rPr>
          <w:rFonts w:eastAsia="Times New Roman" w:cs="Times New Roman"/>
          <w:bCs/>
          <w:lang w:bidi="bg-BG"/>
        </w:rPr>
        <w:t>, и</w:t>
      </w:r>
      <w:r w:rsidRPr="006A79D9">
        <w:rPr>
          <w:rFonts w:eastAsia="Times New Roman" w:cs="Times New Roman"/>
          <w:bCs/>
          <w:lang w:bidi="bg-BG"/>
        </w:rPr>
        <w:t xml:space="preserve"> ще се забави до 2,9% през 2027 г. и до 2,5% през 2028 г. </w:t>
      </w:r>
      <w:r w:rsidR="00285D3C">
        <w:rPr>
          <w:rFonts w:eastAsia="Times New Roman" w:cs="Times New Roman"/>
          <w:bCs/>
          <w:lang w:bidi="bg-BG"/>
        </w:rPr>
        <w:t>Прогнозата</w:t>
      </w:r>
      <w:r w:rsidRPr="006A79D9">
        <w:rPr>
          <w:rFonts w:eastAsia="Times New Roman" w:cs="Times New Roman"/>
          <w:bCs/>
          <w:lang w:bidi="bg-BG"/>
        </w:rPr>
        <w:t xml:space="preserve"> </w:t>
      </w:r>
      <w:r w:rsidR="00285D3C">
        <w:rPr>
          <w:rFonts w:eastAsia="Times New Roman" w:cs="Times New Roman"/>
          <w:bCs/>
          <w:lang w:bidi="bg-BG"/>
        </w:rPr>
        <w:t>е потвърдена и</w:t>
      </w:r>
      <w:r w:rsidRPr="006A79D9">
        <w:rPr>
          <w:rFonts w:eastAsia="Times New Roman" w:cs="Times New Roman"/>
          <w:bCs/>
          <w:lang w:bidi="bg-BG"/>
        </w:rPr>
        <w:t xml:space="preserve"> от Фискалния съвет</w:t>
      </w:r>
      <w:r w:rsidR="00285D3C">
        <w:rPr>
          <w:rFonts w:eastAsia="Times New Roman" w:cs="Times New Roman"/>
          <w:bCs/>
          <w:lang w:bidi="bg-BG"/>
        </w:rPr>
        <w:t>. Същата</w:t>
      </w:r>
      <w:r w:rsidRPr="006A79D9">
        <w:rPr>
          <w:rFonts w:eastAsia="Times New Roman" w:cs="Times New Roman"/>
          <w:bCs/>
          <w:lang w:bidi="bg-BG"/>
        </w:rPr>
        <w:t xml:space="preserve"> е близка до очакванията на международни институции като ЕК, ОИСР и други.</w:t>
      </w:r>
    </w:p>
    <w:p w14:paraId="3F7E6170" w14:textId="77777777" w:rsidR="00763091" w:rsidRDefault="00EE101D" w:rsidP="003C380E">
      <w:pPr>
        <w:rPr>
          <w:rFonts w:eastAsia="Times New Roman" w:cs="Times New Roman"/>
          <w:lang w:bidi="bg-BG"/>
        </w:rPr>
      </w:pPr>
      <w:r w:rsidRPr="00EE101D">
        <w:rPr>
          <w:rFonts w:eastAsia="Times New Roman" w:cs="Times New Roman"/>
          <w:lang w:bidi="bg-BG"/>
        </w:rPr>
        <w:t xml:space="preserve">През периода 2026-2028 г. </w:t>
      </w:r>
      <w:r w:rsidRPr="00216166">
        <w:rPr>
          <w:rFonts w:eastAsia="Times New Roman" w:cs="Times New Roman"/>
          <w:lang w:bidi="bg-BG"/>
        </w:rPr>
        <w:t>данъчната политика</w:t>
      </w:r>
      <w:r w:rsidRPr="00EE101D">
        <w:rPr>
          <w:rFonts w:eastAsia="Times New Roman" w:cs="Times New Roman"/>
          <w:lang w:bidi="bg-BG"/>
        </w:rPr>
        <w:t xml:space="preserve"> ще е ориентирана към постигане на макроикономическа и бюджетна стабилност в средносрочен и дългосрочен план и осигуряване на необходимия финансов ресурс за изпълнение на разходните политики на правителството. Основните цели на данъчната политика за периода отново са насочени към поддържане на икономическия растеж, подобряване на бизнес средата, борбата с данъчните злоупотреби и повишаване на фискалната устойчивост. </w:t>
      </w:r>
    </w:p>
    <w:p w14:paraId="6E6CD269" w14:textId="77777777" w:rsidR="0065515E" w:rsidRPr="006D707C" w:rsidRDefault="00DA143E" w:rsidP="003C380E">
      <w:pPr>
        <w:rPr>
          <w:rFonts w:eastAsia="Times New Roman" w:cs="Times New Roman"/>
          <w:bCs/>
          <w:lang w:bidi="bg-BG"/>
        </w:rPr>
      </w:pPr>
      <w:r w:rsidRPr="00DA143E">
        <w:rPr>
          <w:rFonts w:eastAsia="Times New Roman" w:cs="Times New Roman"/>
          <w:bCs/>
          <w:lang w:bidi="bg-BG"/>
        </w:rPr>
        <w:t xml:space="preserve">При </w:t>
      </w:r>
      <w:r w:rsidRPr="006D707C">
        <w:rPr>
          <w:rFonts w:eastAsia="Times New Roman" w:cs="Times New Roman"/>
          <w:bCs/>
          <w:lang w:bidi="bg-BG"/>
        </w:rPr>
        <w:t>прогнозиране на постъпленията от данъци са взети предвид след</w:t>
      </w:r>
      <w:r w:rsidR="0065515E" w:rsidRPr="006D707C">
        <w:rPr>
          <w:rFonts w:eastAsia="Times New Roman" w:cs="Times New Roman"/>
          <w:bCs/>
          <w:lang w:bidi="bg-BG"/>
        </w:rPr>
        <w:t>ните предл</w:t>
      </w:r>
      <w:r w:rsidRPr="006D707C">
        <w:rPr>
          <w:rFonts w:eastAsia="Times New Roman" w:cs="Times New Roman"/>
          <w:bCs/>
          <w:lang w:bidi="bg-BG"/>
        </w:rPr>
        <w:t>ожения за изменения в данъчното законодателство</w:t>
      </w:r>
      <w:r w:rsidR="00552E6B">
        <w:rPr>
          <w:rFonts w:eastAsia="Times New Roman" w:cs="Times New Roman"/>
          <w:bCs/>
          <w:lang w:bidi="bg-BG"/>
        </w:rPr>
        <w:t>, както</w:t>
      </w:r>
      <w:r w:rsidR="00552E6B" w:rsidRPr="00552E6B">
        <w:rPr>
          <w:rFonts w:eastAsia="Times New Roman" w:cs="Times New Roman"/>
          <w:bCs/>
          <w:lang w:bidi="bg-BG"/>
        </w:rPr>
        <w:t xml:space="preserve"> и продължаващото действие на някои</w:t>
      </w:r>
      <w:r w:rsidR="00552E6B" w:rsidRPr="00552E6B">
        <w:rPr>
          <w:rFonts w:eastAsia="Times New Roman" w:cs="Times New Roman"/>
          <w:b/>
          <w:bCs/>
          <w:lang w:bidi="bg-BG"/>
        </w:rPr>
        <w:t xml:space="preserve"> </w:t>
      </w:r>
      <w:r w:rsidR="00552E6B" w:rsidRPr="00552E6B">
        <w:rPr>
          <w:rFonts w:eastAsia="Times New Roman" w:cs="Times New Roman"/>
          <w:bCs/>
          <w:lang w:bidi="bg-BG"/>
        </w:rPr>
        <w:t>мерки</w:t>
      </w:r>
      <w:r w:rsidRPr="006D707C">
        <w:rPr>
          <w:rFonts w:eastAsia="Times New Roman" w:cs="Times New Roman"/>
          <w:bCs/>
          <w:lang w:bidi="bg-BG"/>
        </w:rPr>
        <w:t xml:space="preserve">: </w:t>
      </w:r>
    </w:p>
    <w:p w14:paraId="5FD10658" w14:textId="77777777" w:rsidR="009C22BF" w:rsidRPr="0066108F" w:rsidRDefault="009C22BF" w:rsidP="003C380E">
      <w:pPr>
        <w:numPr>
          <w:ilvl w:val="0"/>
          <w:numId w:val="31"/>
        </w:numPr>
        <w:rPr>
          <w:rFonts w:eastAsia="Times New Roman" w:cs="Times New Roman"/>
          <w:bCs/>
          <w:lang w:bidi="bg-BG"/>
        </w:rPr>
      </w:pPr>
      <w:r w:rsidRPr="0066108F">
        <w:rPr>
          <w:rFonts w:eastAsia="Times New Roman" w:cs="Times New Roman"/>
          <w:bCs/>
          <w:lang w:bidi="bg-BG"/>
        </w:rPr>
        <w:t>Разширяване на обхвата на стоките</w:t>
      </w:r>
      <w:r w:rsidR="00EF2B93" w:rsidRPr="00EF2B93">
        <w:rPr>
          <w:rFonts w:eastAsia="Times New Roman" w:cs="Times New Roman"/>
          <w:bCs/>
          <w:iCs/>
          <w:lang w:bidi="bg-BG"/>
        </w:rPr>
        <w:t xml:space="preserve"> с висок фискален риск</w:t>
      </w:r>
      <w:r w:rsidR="00EF2B93">
        <w:rPr>
          <w:rFonts w:eastAsia="Times New Roman" w:cs="Times New Roman"/>
          <w:bCs/>
          <w:iCs/>
          <w:lang w:bidi="bg-BG"/>
        </w:rPr>
        <w:t>;</w:t>
      </w:r>
    </w:p>
    <w:p w14:paraId="70ED5613" w14:textId="77777777" w:rsidR="00B352EE" w:rsidRPr="0066108F" w:rsidRDefault="00B352EE" w:rsidP="003C380E">
      <w:pPr>
        <w:numPr>
          <w:ilvl w:val="0"/>
          <w:numId w:val="31"/>
        </w:numPr>
        <w:rPr>
          <w:rFonts w:eastAsia="Times New Roman" w:cs="Times New Roman"/>
          <w:bCs/>
          <w:lang w:bidi="bg-BG"/>
        </w:rPr>
      </w:pPr>
      <w:r w:rsidRPr="0066108F">
        <w:rPr>
          <w:rFonts w:eastAsia="Times New Roman" w:cs="Times New Roman"/>
          <w:bCs/>
          <w:lang w:bidi="bg-BG"/>
        </w:rPr>
        <w:t>Разширяване на системата за електронно проследяване на движението на транспортните средства, превозващи стоки с висок фискален риск;</w:t>
      </w:r>
    </w:p>
    <w:p w14:paraId="5C0C1D9F" w14:textId="77777777" w:rsidR="009D2498" w:rsidRPr="009D2498" w:rsidRDefault="009D2498" w:rsidP="003C380E">
      <w:pPr>
        <w:numPr>
          <w:ilvl w:val="0"/>
          <w:numId w:val="31"/>
        </w:numPr>
        <w:rPr>
          <w:rFonts w:eastAsia="Times New Roman" w:cs="Times New Roman"/>
          <w:bCs/>
          <w:lang w:bidi="bg-BG"/>
        </w:rPr>
      </w:pPr>
      <w:r w:rsidRPr="009D2498">
        <w:rPr>
          <w:rFonts w:eastAsia="Times New Roman" w:cs="Times New Roman"/>
          <w:bCs/>
          <w:iCs/>
          <w:lang w:bidi="bg-BG"/>
        </w:rPr>
        <w:t xml:space="preserve">Въвеждане на данъчно облекчение </w:t>
      </w:r>
      <w:r>
        <w:rPr>
          <w:rFonts w:eastAsia="Times New Roman" w:cs="Times New Roman"/>
          <w:bCs/>
          <w:iCs/>
          <w:lang w:bidi="bg-BG"/>
        </w:rPr>
        <w:t xml:space="preserve">в </w:t>
      </w:r>
      <w:r w:rsidRPr="009D2498">
        <w:rPr>
          <w:rFonts w:eastAsia="Times New Roman" w:cs="Times New Roman"/>
          <w:bCs/>
          <w:iCs/>
          <w:lang w:bidi="bg-BG"/>
        </w:rPr>
        <w:t xml:space="preserve">Закона за корпоративното подоходно облагане за извършване на научноизследователска и развойна дейност (НИРД), при което на данъчно задължените лица, извършващи НИРД, ще бъдат признати </w:t>
      </w:r>
      <w:r w:rsidRPr="009D2498">
        <w:rPr>
          <w:rFonts w:eastAsia="Times New Roman" w:cs="Times New Roman"/>
          <w:bCs/>
          <w:iCs/>
          <w:lang w:bidi="bg-BG"/>
        </w:rPr>
        <w:lastRenderedPageBreak/>
        <w:t>за данъчни цели допълнително 25 на сто от разходите им за НИРД, в годината на отчитането им, когато са изпълнени определени условия. В случай че в резултат на развойна дейност бъде формиран дълготраен нематериален актив, се предлага данъчно задълженото лице да има право да увеличи с 25 на сто данъчната амортизируема стойност на този актив;</w:t>
      </w:r>
    </w:p>
    <w:p w14:paraId="57D94D61" w14:textId="77777777" w:rsidR="00720A08" w:rsidRPr="0066108F" w:rsidRDefault="00720A08" w:rsidP="003C380E">
      <w:pPr>
        <w:numPr>
          <w:ilvl w:val="0"/>
          <w:numId w:val="31"/>
        </w:numPr>
        <w:rPr>
          <w:rFonts w:eastAsia="Times New Roman" w:cs="Times New Roman"/>
          <w:bCs/>
          <w:lang w:bidi="bg-BG"/>
        </w:rPr>
      </w:pPr>
      <w:r w:rsidRPr="0066108F">
        <w:rPr>
          <w:rFonts w:eastAsia="Times New Roman" w:cs="Times New Roman"/>
          <w:bCs/>
          <w:lang w:bidi="bg-BG"/>
        </w:rPr>
        <w:t>Продължаващо действие на въведения от 01.05.2025 г. нов акцизен календар за акцизните ставки на тю</w:t>
      </w:r>
      <w:r w:rsidR="003C4C09">
        <w:rPr>
          <w:rFonts w:eastAsia="Times New Roman" w:cs="Times New Roman"/>
          <w:bCs/>
          <w:lang w:bidi="bg-BG"/>
        </w:rPr>
        <w:t xml:space="preserve">тюна и тютюневите изделия </w:t>
      </w:r>
      <w:r w:rsidRPr="0066108F">
        <w:rPr>
          <w:rFonts w:eastAsia="Times New Roman" w:cs="Times New Roman"/>
          <w:bCs/>
          <w:lang w:bidi="bg-BG"/>
        </w:rPr>
        <w:t xml:space="preserve">с цел балансирано поетапно увеличаване на акцизните ставки върху тютюна и тютюневите изделия; </w:t>
      </w:r>
    </w:p>
    <w:p w14:paraId="467A5C4D" w14:textId="77777777" w:rsidR="009D2498" w:rsidRDefault="00720A08" w:rsidP="003C380E">
      <w:pPr>
        <w:numPr>
          <w:ilvl w:val="0"/>
          <w:numId w:val="31"/>
        </w:numPr>
        <w:rPr>
          <w:rFonts w:eastAsia="Times New Roman" w:cs="Times New Roman"/>
          <w:bCs/>
          <w:lang w:bidi="bg-BG"/>
        </w:rPr>
      </w:pPr>
      <w:r w:rsidRPr="0066108F">
        <w:rPr>
          <w:rFonts w:eastAsia="Times New Roman" w:cs="Times New Roman"/>
          <w:bCs/>
          <w:lang w:bidi="bg-BG"/>
        </w:rPr>
        <w:t>П</w:t>
      </w:r>
      <w:r w:rsidR="00362087" w:rsidRPr="0066108F">
        <w:rPr>
          <w:rFonts w:eastAsia="Times New Roman" w:cs="Times New Roman"/>
          <w:bCs/>
          <w:lang w:bidi="bg-BG"/>
        </w:rPr>
        <w:t>родължаване на политиката за ползване</w:t>
      </w:r>
      <w:r w:rsidRPr="0066108F">
        <w:rPr>
          <w:rFonts w:eastAsia="Times New Roman" w:cs="Times New Roman"/>
          <w:bCs/>
          <w:lang w:bidi="bg-BG"/>
        </w:rPr>
        <w:t xml:space="preserve"> на данъчни облекчения по чл. 22в и 22г от ЗДДФЛ (за деца и за деца с увреждания) </w:t>
      </w:r>
      <w:r w:rsidR="0015667D" w:rsidRPr="0015667D">
        <w:rPr>
          <w:rFonts w:eastAsia="Times New Roman" w:cs="Times New Roman"/>
          <w:bCs/>
          <w:iCs/>
          <w:lang w:bidi="bg-BG"/>
        </w:rPr>
        <w:t xml:space="preserve">в увеличен размер </w:t>
      </w:r>
      <w:r w:rsidRPr="0066108F">
        <w:rPr>
          <w:rFonts w:eastAsia="Times New Roman" w:cs="Times New Roman"/>
          <w:bCs/>
          <w:lang w:bidi="bg-BG"/>
        </w:rPr>
        <w:t>и през 2026 г.;</w:t>
      </w:r>
    </w:p>
    <w:p w14:paraId="5F33DC8C" w14:textId="77777777" w:rsidR="00222474" w:rsidRPr="0066108F" w:rsidRDefault="00B352EE" w:rsidP="003C380E">
      <w:pPr>
        <w:numPr>
          <w:ilvl w:val="0"/>
          <w:numId w:val="31"/>
        </w:numPr>
        <w:rPr>
          <w:rFonts w:eastAsia="Times New Roman" w:cs="Times New Roman"/>
          <w:bCs/>
          <w:lang w:bidi="bg-BG"/>
        </w:rPr>
      </w:pPr>
      <w:r w:rsidRPr="0066108F">
        <w:rPr>
          <w:rFonts w:eastAsia="Times New Roman" w:cs="Times New Roman"/>
          <w:bCs/>
          <w:lang w:bidi="bg-BG"/>
        </w:rPr>
        <w:t>П</w:t>
      </w:r>
      <w:r w:rsidR="00461C26" w:rsidRPr="0066108F">
        <w:rPr>
          <w:rFonts w:eastAsia="Times New Roman" w:cs="Times New Roman"/>
          <w:bCs/>
          <w:lang w:bidi="bg-BG"/>
        </w:rPr>
        <w:t>редоставя</w:t>
      </w:r>
      <w:r w:rsidRPr="0066108F">
        <w:rPr>
          <w:rFonts w:eastAsia="Times New Roman" w:cs="Times New Roman"/>
          <w:bCs/>
          <w:lang w:bidi="bg-BG"/>
        </w:rPr>
        <w:t>не на</w:t>
      </w:r>
      <w:r w:rsidR="00461C26" w:rsidRPr="0066108F">
        <w:rPr>
          <w:rFonts w:eastAsia="Times New Roman" w:cs="Times New Roman"/>
          <w:bCs/>
          <w:lang w:bidi="bg-BG"/>
        </w:rPr>
        <w:t xml:space="preserve"> възможност за по-благоприятен режим за амортизиране за данъчни цели на електрически автомобили</w:t>
      </w:r>
      <w:r w:rsidR="000D663B" w:rsidRPr="0066108F">
        <w:rPr>
          <w:rFonts w:eastAsia="Times New Roman" w:cs="Times New Roman"/>
          <w:bCs/>
          <w:lang w:bidi="bg-BG"/>
        </w:rPr>
        <w:t>.</w:t>
      </w:r>
    </w:p>
    <w:p w14:paraId="63A0DA3F" w14:textId="77777777" w:rsidR="00B352EE" w:rsidRPr="00A003AF" w:rsidRDefault="00B352EE" w:rsidP="003C380E">
      <w:pPr>
        <w:tabs>
          <w:tab w:val="left" w:pos="720"/>
        </w:tabs>
        <w:rPr>
          <w:rFonts w:eastAsia="Times New Roman"/>
          <w:bCs/>
          <w:iCs/>
          <w:szCs w:val="24"/>
        </w:rPr>
      </w:pPr>
      <w:r w:rsidRPr="00051F70">
        <w:rPr>
          <w:rFonts w:eastAsia="Times New Roman"/>
        </w:rPr>
        <w:t xml:space="preserve">От 1 януари 2026 г. е предвидено увеличение на  променливата част </w:t>
      </w:r>
      <w:r w:rsidR="006B7161">
        <w:rPr>
          <w:rFonts w:eastAsia="Times New Roman"/>
        </w:rPr>
        <w:t xml:space="preserve">на таксата </w:t>
      </w:r>
      <w:r w:rsidRPr="00051F70">
        <w:rPr>
          <w:rFonts w:eastAsia="Times New Roman"/>
        </w:rPr>
        <w:t>по чл. 30, ал. 3 и 4 от Закона за хазарта за лицензиите за организиране на хазартни игри от 20 на сто на 2</w:t>
      </w:r>
      <w:r w:rsidR="005B48AD">
        <w:rPr>
          <w:rFonts w:eastAsia="Times New Roman"/>
        </w:rPr>
        <w:t>2</w:t>
      </w:r>
      <w:r w:rsidRPr="00051F70">
        <w:rPr>
          <w:rFonts w:eastAsia="Times New Roman"/>
        </w:rPr>
        <w:t xml:space="preserve"> на сто. </w:t>
      </w:r>
    </w:p>
    <w:p w14:paraId="2CE1989A" w14:textId="77777777" w:rsidR="00696BBB" w:rsidRPr="00696BBB" w:rsidRDefault="00696BBB" w:rsidP="003C380E">
      <w:pPr>
        <w:rPr>
          <w:rFonts w:eastAsia="Times New Roman" w:cs="Times New Roman"/>
          <w:bCs/>
          <w:lang w:bidi="bg-BG"/>
        </w:rPr>
      </w:pPr>
      <w:r w:rsidRPr="006D707C">
        <w:rPr>
          <w:rFonts w:eastAsia="Times New Roman" w:cs="Times New Roman"/>
          <w:bCs/>
          <w:lang w:bidi="bg-BG"/>
        </w:rPr>
        <w:t>Осигурителната политика</w:t>
      </w:r>
      <w:r w:rsidRPr="002C1520">
        <w:rPr>
          <w:rFonts w:eastAsia="Times New Roman" w:cs="Times New Roman"/>
          <w:b/>
          <w:bCs/>
          <w:lang w:bidi="bg-BG"/>
        </w:rPr>
        <w:t xml:space="preserve"> </w:t>
      </w:r>
      <w:r w:rsidRPr="002C1520">
        <w:rPr>
          <w:rFonts w:eastAsia="Times New Roman" w:cs="Times New Roman"/>
          <w:bCs/>
          <w:lang w:bidi="bg-BG"/>
        </w:rPr>
        <w:t>за периода 2026-2028 г.</w:t>
      </w:r>
      <w:r w:rsidRPr="00696BBB">
        <w:rPr>
          <w:rFonts w:eastAsia="Times New Roman" w:cs="Times New Roman"/>
          <w:bCs/>
          <w:lang w:bidi="bg-BG"/>
        </w:rPr>
        <w:t xml:space="preserve"> предвижда:</w:t>
      </w:r>
    </w:p>
    <w:p w14:paraId="65A80D22" w14:textId="77777777" w:rsidR="00696BBB" w:rsidRPr="00135A28" w:rsidRDefault="00362087" w:rsidP="003C380E">
      <w:pPr>
        <w:numPr>
          <w:ilvl w:val="0"/>
          <w:numId w:val="31"/>
        </w:numPr>
        <w:rPr>
          <w:rFonts w:eastAsia="Times New Roman" w:cs="Times New Roman"/>
          <w:bCs/>
          <w:lang w:bidi="bg-BG"/>
        </w:rPr>
      </w:pPr>
      <w:r w:rsidRPr="00E05CA3">
        <w:rPr>
          <w:rFonts w:eastAsia="Times New Roman" w:cs="Times New Roman"/>
          <w:bCs/>
          <w:lang w:bidi="bg-BG"/>
        </w:rPr>
        <w:t xml:space="preserve">От </w:t>
      </w:r>
      <w:r w:rsidR="00696BBB" w:rsidRPr="00E05CA3">
        <w:rPr>
          <w:rFonts w:eastAsia="Times New Roman" w:cs="Times New Roman"/>
          <w:bCs/>
          <w:lang w:bidi="bg-BG"/>
        </w:rPr>
        <w:t>1 януари 202</w:t>
      </w:r>
      <w:r w:rsidR="00E05CA3">
        <w:rPr>
          <w:rFonts w:eastAsia="Times New Roman" w:cs="Times New Roman"/>
          <w:bCs/>
          <w:lang w:bidi="bg-BG"/>
        </w:rPr>
        <w:t>7</w:t>
      </w:r>
      <w:r w:rsidR="00696BBB" w:rsidRPr="00E05CA3">
        <w:rPr>
          <w:rFonts w:eastAsia="Times New Roman" w:cs="Times New Roman"/>
          <w:bCs/>
          <w:lang w:bidi="bg-BG"/>
        </w:rPr>
        <w:t xml:space="preserve"> г. </w:t>
      </w:r>
      <w:r w:rsidRPr="00E05CA3">
        <w:rPr>
          <w:rFonts w:eastAsia="Times New Roman" w:cs="Times New Roman"/>
          <w:bCs/>
          <w:lang w:bidi="bg-BG"/>
        </w:rPr>
        <w:t xml:space="preserve">се </w:t>
      </w:r>
      <w:r w:rsidR="00696BBB" w:rsidRPr="00E05CA3">
        <w:rPr>
          <w:rFonts w:eastAsia="Times New Roman" w:cs="Times New Roman"/>
          <w:bCs/>
          <w:lang w:bidi="bg-BG"/>
        </w:rPr>
        <w:t xml:space="preserve">увеличава осигурителната вноска за фонд „Пенсии“ на </w:t>
      </w:r>
      <w:r w:rsidRPr="00E05CA3">
        <w:rPr>
          <w:rFonts w:eastAsia="Times New Roman" w:cs="Times New Roman"/>
          <w:bCs/>
          <w:lang w:bidi="bg-BG"/>
        </w:rPr>
        <w:t>д</w:t>
      </w:r>
      <w:r w:rsidR="00696BBB" w:rsidRPr="00E05CA3">
        <w:rPr>
          <w:rFonts w:eastAsia="Times New Roman" w:cs="Times New Roman"/>
          <w:bCs/>
          <w:lang w:bidi="bg-BG"/>
        </w:rPr>
        <w:t xml:space="preserve">ържавното обществено осигуряване (ДОО) с </w:t>
      </w:r>
      <w:r w:rsidR="00E05CA3">
        <w:rPr>
          <w:rFonts w:eastAsia="Times New Roman" w:cs="Times New Roman"/>
          <w:bCs/>
          <w:lang w:bidi="bg-BG"/>
        </w:rPr>
        <w:t>1</w:t>
      </w:r>
      <w:r w:rsidR="00696BBB" w:rsidRPr="00E05CA3">
        <w:rPr>
          <w:rFonts w:eastAsia="Times New Roman" w:cs="Times New Roman"/>
          <w:bCs/>
          <w:lang w:bidi="bg-BG"/>
        </w:rPr>
        <w:t xml:space="preserve"> </w:t>
      </w:r>
      <w:proofErr w:type="spellStart"/>
      <w:r w:rsidRPr="00D24DF2">
        <w:rPr>
          <w:rFonts w:eastAsia="Times New Roman" w:cs="Times New Roman"/>
          <w:bCs/>
          <w:lang w:bidi="bg-BG"/>
        </w:rPr>
        <w:t>пр.</w:t>
      </w:r>
      <w:r w:rsidR="00696BBB" w:rsidRPr="00D24DF2">
        <w:rPr>
          <w:rFonts w:eastAsia="Times New Roman" w:cs="Times New Roman"/>
          <w:bCs/>
          <w:lang w:bidi="bg-BG"/>
        </w:rPr>
        <w:t>п</w:t>
      </w:r>
      <w:proofErr w:type="spellEnd"/>
      <w:r w:rsidRPr="00D24DF2">
        <w:rPr>
          <w:rFonts w:eastAsia="Times New Roman" w:cs="Times New Roman"/>
          <w:bCs/>
          <w:lang w:bidi="bg-BG"/>
        </w:rPr>
        <w:t>. и</w:t>
      </w:r>
      <w:r w:rsidR="00696BBB" w:rsidRPr="00D24DF2">
        <w:rPr>
          <w:rFonts w:eastAsia="Times New Roman" w:cs="Times New Roman"/>
          <w:bCs/>
          <w:lang w:bidi="bg-BG"/>
        </w:rPr>
        <w:t xml:space="preserve"> от 1 януари 2028 г. </w:t>
      </w:r>
      <w:r w:rsidR="00DB700E" w:rsidRPr="00D24DF2">
        <w:rPr>
          <w:rFonts w:eastAsia="Times New Roman" w:cs="Times New Roman"/>
          <w:bCs/>
          <w:lang w:bidi="bg-BG"/>
        </w:rPr>
        <w:t xml:space="preserve">- </w:t>
      </w:r>
      <w:r w:rsidR="00696BBB" w:rsidRPr="00703D00">
        <w:rPr>
          <w:rFonts w:eastAsia="Times New Roman" w:cs="Times New Roman"/>
          <w:bCs/>
          <w:lang w:bidi="bg-BG"/>
        </w:rPr>
        <w:t xml:space="preserve">с </w:t>
      </w:r>
      <w:r w:rsidR="00D24DF2">
        <w:rPr>
          <w:rFonts w:eastAsia="Times New Roman" w:cs="Times New Roman"/>
          <w:bCs/>
          <w:lang w:bidi="bg-BG"/>
        </w:rPr>
        <w:t>2</w:t>
      </w:r>
      <w:r w:rsidR="00696BBB" w:rsidRPr="00D24DF2">
        <w:rPr>
          <w:rFonts w:eastAsia="Times New Roman" w:cs="Times New Roman"/>
          <w:bCs/>
          <w:lang w:bidi="bg-BG"/>
        </w:rPr>
        <w:t xml:space="preserve"> </w:t>
      </w:r>
      <w:proofErr w:type="spellStart"/>
      <w:r w:rsidR="00696BBB" w:rsidRPr="00D24DF2">
        <w:rPr>
          <w:rFonts w:eastAsia="Times New Roman" w:cs="Times New Roman"/>
          <w:bCs/>
          <w:lang w:bidi="bg-BG"/>
        </w:rPr>
        <w:t>пр</w:t>
      </w:r>
      <w:r w:rsidRPr="00703D00">
        <w:rPr>
          <w:rFonts w:eastAsia="Times New Roman" w:cs="Times New Roman"/>
          <w:bCs/>
          <w:lang w:bidi="bg-BG"/>
        </w:rPr>
        <w:t>.</w:t>
      </w:r>
      <w:r w:rsidR="00696BBB" w:rsidRPr="00703D00">
        <w:rPr>
          <w:rFonts w:eastAsia="Times New Roman" w:cs="Times New Roman"/>
          <w:bCs/>
          <w:lang w:bidi="bg-BG"/>
        </w:rPr>
        <w:t>п</w:t>
      </w:r>
      <w:proofErr w:type="spellEnd"/>
      <w:r w:rsidRPr="00703D00">
        <w:rPr>
          <w:rFonts w:eastAsia="Times New Roman" w:cs="Times New Roman"/>
          <w:bCs/>
          <w:lang w:bidi="bg-BG"/>
        </w:rPr>
        <w:t>.</w:t>
      </w:r>
      <w:r w:rsidR="00696BBB" w:rsidRPr="00135A28">
        <w:rPr>
          <w:rFonts w:eastAsia="Times New Roman" w:cs="Times New Roman"/>
          <w:bCs/>
          <w:lang w:bidi="bg-BG"/>
        </w:rPr>
        <w:t>;</w:t>
      </w:r>
    </w:p>
    <w:p w14:paraId="7B0CAC3C" w14:textId="77777777" w:rsidR="00696BBB" w:rsidRPr="007A682B" w:rsidRDefault="00696BBB" w:rsidP="003C380E">
      <w:pPr>
        <w:numPr>
          <w:ilvl w:val="0"/>
          <w:numId w:val="31"/>
        </w:numPr>
        <w:rPr>
          <w:rFonts w:eastAsia="Times New Roman" w:cs="Times New Roman"/>
          <w:bCs/>
          <w:lang w:bidi="bg-BG"/>
        </w:rPr>
      </w:pPr>
      <w:r w:rsidRPr="00696BBB">
        <w:rPr>
          <w:rFonts w:eastAsia="Times New Roman" w:cs="Times New Roman"/>
          <w:bCs/>
          <w:lang w:bidi="bg-BG"/>
        </w:rPr>
        <w:t xml:space="preserve">Минималният осигурителен доход за самоосигуряващите се лица се увеличава от </w:t>
      </w:r>
      <w:r w:rsidRPr="007A682B">
        <w:rPr>
          <w:rFonts w:eastAsia="Times New Roman" w:cs="Times New Roman"/>
          <w:bCs/>
          <w:lang w:bidi="bg-BG"/>
        </w:rPr>
        <w:t xml:space="preserve">1 януари 2026 г. на </w:t>
      </w:r>
      <w:r w:rsidR="00FF1CE8" w:rsidRPr="007A682B">
        <w:rPr>
          <w:rFonts w:eastAsia="Times New Roman" w:cs="Times New Roman"/>
          <w:bCs/>
          <w:lang w:bidi="bg-BG"/>
        </w:rPr>
        <w:t>620,20</w:t>
      </w:r>
      <w:r w:rsidRPr="007A682B">
        <w:rPr>
          <w:rFonts w:eastAsia="Times New Roman" w:cs="Times New Roman"/>
          <w:bCs/>
          <w:lang w:bidi="bg-BG"/>
        </w:rPr>
        <w:t xml:space="preserve"> евро; </w:t>
      </w:r>
    </w:p>
    <w:p w14:paraId="303886AA" w14:textId="77777777" w:rsidR="00696BBB" w:rsidRPr="00696BBB" w:rsidRDefault="00696BBB" w:rsidP="003C380E">
      <w:pPr>
        <w:numPr>
          <w:ilvl w:val="0"/>
          <w:numId w:val="31"/>
        </w:numPr>
        <w:rPr>
          <w:rFonts w:eastAsia="Times New Roman" w:cs="Times New Roman"/>
          <w:bCs/>
          <w:lang w:bidi="bg-BG"/>
        </w:rPr>
      </w:pPr>
      <w:r w:rsidRPr="007A682B">
        <w:rPr>
          <w:rFonts w:eastAsia="Times New Roman" w:cs="Times New Roman"/>
          <w:bCs/>
          <w:lang w:bidi="bg-BG"/>
        </w:rPr>
        <w:t>Максималният осигурителен доход за всички осигурени лица се увеличава от 1 януари 2026 г. на 2</w:t>
      </w:r>
      <w:r w:rsidR="007A682B" w:rsidRPr="007A682B">
        <w:rPr>
          <w:rFonts w:eastAsia="Times New Roman" w:cs="Times New Roman"/>
          <w:bCs/>
          <w:lang w:bidi="bg-BG"/>
        </w:rPr>
        <w:t xml:space="preserve"> 300</w:t>
      </w:r>
      <w:r w:rsidRPr="007A682B">
        <w:rPr>
          <w:rFonts w:eastAsia="Times New Roman" w:cs="Times New Roman"/>
          <w:bCs/>
          <w:lang w:bidi="bg-BG"/>
        </w:rPr>
        <w:t xml:space="preserve"> евро, за 2027 г. на 2 505 евро и  за 2028 г. на 2 659 евро</w:t>
      </w:r>
      <w:r w:rsidRPr="00696BBB">
        <w:rPr>
          <w:rFonts w:eastAsia="Times New Roman" w:cs="Times New Roman"/>
          <w:bCs/>
          <w:lang w:bidi="bg-BG"/>
        </w:rPr>
        <w:t>.</w:t>
      </w:r>
    </w:p>
    <w:p w14:paraId="0392EDD2" w14:textId="77777777" w:rsidR="00696BBB" w:rsidRPr="006D707C" w:rsidRDefault="00696BBB" w:rsidP="003C380E">
      <w:pPr>
        <w:rPr>
          <w:rFonts w:eastAsia="Times New Roman" w:cs="Times New Roman"/>
          <w:bCs/>
          <w:lang w:bidi="bg-BG"/>
        </w:rPr>
      </w:pPr>
      <w:r w:rsidRPr="006D707C">
        <w:rPr>
          <w:rFonts w:eastAsia="Times New Roman" w:cs="Times New Roman"/>
          <w:bCs/>
          <w:lang w:bidi="bg-BG"/>
        </w:rPr>
        <w:t>Разходни политики</w:t>
      </w:r>
    </w:p>
    <w:p w14:paraId="36BA3E66" w14:textId="77777777" w:rsidR="00696BBB" w:rsidRPr="00696BBB" w:rsidRDefault="00696BBB" w:rsidP="003C380E">
      <w:pPr>
        <w:rPr>
          <w:rFonts w:eastAsia="Times New Roman" w:cs="Times New Roman"/>
          <w:bCs/>
          <w:lang w:bidi="bg-BG"/>
        </w:rPr>
      </w:pPr>
      <w:r w:rsidRPr="00696BBB">
        <w:rPr>
          <w:rFonts w:eastAsia="Times New Roman" w:cs="Times New Roman"/>
          <w:bCs/>
          <w:lang w:bidi="bg-BG"/>
        </w:rPr>
        <w:t>Основните разходни политики, водещи до повишаване в разходната част на бюджета за периода 2026-2028 г., са както следва:</w:t>
      </w:r>
    </w:p>
    <w:p w14:paraId="21F88FDF" w14:textId="77777777" w:rsidR="00696BBB" w:rsidRDefault="000A6DCB" w:rsidP="003C380E">
      <w:pPr>
        <w:numPr>
          <w:ilvl w:val="0"/>
          <w:numId w:val="31"/>
        </w:numPr>
        <w:rPr>
          <w:rFonts w:eastAsia="Times New Roman" w:cs="Times New Roman"/>
          <w:bCs/>
          <w:lang w:bidi="bg-BG"/>
        </w:rPr>
      </w:pPr>
      <w:r>
        <w:rPr>
          <w:rFonts w:eastAsia="Times New Roman" w:cs="Times New Roman"/>
          <w:bCs/>
          <w:lang w:bidi="bg-BG"/>
        </w:rPr>
        <w:t>У</w:t>
      </w:r>
      <w:r w:rsidR="00696BBB" w:rsidRPr="00696BBB">
        <w:rPr>
          <w:rFonts w:eastAsia="Times New Roman" w:cs="Times New Roman"/>
          <w:bCs/>
          <w:lang w:bidi="bg-BG"/>
        </w:rPr>
        <w:t xml:space="preserve">величение на размера на минималната работна заплата (МРЗ) от 1 януари 2026 г. </w:t>
      </w:r>
      <w:r w:rsidR="00E30402">
        <w:rPr>
          <w:rFonts w:eastAsia="Times New Roman" w:cs="Times New Roman"/>
          <w:bCs/>
          <w:lang w:bidi="bg-BG"/>
        </w:rPr>
        <w:t xml:space="preserve">на </w:t>
      </w:r>
      <w:r w:rsidR="00FF1CE8">
        <w:rPr>
          <w:rFonts w:eastAsia="Times New Roman" w:cs="Times New Roman"/>
          <w:bCs/>
          <w:lang w:bidi="bg-BG"/>
        </w:rPr>
        <w:t>620,20</w:t>
      </w:r>
      <w:r w:rsidR="00696BBB" w:rsidRPr="00696BBB">
        <w:rPr>
          <w:rFonts w:eastAsia="Times New Roman" w:cs="Times New Roman"/>
          <w:bCs/>
          <w:lang w:bidi="bg-BG"/>
        </w:rPr>
        <w:t xml:space="preserve"> евро;</w:t>
      </w:r>
    </w:p>
    <w:p w14:paraId="57B4160F" w14:textId="77777777" w:rsidR="00CF35AA" w:rsidRPr="00CF35AA" w:rsidRDefault="00F5456F" w:rsidP="003C380E">
      <w:pPr>
        <w:numPr>
          <w:ilvl w:val="0"/>
          <w:numId w:val="31"/>
        </w:numPr>
        <w:rPr>
          <w:rFonts w:eastAsia="Times New Roman" w:cs="Times New Roman"/>
          <w:bCs/>
          <w:lang w:bidi="bg-BG"/>
        </w:rPr>
      </w:pPr>
      <w:r>
        <w:rPr>
          <w:rFonts w:eastAsia="Times New Roman" w:cs="Times New Roman"/>
          <w:bCs/>
          <w:lang w:bidi="bg-BG"/>
        </w:rPr>
        <w:t>Увеличение на размера</w:t>
      </w:r>
      <w:r w:rsidR="00CF35AA" w:rsidRPr="00CF35AA">
        <w:rPr>
          <w:rFonts w:eastAsia="Times New Roman" w:cs="Times New Roman"/>
          <w:bCs/>
          <w:lang w:bidi="bg-BG"/>
        </w:rPr>
        <w:t xml:space="preserve"> на обезщетението за отглежда</w:t>
      </w:r>
      <w:r>
        <w:rPr>
          <w:rFonts w:eastAsia="Times New Roman" w:cs="Times New Roman"/>
          <w:bCs/>
          <w:lang w:bidi="bg-BG"/>
        </w:rPr>
        <w:t>не на дете до 2-</w:t>
      </w:r>
      <w:r w:rsidR="00CF35AA" w:rsidRPr="00CF35AA">
        <w:rPr>
          <w:rFonts w:eastAsia="Times New Roman" w:cs="Times New Roman"/>
          <w:bCs/>
          <w:lang w:bidi="bg-BG"/>
        </w:rPr>
        <w:t>годишна възраст  на 460,17 евро за целия период до 2028 г. включително;</w:t>
      </w:r>
    </w:p>
    <w:p w14:paraId="32BF1232" w14:textId="77777777" w:rsidR="00CF35AA" w:rsidRPr="00CF35AA" w:rsidRDefault="00F5456F" w:rsidP="003C380E">
      <w:pPr>
        <w:numPr>
          <w:ilvl w:val="0"/>
          <w:numId w:val="31"/>
        </w:numPr>
        <w:rPr>
          <w:rFonts w:eastAsia="Times New Roman" w:cs="Times New Roman"/>
          <w:bCs/>
          <w:lang w:bidi="bg-BG"/>
        </w:rPr>
      </w:pPr>
      <w:r>
        <w:rPr>
          <w:rFonts w:eastAsia="Times New Roman" w:cs="Times New Roman"/>
          <w:bCs/>
          <w:lang w:bidi="bg-BG"/>
        </w:rPr>
        <w:t xml:space="preserve">Увеличение на размера на </w:t>
      </w:r>
      <w:r w:rsidR="00CF35AA" w:rsidRPr="00CF35AA">
        <w:rPr>
          <w:rFonts w:eastAsia="Times New Roman" w:cs="Times New Roman"/>
          <w:bCs/>
          <w:lang w:bidi="bg-BG"/>
        </w:rPr>
        <w:t>паричното обезщетение за отглеждане на дете до 8-годишна възраст от бащата (осиновителя)</w:t>
      </w:r>
      <w:r w:rsidR="00F62A17">
        <w:rPr>
          <w:rFonts w:eastAsia="Times New Roman" w:cs="Times New Roman"/>
          <w:bCs/>
          <w:lang w:bidi="bg-BG"/>
        </w:rPr>
        <w:t xml:space="preserve"> </w:t>
      </w:r>
      <w:r w:rsidR="00CF35AA" w:rsidRPr="00CF35AA">
        <w:rPr>
          <w:rFonts w:eastAsia="Times New Roman" w:cs="Times New Roman"/>
          <w:bCs/>
          <w:lang w:bidi="bg-BG"/>
        </w:rPr>
        <w:t>на 460,17 евро за целия период до 2028 г. включително;</w:t>
      </w:r>
    </w:p>
    <w:p w14:paraId="6729CC59" w14:textId="77777777" w:rsidR="00CF35AA" w:rsidRPr="00CF35AA" w:rsidRDefault="00CF35AA" w:rsidP="003C380E">
      <w:pPr>
        <w:numPr>
          <w:ilvl w:val="0"/>
          <w:numId w:val="31"/>
        </w:numPr>
        <w:rPr>
          <w:rFonts w:eastAsia="Times New Roman" w:cs="Times New Roman"/>
          <w:bCs/>
          <w:lang w:bidi="bg-BG"/>
        </w:rPr>
      </w:pPr>
      <w:r w:rsidRPr="00CF35AA">
        <w:rPr>
          <w:rFonts w:eastAsia="Times New Roman" w:cs="Times New Roman"/>
          <w:bCs/>
          <w:lang w:bidi="bg-BG"/>
        </w:rPr>
        <w:t>Повишава се размер</w:t>
      </w:r>
      <w:r w:rsidR="00F62A17">
        <w:rPr>
          <w:rFonts w:eastAsia="Times New Roman" w:cs="Times New Roman"/>
          <w:bCs/>
          <w:lang w:bidi="bg-BG"/>
        </w:rPr>
        <w:t>ът</w:t>
      </w:r>
      <w:r w:rsidRPr="00CF35AA">
        <w:rPr>
          <w:rFonts w:eastAsia="Times New Roman" w:cs="Times New Roman"/>
          <w:bCs/>
          <w:lang w:bidi="bg-BG"/>
        </w:rPr>
        <w:t xml:space="preserve"> от 50 на сто на 75 на сто на паричното обезщетение при </w:t>
      </w:r>
      <w:proofErr w:type="spellStart"/>
      <w:r w:rsidRPr="00CF35AA">
        <w:rPr>
          <w:rFonts w:eastAsia="Times New Roman" w:cs="Times New Roman"/>
          <w:bCs/>
          <w:lang w:bidi="bg-BG"/>
        </w:rPr>
        <w:t>неизползване</w:t>
      </w:r>
      <w:proofErr w:type="spellEnd"/>
      <w:r w:rsidRPr="00CF35AA">
        <w:rPr>
          <w:rFonts w:eastAsia="Times New Roman" w:cs="Times New Roman"/>
          <w:bCs/>
          <w:lang w:bidi="bg-BG"/>
        </w:rPr>
        <w:t xml:space="preserve"> на отпуска за бременност и раждане по чл. 50а от КСО, за </w:t>
      </w:r>
      <w:proofErr w:type="spellStart"/>
      <w:r w:rsidRPr="00CF35AA">
        <w:rPr>
          <w:rFonts w:eastAsia="Times New Roman" w:cs="Times New Roman"/>
          <w:bCs/>
          <w:lang w:bidi="bg-BG"/>
        </w:rPr>
        <w:t>неизползване</w:t>
      </w:r>
      <w:proofErr w:type="spellEnd"/>
      <w:r w:rsidRPr="00CF35AA">
        <w:rPr>
          <w:rFonts w:eastAsia="Times New Roman" w:cs="Times New Roman"/>
          <w:bCs/>
          <w:lang w:bidi="bg-BG"/>
        </w:rPr>
        <w:t xml:space="preserve"> на отпуска за отглеждане на дете до 2-годишна възраст по чл. 54 от КСО и при </w:t>
      </w:r>
      <w:proofErr w:type="spellStart"/>
      <w:r w:rsidRPr="00CF35AA">
        <w:rPr>
          <w:rFonts w:eastAsia="Times New Roman" w:cs="Times New Roman"/>
          <w:bCs/>
          <w:lang w:bidi="bg-BG"/>
        </w:rPr>
        <w:t>неизползване</w:t>
      </w:r>
      <w:proofErr w:type="spellEnd"/>
      <w:r w:rsidRPr="00CF35AA">
        <w:rPr>
          <w:rFonts w:eastAsia="Times New Roman" w:cs="Times New Roman"/>
          <w:bCs/>
          <w:lang w:bidi="bg-BG"/>
        </w:rPr>
        <w:t xml:space="preserve"> на отпуска при осиновяване на дете до 5-годишна възраст по чл.53г от КСО;</w:t>
      </w:r>
    </w:p>
    <w:p w14:paraId="49915769" w14:textId="77777777" w:rsidR="00696BBB" w:rsidRPr="00696BBB" w:rsidRDefault="000A6DCB" w:rsidP="003C380E">
      <w:pPr>
        <w:numPr>
          <w:ilvl w:val="0"/>
          <w:numId w:val="31"/>
        </w:numPr>
        <w:rPr>
          <w:rFonts w:eastAsia="Times New Roman" w:cs="Times New Roman"/>
          <w:bCs/>
          <w:lang w:bidi="bg-BG"/>
        </w:rPr>
      </w:pPr>
      <w:r>
        <w:rPr>
          <w:rFonts w:eastAsia="Times New Roman" w:cs="Times New Roman"/>
          <w:bCs/>
          <w:lang w:bidi="bg-BG"/>
        </w:rPr>
        <w:lastRenderedPageBreak/>
        <w:t>П</w:t>
      </w:r>
      <w:r w:rsidR="00696BBB" w:rsidRPr="00696BBB">
        <w:rPr>
          <w:rFonts w:eastAsia="Times New Roman" w:cs="Times New Roman"/>
          <w:bCs/>
          <w:lang w:bidi="bg-BG"/>
        </w:rPr>
        <w:t xml:space="preserve">енсиите за трудова дейност, отпуснати до 31 декември на предходната година, се осъвременяват от 1 юли на съответната година по чл. 100 от КСО или т.нар. „швейцарско правило“; </w:t>
      </w:r>
    </w:p>
    <w:p w14:paraId="67D33241" w14:textId="77777777" w:rsidR="00E30402" w:rsidRPr="00E66874" w:rsidRDefault="00E66874" w:rsidP="00E66874">
      <w:pPr>
        <w:numPr>
          <w:ilvl w:val="0"/>
          <w:numId w:val="31"/>
        </w:numPr>
        <w:rPr>
          <w:rFonts w:eastAsia="Times New Roman" w:cs="Times New Roman"/>
          <w:bCs/>
          <w:lang w:bidi="bg-BG"/>
        </w:rPr>
      </w:pPr>
      <w:r w:rsidRPr="00E66874">
        <w:rPr>
          <w:rFonts w:eastAsia="Times New Roman" w:cs="Times New Roman"/>
          <w:bCs/>
          <w:lang w:bidi="bg-BG"/>
        </w:rPr>
        <w:t>Прилагане на обща политика по доходите чрез у</w:t>
      </w:r>
      <w:r w:rsidR="00696BBB" w:rsidRPr="00E66874">
        <w:rPr>
          <w:rFonts w:eastAsia="Times New Roman" w:cs="Times New Roman"/>
          <w:bCs/>
          <w:lang w:bidi="bg-BG"/>
        </w:rPr>
        <w:t xml:space="preserve">величение на разходите за персонал </w:t>
      </w:r>
      <w:r w:rsidR="00133C7B" w:rsidRPr="00E66874">
        <w:rPr>
          <w:rFonts w:eastAsia="Times New Roman" w:cs="Times New Roman"/>
          <w:bCs/>
          <w:lang w:bidi="bg-BG"/>
        </w:rPr>
        <w:t xml:space="preserve">в бюджетната сфера </w:t>
      </w:r>
      <w:r w:rsidR="000A6DCB" w:rsidRPr="00E66874">
        <w:rPr>
          <w:rFonts w:eastAsia="Times New Roman" w:cs="Times New Roman"/>
          <w:bCs/>
          <w:lang w:bidi="bg-BG"/>
        </w:rPr>
        <w:t>за 2026 г.</w:t>
      </w:r>
      <w:r w:rsidRPr="00E66874">
        <w:rPr>
          <w:rFonts w:eastAsia="Times New Roman" w:cs="Times New Roman"/>
          <w:bCs/>
          <w:lang w:bidi="bg-BG"/>
        </w:rPr>
        <w:t xml:space="preserve"> </w:t>
      </w:r>
      <w:r w:rsidR="00696BBB" w:rsidRPr="00E66874">
        <w:rPr>
          <w:rFonts w:eastAsia="Times New Roman" w:cs="Times New Roman"/>
          <w:bCs/>
          <w:lang w:bidi="bg-BG"/>
        </w:rPr>
        <w:t xml:space="preserve">с </w:t>
      </w:r>
      <w:r w:rsidR="005518F3" w:rsidRPr="00E66874">
        <w:rPr>
          <w:rFonts w:eastAsia="Times New Roman" w:cs="Times New Roman"/>
          <w:bCs/>
          <w:lang w:bidi="bg-BG"/>
        </w:rPr>
        <w:t>10</w:t>
      </w:r>
      <w:r w:rsidR="00696BBB" w:rsidRPr="00E66874">
        <w:rPr>
          <w:rFonts w:eastAsia="Times New Roman" w:cs="Times New Roman"/>
          <w:bCs/>
          <w:lang w:bidi="bg-BG"/>
        </w:rPr>
        <w:t>%</w:t>
      </w:r>
      <w:r>
        <w:rPr>
          <w:rFonts w:eastAsia="Times New Roman" w:cs="Times New Roman"/>
          <w:bCs/>
          <w:lang w:bidi="bg-BG"/>
        </w:rPr>
        <w:t xml:space="preserve"> и отпадане на</w:t>
      </w:r>
      <w:r w:rsidR="00797289" w:rsidRPr="00E66874">
        <w:rPr>
          <w:rFonts w:eastAsia="Times New Roman" w:cs="Times New Roman"/>
          <w:bCs/>
          <w:lang w:bidi="bg-BG"/>
        </w:rPr>
        <w:t xml:space="preserve"> автоматичните механизми за определяне на размер</w:t>
      </w:r>
      <w:r w:rsidR="0028069F" w:rsidRPr="00E66874">
        <w:rPr>
          <w:rFonts w:eastAsia="Times New Roman" w:cs="Times New Roman"/>
          <w:bCs/>
          <w:lang w:bidi="bg-BG"/>
        </w:rPr>
        <w:t>а</w:t>
      </w:r>
      <w:r w:rsidR="00797289" w:rsidRPr="00E66874">
        <w:rPr>
          <w:rFonts w:eastAsia="Times New Roman" w:cs="Times New Roman"/>
          <w:bCs/>
          <w:lang w:bidi="bg-BG"/>
        </w:rPr>
        <w:t xml:space="preserve"> на възнаграждения</w:t>
      </w:r>
      <w:r w:rsidR="0028069F" w:rsidRPr="00E66874">
        <w:rPr>
          <w:rFonts w:eastAsia="Times New Roman" w:cs="Times New Roman"/>
          <w:bCs/>
          <w:lang w:bidi="bg-BG"/>
        </w:rPr>
        <w:t>та</w:t>
      </w:r>
      <w:r w:rsidR="00797289" w:rsidRPr="00E66874">
        <w:rPr>
          <w:rFonts w:eastAsia="Times New Roman" w:cs="Times New Roman"/>
          <w:bCs/>
          <w:lang w:bidi="bg-BG"/>
        </w:rPr>
        <w:t xml:space="preserve"> в определени сектори, обвързани със средната работна заплата;</w:t>
      </w:r>
    </w:p>
    <w:p w14:paraId="2C3BE306" w14:textId="77777777" w:rsidR="0097226C" w:rsidRPr="0097226C" w:rsidRDefault="00E66874" w:rsidP="0097226C">
      <w:pPr>
        <w:pStyle w:val="ListParagraph"/>
        <w:numPr>
          <w:ilvl w:val="0"/>
          <w:numId w:val="31"/>
        </w:numPr>
        <w:rPr>
          <w:rFonts w:eastAsia="Times New Roman" w:cs="Times New Roman"/>
          <w:bCs/>
          <w:lang w:bidi="bg-BG"/>
        </w:rPr>
      </w:pPr>
      <w:r>
        <w:rPr>
          <w:rFonts w:eastAsia="Times New Roman" w:cs="Times New Roman"/>
          <w:bCs/>
          <w:lang w:bidi="bg-BG"/>
        </w:rPr>
        <w:t>Запазване на политиката по доходите</w:t>
      </w:r>
      <w:r w:rsidR="00CC7BB6">
        <w:rPr>
          <w:rFonts w:eastAsia="Times New Roman" w:cs="Times New Roman"/>
          <w:bCs/>
          <w:lang w:bidi="bg-BG"/>
        </w:rPr>
        <w:t xml:space="preserve"> </w:t>
      </w:r>
      <w:r>
        <w:rPr>
          <w:rFonts w:eastAsia="Times New Roman" w:cs="Times New Roman"/>
          <w:bCs/>
          <w:lang w:bidi="bg-BG"/>
        </w:rPr>
        <w:t>за</w:t>
      </w:r>
      <w:r w:rsidR="0097226C" w:rsidRPr="0097226C">
        <w:rPr>
          <w:rFonts w:eastAsia="Times New Roman" w:cs="Times New Roman"/>
          <w:bCs/>
          <w:lang w:bidi="bg-BG"/>
        </w:rPr>
        <w:t xml:space="preserve"> педагогическите специалисти в системата на предучилищното и училищното образование;</w:t>
      </w:r>
    </w:p>
    <w:p w14:paraId="108116E1" w14:textId="77777777" w:rsidR="00797289" w:rsidRPr="00797289" w:rsidRDefault="00797289" w:rsidP="00797289">
      <w:pPr>
        <w:pStyle w:val="ListParagraph"/>
        <w:numPr>
          <w:ilvl w:val="0"/>
          <w:numId w:val="31"/>
        </w:numPr>
        <w:rPr>
          <w:rFonts w:eastAsia="Times New Roman" w:cs="Times New Roman"/>
          <w:bCs/>
          <w:lang w:bidi="bg-BG"/>
        </w:rPr>
      </w:pPr>
      <w:r w:rsidRPr="00797289">
        <w:rPr>
          <w:rFonts w:eastAsia="Times New Roman" w:cs="Times New Roman"/>
          <w:bCs/>
          <w:lang w:bidi="bg-BG"/>
        </w:rPr>
        <w:t xml:space="preserve">Стартиране на Програма за подкрепа на лекарите специализанти с </w:t>
      </w:r>
      <w:r w:rsidR="00355DFA">
        <w:rPr>
          <w:rFonts w:eastAsia="Times New Roman" w:cs="Times New Roman"/>
          <w:bCs/>
          <w:lang w:bidi="bg-BG"/>
        </w:rPr>
        <w:t>осигурени средства</w:t>
      </w:r>
      <w:r w:rsidR="002729E6">
        <w:rPr>
          <w:rFonts w:eastAsia="Times New Roman" w:cs="Times New Roman"/>
          <w:bCs/>
          <w:lang w:bidi="bg-BG"/>
        </w:rPr>
        <w:t xml:space="preserve"> </w:t>
      </w:r>
      <w:r w:rsidR="00E66874">
        <w:rPr>
          <w:rFonts w:eastAsia="Times New Roman" w:cs="Times New Roman"/>
          <w:bCs/>
          <w:lang w:bidi="bg-BG"/>
        </w:rPr>
        <w:t>в размер на</w:t>
      </w:r>
      <w:r w:rsidRPr="00797289">
        <w:rPr>
          <w:rFonts w:eastAsia="Times New Roman" w:cs="Times New Roman"/>
          <w:bCs/>
          <w:lang w:bidi="bg-BG"/>
        </w:rPr>
        <w:t xml:space="preserve"> 30</w:t>
      </w:r>
      <w:r>
        <w:rPr>
          <w:rFonts w:eastAsia="Times New Roman" w:cs="Times New Roman"/>
          <w:bCs/>
          <w:lang w:bidi="bg-BG"/>
        </w:rPr>
        <w:t>,0</w:t>
      </w:r>
      <w:r w:rsidRPr="00797289">
        <w:rPr>
          <w:rFonts w:eastAsia="Times New Roman" w:cs="Times New Roman"/>
          <w:bCs/>
          <w:lang w:bidi="bg-BG"/>
        </w:rPr>
        <w:t xml:space="preserve"> млн. евро за 2026 г.;</w:t>
      </w:r>
    </w:p>
    <w:p w14:paraId="435763F8" w14:textId="77777777" w:rsidR="009B3639" w:rsidRDefault="00880A36" w:rsidP="003C380E">
      <w:pPr>
        <w:numPr>
          <w:ilvl w:val="0"/>
          <w:numId w:val="31"/>
        </w:numPr>
        <w:rPr>
          <w:rFonts w:eastAsia="Times New Roman" w:cs="Times New Roman"/>
          <w:bCs/>
          <w:lang w:bidi="bg-BG"/>
        </w:rPr>
      </w:pPr>
      <w:r w:rsidRPr="00222474">
        <w:rPr>
          <w:rFonts w:eastAsia="Times New Roman" w:cs="Times New Roman"/>
          <w:bCs/>
          <w:lang w:bidi="bg-BG"/>
        </w:rPr>
        <w:t>Увеличени</w:t>
      </w:r>
      <w:r w:rsidR="009B3639" w:rsidRPr="009B3639">
        <w:rPr>
          <w:rFonts w:eastAsia="Times New Roman" w:cs="Times New Roman"/>
          <w:bCs/>
          <w:lang w:bidi="bg-BG"/>
        </w:rPr>
        <w:t xml:space="preserve"> са средствата </w:t>
      </w:r>
      <w:r>
        <w:rPr>
          <w:rFonts w:eastAsia="Times New Roman" w:cs="Times New Roman"/>
          <w:bCs/>
          <w:lang w:bidi="bg-BG"/>
        </w:rPr>
        <w:t>по бюджети</w:t>
      </w:r>
      <w:r w:rsidR="00EF288C">
        <w:rPr>
          <w:rFonts w:eastAsia="Times New Roman" w:cs="Times New Roman"/>
          <w:bCs/>
          <w:lang w:bidi="bg-BG"/>
        </w:rPr>
        <w:t>т</w:t>
      </w:r>
      <w:r>
        <w:rPr>
          <w:rFonts w:eastAsia="Times New Roman" w:cs="Times New Roman"/>
          <w:bCs/>
          <w:lang w:bidi="bg-BG"/>
        </w:rPr>
        <w:t>е на общините в резултат на</w:t>
      </w:r>
      <w:r w:rsidR="009B3639" w:rsidRPr="009B3639">
        <w:rPr>
          <w:rFonts w:eastAsia="Times New Roman" w:cs="Times New Roman"/>
          <w:bCs/>
          <w:lang w:bidi="bg-BG"/>
        </w:rPr>
        <w:t xml:space="preserve"> променените натурални показатели в сферата на делегираните от държавата дейности в областта на културата, социалните услуги, здравеопазване и др.</w:t>
      </w:r>
    </w:p>
    <w:p w14:paraId="0AA2FDB5" w14:textId="77777777" w:rsidR="00797289" w:rsidRPr="00547F0E" w:rsidRDefault="00797289" w:rsidP="00797289">
      <w:pPr>
        <w:rPr>
          <w:rFonts w:eastAsia="Times New Roman" w:cs="Times New Roman"/>
          <w:bCs/>
          <w:lang w:bidi="bg-BG"/>
        </w:rPr>
      </w:pPr>
      <w:r w:rsidRPr="00547F0E">
        <w:rPr>
          <w:rFonts w:eastAsia="Times New Roman" w:cs="Times New Roman"/>
          <w:bCs/>
          <w:lang w:bidi="bg-BG"/>
        </w:rPr>
        <w:t>Политики и мерки</w:t>
      </w:r>
      <w:r>
        <w:rPr>
          <w:rFonts w:eastAsia="Times New Roman" w:cs="Times New Roman"/>
          <w:bCs/>
          <w:lang w:bidi="bg-BG"/>
        </w:rPr>
        <w:t xml:space="preserve"> за</w:t>
      </w:r>
      <w:r w:rsidRPr="00547F0E">
        <w:rPr>
          <w:rFonts w:eastAsia="Times New Roman" w:cs="Times New Roman"/>
          <w:bCs/>
          <w:lang w:bidi="bg-BG"/>
        </w:rPr>
        <w:t xml:space="preserve"> </w:t>
      </w:r>
      <w:r>
        <w:rPr>
          <w:rFonts w:eastAsia="Times New Roman" w:cs="Times New Roman"/>
          <w:bCs/>
          <w:lang w:bidi="bg-BG"/>
        </w:rPr>
        <w:t xml:space="preserve">оптимизация </w:t>
      </w:r>
      <w:r w:rsidRPr="00547F0E">
        <w:rPr>
          <w:rFonts w:eastAsia="Times New Roman" w:cs="Times New Roman"/>
          <w:bCs/>
          <w:lang w:bidi="bg-BG"/>
        </w:rPr>
        <w:t>на разходите</w:t>
      </w:r>
      <w:r w:rsidR="00355DFA">
        <w:rPr>
          <w:rFonts w:eastAsia="Times New Roman" w:cs="Times New Roman"/>
          <w:bCs/>
          <w:lang w:bidi="bg-BG"/>
        </w:rPr>
        <w:t>:</w:t>
      </w:r>
    </w:p>
    <w:p w14:paraId="29EBCFB6" w14:textId="77777777" w:rsidR="00D21F54" w:rsidRDefault="00D21F54" w:rsidP="00D21F54">
      <w:pPr>
        <w:numPr>
          <w:ilvl w:val="0"/>
          <w:numId w:val="31"/>
        </w:numPr>
        <w:rPr>
          <w:rFonts w:eastAsia="Times New Roman" w:cs="Times New Roman"/>
          <w:bCs/>
          <w:lang w:bidi="bg-BG"/>
        </w:rPr>
      </w:pPr>
      <w:r>
        <w:rPr>
          <w:rFonts w:eastAsia="Times New Roman" w:cs="Times New Roman"/>
          <w:bCs/>
          <w:lang w:bidi="bg-BG"/>
        </w:rPr>
        <w:t>За периода 2026-</w:t>
      </w:r>
      <w:r w:rsidRPr="00D21F54">
        <w:rPr>
          <w:rFonts w:eastAsia="Times New Roman" w:cs="Times New Roman"/>
          <w:bCs/>
          <w:lang w:bidi="bg-BG"/>
        </w:rPr>
        <w:t>2028 г. Министерският съвет и кметовете на общини след преглед и оценка извършват оптимизиране на общата численост на персонала на администрацията на и</w:t>
      </w:r>
      <w:r w:rsidR="00697B52">
        <w:rPr>
          <w:rFonts w:eastAsia="Times New Roman" w:cs="Times New Roman"/>
          <w:bCs/>
          <w:lang w:bidi="bg-BG"/>
        </w:rPr>
        <w:t>зпълнителната власт по чл. 36-</w:t>
      </w:r>
      <w:r w:rsidRPr="00D21F54">
        <w:rPr>
          <w:rFonts w:eastAsia="Times New Roman" w:cs="Times New Roman"/>
          <w:bCs/>
          <w:lang w:bidi="bg-BG"/>
        </w:rPr>
        <w:t>38 от Закона за администрацията с цел  да се достигне намаление на общата численост с не по-малко от 5 500 щатни бройки, трайно незаети повече от шест месеца, разпределени пропорционално за периода</w:t>
      </w:r>
      <w:r>
        <w:rPr>
          <w:rFonts w:eastAsia="Times New Roman" w:cs="Times New Roman"/>
          <w:bCs/>
          <w:lang w:bidi="bg-BG"/>
        </w:rPr>
        <w:t>;</w:t>
      </w:r>
    </w:p>
    <w:p w14:paraId="568C537B" w14:textId="77777777" w:rsidR="00797289" w:rsidRPr="00697B52" w:rsidRDefault="00D21F54" w:rsidP="00697B52">
      <w:pPr>
        <w:numPr>
          <w:ilvl w:val="0"/>
          <w:numId w:val="31"/>
        </w:numPr>
        <w:rPr>
          <w:rFonts w:eastAsia="Times New Roman" w:cs="Times New Roman"/>
          <w:bCs/>
          <w:lang w:bidi="bg-BG"/>
        </w:rPr>
      </w:pPr>
      <w:r w:rsidRPr="00D21F54">
        <w:rPr>
          <w:rFonts w:eastAsia="Times New Roman" w:cs="Times New Roman"/>
          <w:bCs/>
          <w:lang w:bidi="bg-BG"/>
        </w:rPr>
        <w:t>През 2026 г. размерите на индивидуалните основни месечни заплати на централните и териториални органи на изпълнителната власт, както и на посочени в чл. 19, ал. 4 от Закона за администрацията еднолични органи и техните заместници се определят в размер на последната индивидуална основна месечна заплата, определена към 31 декември 2025 г., освен ако в закон е предвидено друго. Промените на индивидуалните заплати на тези органи след 31 декември 2026 г. се определят в рамките на разходите за персонал и съобразно процентното увеличение на заплатите на служителите в публичния сектор.</w:t>
      </w:r>
    </w:p>
    <w:p w14:paraId="606B71C5" w14:textId="77777777" w:rsidR="0079745A" w:rsidRPr="006D707C" w:rsidRDefault="0079745A" w:rsidP="003C380E">
      <w:pPr>
        <w:rPr>
          <w:rFonts w:eastAsia="Times New Roman" w:cs="Times New Roman"/>
          <w:szCs w:val="24"/>
        </w:rPr>
      </w:pPr>
      <w:r w:rsidRPr="006D707C">
        <w:rPr>
          <w:rFonts w:eastAsia="Calibri" w:cs="Times New Roman"/>
          <w:bCs/>
          <w:szCs w:val="24"/>
        </w:rPr>
        <w:t>Инвестиционна политика</w:t>
      </w:r>
      <w:r w:rsidRPr="006D707C">
        <w:rPr>
          <w:rFonts w:ascii="Verdana" w:hAnsi="Verdana"/>
          <w:sz w:val="21"/>
          <w:szCs w:val="21"/>
          <w:shd w:val="clear" w:color="auto" w:fill="FFFFFF"/>
        </w:rPr>
        <w:t xml:space="preserve"> </w:t>
      </w:r>
    </w:p>
    <w:p w14:paraId="14F8757A" w14:textId="77777777" w:rsidR="00797289" w:rsidRPr="00797289" w:rsidRDefault="00797289" w:rsidP="00797289">
      <w:pPr>
        <w:rPr>
          <w:rFonts w:asciiTheme="majorHAnsi" w:hAnsiTheme="majorHAnsi" w:cstheme="majorHAnsi"/>
          <w:szCs w:val="24"/>
          <w:shd w:val="clear" w:color="auto" w:fill="FFFFFF"/>
        </w:rPr>
      </w:pPr>
      <w:r w:rsidRPr="00797289">
        <w:rPr>
          <w:rFonts w:asciiTheme="majorHAnsi" w:hAnsiTheme="majorHAnsi" w:cstheme="majorHAnsi"/>
          <w:szCs w:val="24"/>
          <w:shd w:val="clear" w:color="auto" w:fill="FFFFFF"/>
        </w:rPr>
        <w:t>Средствата за капиталови разходи през 2026 г. възлизат на 7,0</w:t>
      </w:r>
      <w:r w:rsidR="00D21F54">
        <w:rPr>
          <w:rFonts w:asciiTheme="majorHAnsi" w:hAnsiTheme="majorHAnsi" w:cstheme="majorHAnsi"/>
          <w:szCs w:val="24"/>
          <w:shd w:val="clear" w:color="auto" w:fill="FFFFFF"/>
        </w:rPr>
        <w:t>20</w:t>
      </w:r>
      <w:r w:rsidRPr="00797289">
        <w:rPr>
          <w:rFonts w:asciiTheme="majorHAnsi" w:hAnsiTheme="majorHAnsi" w:cstheme="majorHAnsi"/>
          <w:szCs w:val="24"/>
          <w:shd w:val="clear" w:color="auto" w:fill="FFFFFF"/>
        </w:rPr>
        <w:t xml:space="preserve"> млрд. евро, като в т.ч. са тези с национално финансиране от 3,165 млрд. евро и с европейско финансиране от 3,855 млрд. евро (в т.ч. НПВУ).</w:t>
      </w:r>
    </w:p>
    <w:p w14:paraId="1ABF73CF" w14:textId="77777777" w:rsidR="00353DB5" w:rsidRPr="00353DB5" w:rsidRDefault="00353DB5" w:rsidP="003C380E">
      <w:pPr>
        <w:rPr>
          <w:rFonts w:asciiTheme="majorHAnsi" w:hAnsiTheme="majorHAnsi" w:cstheme="majorHAnsi"/>
          <w:szCs w:val="24"/>
          <w:shd w:val="clear" w:color="auto" w:fill="FFFFFF"/>
        </w:rPr>
      </w:pPr>
      <w:r w:rsidRPr="00353DB5">
        <w:rPr>
          <w:rFonts w:asciiTheme="majorHAnsi" w:hAnsiTheme="majorHAnsi" w:cstheme="majorHAnsi"/>
          <w:szCs w:val="24"/>
          <w:shd w:val="clear" w:color="auto" w:fill="FFFFFF"/>
        </w:rPr>
        <w:t xml:space="preserve">В </w:t>
      </w:r>
      <w:r w:rsidR="004F7042">
        <w:rPr>
          <w:rFonts w:asciiTheme="majorHAnsi" w:hAnsiTheme="majorHAnsi" w:cstheme="majorHAnsi"/>
          <w:szCs w:val="24"/>
          <w:shd w:val="clear" w:color="auto" w:fill="FFFFFF"/>
        </w:rPr>
        <w:t xml:space="preserve">съответствие с наличния </w:t>
      </w:r>
      <w:r w:rsidRPr="00353DB5">
        <w:rPr>
          <w:rFonts w:asciiTheme="majorHAnsi" w:hAnsiTheme="majorHAnsi" w:cstheme="majorHAnsi"/>
          <w:szCs w:val="24"/>
          <w:shd w:val="clear" w:color="auto" w:fill="FFFFFF"/>
        </w:rPr>
        <w:t xml:space="preserve">бюджетен ресурс и извършената от ПРБ приоритизация са обособени основните стратегически инвестиционни проекти, които са включени в „Програма за приоритетни стратегически инвестиционни проекти с национално финансиране за периода 2026-2028 г.“ – приложение към проекта на Закон за държавния бюджет на Република България (ЗДБРБ) за 2026 г., като срокът на програмата е съобразен с Националния средносрочен фискално-структурен план на Република България за периода 2025-2028 г. </w:t>
      </w:r>
      <w:r w:rsidR="006A3560" w:rsidRPr="006A3560">
        <w:rPr>
          <w:rFonts w:asciiTheme="majorHAnsi" w:hAnsiTheme="majorHAnsi" w:cstheme="majorHAnsi"/>
          <w:szCs w:val="24"/>
          <w:shd w:val="clear" w:color="auto" w:fill="FFFFFF"/>
        </w:rPr>
        <w:t>Средствата за капиталови разходи през 2026 г. за финансово обезпечаване на приоритетните стратегически инвестиционни проекти с национално финансиране са в рамките на утвърдените капиталови разходи по бюджетите на първостепенните разпоредители с бюджет за 2026 г</w:t>
      </w:r>
      <w:r w:rsidR="006A3560">
        <w:rPr>
          <w:rFonts w:asciiTheme="majorHAnsi" w:hAnsiTheme="majorHAnsi" w:cstheme="majorHAnsi"/>
          <w:szCs w:val="24"/>
          <w:shd w:val="clear" w:color="auto" w:fill="FFFFFF"/>
        </w:rPr>
        <w:t>.</w:t>
      </w:r>
    </w:p>
    <w:p w14:paraId="3DCA7F4D" w14:textId="77777777" w:rsidR="009B3639" w:rsidRPr="009B3639" w:rsidRDefault="009B3639" w:rsidP="003C380E">
      <w:pPr>
        <w:rPr>
          <w:rFonts w:asciiTheme="majorHAnsi" w:hAnsiTheme="majorHAnsi" w:cstheme="majorHAnsi"/>
          <w:szCs w:val="24"/>
          <w:shd w:val="clear" w:color="auto" w:fill="FFFFFF"/>
        </w:rPr>
      </w:pPr>
      <w:r w:rsidRPr="009B3639">
        <w:rPr>
          <w:rFonts w:asciiTheme="majorHAnsi" w:hAnsiTheme="majorHAnsi" w:cstheme="majorHAnsi"/>
          <w:szCs w:val="24"/>
          <w:shd w:val="clear" w:color="auto" w:fill="FFFFFF"/>
        </w:rPr>
        <w:lastRenderedPageBreak/>
        <w:t xml:space="preserve">Предвижда се продължаване на Инвестиционната програма за общински проекти, като общата максимална стойност на </w:t>
      </w:r>
      <w:r w:rsidR="004F7042">
        <w:rPr>
          <w:rFonts w:asciiTheme="majorHAnsi" w:hAnsiTheme="majorHAnsi" w:cstheme="majorHAnsi"/>
          <w:szCs w:val="24"/>
          <w:shd w:val="clear" w:color="auto" w:fill="FFFFFF"/>
        </w:rPr>
        <w:t>предвидените средства през</w:t>
      </w:r>
      <w:r>
        <w:rPr>
          <w:rFonts w:asciiTheme="majorHAnsi" w:hAnsiTheme="majorHAnsi" w:cstheme="majorHAnsi"/>
          <w:szCs w:val="24"/>
          <w:shd w:val="clear" w:color="auto" w:fill="FFFFFF"/>
        </w:rPr>
        <w:t xml:space="preserve"> </w:t>
      </w:r>
      <w:r w:rsidRPr="009B3639">
        <w:rPr>
          <w:rFonts w:asciiTheme="majorHAnsi" w:hAnsiTheme="majorHAnsi" w:cstheme="majorHAnsi"/>
          <w:szCs w:val="24"/>
          <w:shd w:val="clear" w:color="auto" w:fill="FFFFFF"/>
        </w:rPr>
        <w:t xml:space="preserve">2026 г. по сключени споразумения за проекти </w:t>
      </w:r>
      <w:r w:rsidRPr="00962A2C">
        <w:rPr>
          <w:rFonts w:asciiTheme="majorHAnsi" w:hAnsiTheme="majorHAnsi" w:cstheme="majorHAnsi"/>
          <w:szCs w:val="24"/>
          <w:shd w:val="clear" w:color="auto" w:fill="FFFFFF"/>
        </w:rPr>
        <w:t>по приложение № 3</w:t>
      </w:r>
      <w:r w:rsidR="004F7042">
        <w:rPr>
          <w:rFonts w:asciiTheme="majorHAnsi" w:hAnsiTheme="majorHAnsi" w:cstheme="majorHAnsi"/>
          <w:szCs w:val="24"/>
          <w:shd w:val="clear" w:color="auto" w:fill="FFFFFF"/>
        </w:rPr>
        <w:t xml:space="preserve"> към законопроекта за държавния бюджет за 2026 г.</w:t>
      </w:r>
      <w:r w:rsidRPr="00962A2C">
        <w:rPr>
          <w:rFonts w:asciiTheme="majorHAnsi" w:hAnsiTheme="majorHAnsi" w:cstheme="majorHAnsi"/>
          <w:szCs w:val="24"/>
          <w:shd w:val="clear" w:color="auto" w:fill="FFFFFF"/>
        </w:rPr>
        <w:t>, включително за проекти, които се възлагат и изпълняват от кметовете на райони в градовете с районно</w:t>
      </w:r>
      <w:r w:rsidRPr="009B3639">
        <w:rPr>
          <w:rFonts w:asciiTheme="majorHAnsi" w:hAnsiTheme="majorHAnsi" w:cstheme="majorHAnsi"/>
          <w:szCs w:val="24"/>
          <w:shd w:val="clear" w:color="auto" w:fill="FFFFFF"/>
        </w:rPr>
        <w:t xml:space="preserve"> деление, е в размер до </w:t>
      </w:r>
      <w:r w:rsidRPr="00801255">
        <w:rPr>
          <w:rFonts w:asciiTheme="majorHAnsi" w:hAnsiTheme="majorHAnsi" w:cstheme="majorHAnsi"/>
          <w:szCs w:val="24"/>
          <w:shd w:val="clear" w:color="auto" w:fill="FFFFFF"/>
        </w:rPr>
        <w:t>920,3</w:t>
      </w:r>
      <w:r w:rsidRPr="009B3639">
        <w:rPr>
          <w:rFonts w:asciiTheme="majorHAnsi" w:hAnsiTheme="majorHAnsi" w:cstheme="majorHAnsi"/>
          <w:szCs w:val="24"/>
          <w:shd w:val="clear" w:color="auto" w:fill="FFFFFF"/>
        </w:rPr>
        <w:t xml:space="preserve"> млн. евро</w:t>
      </w:r>
      <w:r w:rsidR="004F7042">
        <w:rPr>
          <w:rFonts w:asciiTheme="majorHAnsi" w:hAnsiTheme="majorHAnsi" w:cstheme="majorHAnsi"/>
          <w:szCs w:val="24"/>
          <w:shd w:val="clear" w:color="auto" w:fill="FFFFFF"/>
        </w:rPr>
        <w:t>. Р</w:t>
      </w:r>
      <w:r w:rsidRPr="009B3639">
        <w:rPr>
          <w:rFonts w:asciiTheme="majorHAnsi" w:hAnsiTheme="majorHAnsi" w:cstheme="majorHAnsi"/>
          <w:szCs w:val="24"/>
          <w:shd w:val="clear" w:color="auto" w:fill="FFFFFF"/>
        </w:rPr>
        <w:t>азплащане</w:t>
      </w:r>
      <w:r w:rsidR="004F7042">
        <w:rPr>
          <w:rFonts w:asciiTheme="majorHAnsi" w:hAnsiTheme="majorHAnsi" w:cstheme="majorHAnsi"/>
          <w:szCs w:val="24"/>
          <w:shd w:val="clear" w:color="auto" w:fill="FFFFFF"/>
        </w:rPr>
        <w:t>то ще се извършва от</w:t>
      </w:r>
      <w:r w:rsidRPr="009B3639">
        <w:rPr>
          <w:rFonts w:asciiTheme="majorHAnsi" w:hAnsiTheme="majorHAnsi" w:cstheme="majorHAnsi"/>
          <w:szCs w:val="24"/>
          <w:shd w:val="clear" w:color="auto" w:fill="FFFFFF"/>
        </w:rPr>
        <w:t xml:space="preserve"> Българската банка за развитие при условия и по ред, определени с акт на Министерския съвет. Това ще осигури </w:t>
      </w:r>
      <w:r w:rsidR="00AC2E85">
        <w:rPr>
          <w:rFonts w:asciiTheme="majorHAnsi" w:hAnsiTheme="majorHAnsi" w:cstheme="majorHAnsi"/>
          <w:szCs w:val="24"/>
          <w:shd w:val="clear" w:color="auto" w:fill="FFFFFF"/>
        </w:rPr>
        <w:t>възможност за</w:t>
      </w:r>
      <w:r w:rsidRPr="009B3639">
        <w:rPr>
          <w:rFonts w:asciiTheme="majorHAnsi" w:hAnsiTheme="majorHAnsi" w:cstheme="majorHAnsi"/>
          <w:szCs w:val="24"/>
          <w:shd w:val="clear" w:color="auto" w:fill="FFFFFF"/>
        </w:rPr>
        <w:t xml:space="preserve"> изпълнение на стартирали</w:t>
      </w:r>
      <w:r w:rsidR="00AC2E85">
        <w:rPr>
          <w:rFonts w:asciiTheme="majorHAnsi" w:hAnsiTheme="majorHAnsi" w:cstheme="majorHAnsi"/>
          <w:szCs w:val="24"/>
          <w:shd w:val="clear" w:color="auto" w:fill="FFFFFF"/>
        </w:rPr>
        <w:t>те</w:t>
      </w:r>
      <w:r w:rsidRPr="009B3639">
        <w:rPr>
          <w:rFonts w:asciiTheme="majorHAnsi" w:hAnsiTheme="majorHAnsi" w:cstheme="majorHAnsi"/>
          <w:szCs w:val="24"/>
          <w:shd w:val="clear" w:color="auto" w:fill="FFFFFF"/>
        </w:rPr>
        <w:t xml:space="preserve"> проекти</w:t>
      </w:r>
      <w:r w:rsidR="00425CFA">
        <w:rPr>
          <w:rFonts w:asciiTheme="majorHAnsi" w:hAnsiTheme="majorHAnsi" w:cstheme="majorHAnsi"/>
          <w:szCs w:val="24"/>
          <w:shd w:val="clear" w:color="auto" w:fill="FFFFFF"/>
        </w:rPr>
        <w:t xml:space="preserve">, </w:t>
      </w:r>
      <w:r w:rsidRPr="009B3639">
        <w:rPr>
          <w:rFonts w:asciiTheme="majorHAnsi" w:hAnsiTheme="majorHAnsi" w:cstheme="majorHAnsi"/>
          <w:szCs w:val="24"/>
          <w:shd w:val="clear" w:color="auto" w:fill="FFFFFF"/>
        </w:rPr>
        <w:t>ще позволи да се постигнат заложените цели за подобряване на инфраструктурата в общините и икономическото им развитие</w:t>
      </w:r>
      <w:r w:rsidR="00425CFA">
        <w:rPr>
          <w:rFonts w:asciiTheme="majorHAnsi" w:hAnsiTheme="majorHAnsi" w:cstheme="majorHAnsi"/>
          <w:szCs w:val="24"/>
          <w:shd w:val="clear" w:color="auto" w:fill="FFFFFF"/>
        </w:rPr>
        <w:t>, както и ще даде възможност за подобряване на питейно-битовото водоснабдяване на населението</w:t>
      </w:r>
      <w:r w:rsidRPr="009B3639">
        <w:rPr>
          <w:rFonts w:asciiTheme="majorHAnsi" w:hAnsiTheme="majorHAnsi" w:cstheme="majorHAnsi"/>
          <w:szCs w:val="24"/>
          <w:shd w:val="clear" w:color="auto" w:fill="FFFFFF"/>
        </w:rPr>
        <w:t>.</w:t>
      </w:r>
    </w:p>
    <w:p w14:paraId="1C82822B" w14:textId="77777777" w:rsidR="00821E98" w:rsidRDefault="00821E98" w:rsidP="000751F9">
      <w:pPr>
        <w:rPr>
          <w:rFonts w:asciiTheme="majorHAnsi" w:hAnsiTheme="majorHAnsi" w:cstheme="majorHAnsi"/>
          <w:szCs w:val="24"/>
          <w:highlight w:val="yellow"/>
          <w:shd w:val="clear" w:color="auto" w:fill="FFFFFF"/>
        </w:rPr>
        <w:sectPr w:rsidR="00821E98" w:rsidSect="002D7CED">
          <w:headerReference w:type="first" r:id="rId15"/>
          <w:pgSz w:w="11906" w:h="16838" w:code="9"/>
          <w:pgMar w:top="1418" w:right="1418" w:bottom="851" w:left="1418" w:header="708" w:footer="708" w:gutter="0"/>
          <w:cols w:space="708"/>
          <w:titlePg/>
          <w:docGrid w:linePitch="360"/>
        </w:sectPr>
      </w:pPr>
    </w:p>
    <w:bookmarkStart w:id="28" w:name="_Toc464224767"/>
    <w:bookmarkStart w:id="29" w:name="_Toc464225408"/>
    <w:bookmarkStart w:id="30" w:name="OLE_LINK24"/>
    <w:bookmarkStart w:id="31" w:name="OLE_LINK25"/>
    <w:bookmarkStart w:id="32" w:name="_Toc464458954"/>
    <w:bookmarkStart w:id="33" w:name="_Toc464459700"/>
    <w:bookmarkStart w:id="34" w:name="_Toc464460655"/>
    <w:bookmarkStart w:id="35" w:name="_Toc464463054"/>
    <w:bookmarkStart w:id="36" w:name="_Toc464464881"/>
    <w:bookmarkStart w:id="37" w:name="_Toc464465387"/>
    <w:bookmarkStart w:id="38" w:name="_Toc464465575"/>
    <w:bookmarkStart w:id="39" w:name="_Toc464466400"/>
    <w:bookmarkStart w:id="40" w:name="_Toc464466644"/>
    <w:bookmarkStart w:id="41" w:name="_Toc464466722"/>
    <w:bookmarkStart w:id="42" w:name="_Toc464470171"/>
    <w:bookmarkStart w:id="43" w:name="_Toc464470215"/>
    <w:bookmarkStart w:id="44" w:name="_Toc464644946"/>
    <w:bookmarkStart w:id="45" w:name="_Toc464646347"/>
    <w:bookmarkStart w:id="46" w:name="_Toc216029342"/>
    <w:p w14:paraId="55C87340" w14:textId="77777777" w:rsidR="00083361" w:rsidRPr="00AA15E0" w:rsidRDefault="00710C44" w:rsidP="00840F02">
      <w:pPr>
        <w:pStyle w:val="Heading1"/>
        <w:rPr>
          <w:color w:val="auto"/>
        </w:rPr>
      </w:pPr>
      <w:r w:rsidRPr="008200BE">
        <w:rPr>
          <w:noProof/>
        </w:rPr>
        <w:lastRenderedPageBreak/>
        <mc:AlternateContent>
          <mc:Choice Requires="wps">
            <w:drawing>
              <wp:anchor distT="0" distB="0" distL="114300" distR="114300" simplePos="0" relativeHeight="251643392" behindDoc="0" locked="0" layoutInCell="1" allowOverlap="1" wp14:anchorId="5E6EB3BF" wp14:editId="57F27F40">
                <wp:simplePos x="0" y="0"/>
                <wp:positionH relativeFrom="column">
                  <wp:posOffset>-900430</wp:posOffset>
                </wp:positionH>
                <wp:positionV relativeFrom="paragraph">
                  <wp:posOffset>1403350</wp:posOffset>
                </wp:positionV>
                <wp:extent cx="7560310"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B176F" id="Straight Connector 20"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70.9pt,110.5pt" to="524.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" strokecolor="#b32c16 [3206]"/>
            </w:pict>
          </mc:Fallback>
        </mc:AlternateContent>
      </w:r>
      <w:r w:rsidRPr="008200BE">
        <w:rPr>
          <w:noProof/>
        </w:rPr>
        <mc:AlternateContent>
          <mc:Choice Requires="wps">
            <w:drawing>
              <wp:anchor distT="0" distB="0" distL="114300" distR="114300" simplePos="0" relativeHeight="251639296" behindDoc="1" locked="0" layoutInCell="1" allowOverlap="1" wp14:anchorId="0D08A46D" wp14:editId="1F98ABD6">
                <wp:simplePos x="0" y="0"/>
                <wp:positionH relativeFrom="column">
                  <wp:posOffset>-900430</wp:posOffset>
                </wp:positionH>
                <wp:positionV relativeFrom="paragraph">
                  <wp:posOffset>-900430</wp:posOffset>
                </wp:positionV>
                <wp:extent cx="7560860" cy="2304000"/>
                <wp:effectExtent l="0" t="0" r="2540" b="1270"/>
                <wp:wrapNone/>
                <wp:docPr id="19" name="Rectangle 19"/>
                <wp:cNvGraphicFramePr/>
                <a:graphic xmlns:a="http://schemas.openxmlformats.org/drawingml/2006/main">
                  <a:graphicData uri="http://schemas.microsoft.com/office/word/2010/wordprocessingShape">
                    <wps:wsp>
                      <wps:cNvSpPr/>
                      <wps:spPr>
                        <a:xfrm>
                          <a:off x="0" y="0"/>
                          <a:ext cx="756086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EF100" id="Rectangle 19" o:spid="_x0000_s1026" style="position:absolute;margin-left:-70.9pt;margin-top:-70.9pt;width:595.35pt;height:181.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" fillcolor="#f8cec7 [662]" stroked="f" strokeweight="1pt"/>
            </w:pict>
          </mc:Fallback>
        </mc:AlternateContent>
      </w:r>
      <w:r w:rsidR="008E39D6" w:rsidRPr="008200BE">
        <w:br/>
      </w:r>
      <w:bookmarkStart w:id="47" w:name="_Toc465205488"/>
      <w:r w:rsidR="00083361" w:rsidRPr="008200BE">
        <w:rPr>
          <w:color w:val="auto"/>
        </w:rPr>
        <w:t>Икономически перспективи за</w:t>
      </w:r>
      <w:r w:rsidR="00545946" w:rsidRPr="008200BE">
        <w:rPr>
          <w:color w:val="auto"/>
        </w:rPr>
        <w:t xml:space="preserve"> </w:t>
      </w:r>
      <w:r w:rsidR="00E605FB">
        <w:rPr>
          <w:color w:val="auto"/>
        </w:rPr>
        <w:t xml:space="preserve"> </w:t>
      </w:r>
      <w:r w:rsidR="007838B5">
        <w:rPr>
          <w:color w:val="auto"/>
        </w:rPr>
        <w:t>периода 2025</w:t>
      </w:r>
      <w:r w:rsidR="007C2FAB" w:rsidRPr="008200BE">
        <w:rPr>
          <w:color w:val="auto"/>
        </w:rPr>
        <w:t>-202</w:t>
      </w:r>
      <w:r w:rsidR="008200BE" w:rsidRPr="008200BE">
        <w:rPr>
          <w:color w:val="auto"/>
        </w:rPr>
        <w:t>8</w:t>
      </w:r>
      <w:r w:rsidR="00AA3035" w:rsidRPr="008200BE">
        <w:rPr>
          <w:color w:val="auto"/>
        </w:rPr>
        <w:t> г.</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5FA50F8" w14:textId="77777777" w:rsidR="004E5536" w:rsidRPr="008D70C9" w:rsidRDefault="00083361" w:rsidP="00857080">
      <w:pPr>
        <w:pStyle w:val="Heading2"/>
        <w:numPr>
          <w:ilvl w:val="1"/>
          <w:numId w:val="3"/>
        </w:numPr>
        <w:tabs>
          <w:tab w:val="clear" w:pos="426"/>
          <w:tab w:val="left" w:pos="450"/>
        </w:tabs>
        <w:ind w:hanging="270"/>
      </w:pPr>
      <w:bookmarkStart w:id="48" w:name="_Toc216029343"/>
      <w:bookmarkStart w:id="49" w:name="_Toc464225409"/>
      <w:bookmarkStart w:id="50" w:name="_Toc464458955"/>
      <w:bookmarkStart w:id="51" w:name="_Toc464459701"/>
      <w:bookmarkStart w:id="52" w:name="_Toc464460656"/>
      <w:bookmarkStart w:id="53" w:name="_Toc464463055"/>
      <w:bookmarkStart w:id="54" w:name="_Toc464464882"/>
      <w:bookmarkStart w:id="55" w:name="_Toc464465388"/>
      <w:bookmarkStart w:id="56" w:name="_Toc464465576"/>
      <w:bookmarkStart w:id="57" w:name="_Toc464466401"/>
      <w:bookmarkStart w:id="58" w:name="_Toc464466645"/>
      <w:bookmarkStart w:id="59" w:name="_Toc464644947"/>
      <w:bookmarkStart w:id="60" w:name="_Toc465205489"/>
      <w:r w:rsidRPr="008D70C9">
        <w:t>П</w:t>
      </w:r>
      <w:r w:rsidR="004E5536" w:rsidRPr="008D70C9">
        <w:t>реглед на развитието на световната и европейската икономика</w:t>
      </w:r>
      <w:bookmarkEnd w:id="48"/>
    </w:p>
    <w:bookmarkEnd w:id="49"/>
    <w:bookmarkEnd w:id="50"/>
    <w:bookmarkEnd w:id="51"/>
    <w:bookmarkEnd w:id="52"/>
    <w:bookmarkEnd w:id="53"/>
    <w:bookmarkEnd w:id="54"/>
    <w:bookmarkEnd w:id="55"/>
    <w:bookmarkEnd w:id="56"/>
    <w:bookmarkEnd w:id="57"/>
    <w:bookmarkEnd w:id="58"/>
    <w:bookmarkEnd w:id="59"/>
    <w:bookmarkEnd w:id="60"/>
    <w:p w14:paraId="6F00F117" w14:textId="77777777" w:rsidR="00FA3E88" w:rsidRDefault="00DF4E73" w:rsidP="00FA3E88">
      <w:pPr>
        <w:rPr>
          <w:rFonts w:eastAsiaTheme="minorHAnsi"/>
          <w:szCs w:val="24"/>
          <w:lang w:eastAsia="en-US"/>
        </w:rPr>
      </w:pPr>
      <w:r w:rsidRPr="00DF4E73">
        <w:rPr>
          <w:rFonts w:eastAsiaTheme="minorHAnsi"/>
          <w:szCs w:val="24"/>
          <w:lang w:eastAsia="en-US"/>
        </w:rPr>
        <w:t>От началото на 2025 г. стабилността и траекторията на растеж на световната икономика остава несигурна поради въведените от САЩ по-високи мита от февруари. Икономиките са изправени пред ситуация на приспособяване към променящата се регулаторна среда, с песимистични перспективи за растеж и необходимост от пренастройване на макроикономическите политики.</w:t>
      </w:r>
      <w:r w:rsidR="00FA3E88" w:rsidRPr="00FA3E88">
        <w:rPr>
          <w:rFonts w:eastAsiaTheme="minorHAnsi"/>
          <w:szCs w:val="24"/>
          <w:lang w:eastAsia="en-US"/>
        </w:rPr>
        <w:t xml:space="preserve"> Отчетната информация за развитието на световната икономика показва умерено забавяне през 2025 г., което може да се дължи на временни фактори</w:t>
      </w:r>
      <w:r w:rsidR="00F3635E">
        <w:rPr>
          <w:rFonts w:eastAsiaTheme="minorHAnsi"/>
          <w:szCs w:val="24"/>
          <w:lang w:eastAsia="en-US"/>
        </w:rPr>
        <w:t>,</w:t>
      </w:r>
      <w:r w:rsidR="00FA3E88" w:rsidRPr="00FA3E88">
        <w:rPr>
          <w:rFonts w:eastAsiaTheme="minorHAnsi"/>
          <w:szCs w:val="24"/>
          <w:lang w:eastAsia="en-US"/>
        </w:rPr>
        <w:t xml:space="preserve"> като например стратегии за управление на запасите с предварително осигуряване на необходимите стоки и суровини предвид очакваните промени в правилата.</w:t>
      </w:r>
    </w:p>
    <w:p w14:paraId="122DE5A3" w14:textId="77777777" w:rsidR="00857080" w:rsidRPr="00857080" w:rsidRDefault="00FA3E88" w:rsidP="00857080">
      <w:pPr>
        <w:rPr>
          <w:rFonts w:eastAsiaTheme="minorHAnsi"/>
          <w:szCs w:val="24"/>
          <w:lang w:eastAsia="en-US"/>
        </w:rPr>
      </w:pPr>
      <w:r w:rsidRPr="00FA3E88">
        <w:rPr>
          <w:rFonts w:eastAsiaTheme="minorHAnsi"/>
          <w:szCs w:val="24"/>
          <w:lang w:eastAsia="en-US"/>
        </w:rPr>
        <w:t>Външното търсене за държавите от еврозоната  се очертава да бъде значително по-ниско през тази година в сравнение с 2024 г., което ще се отрази негативно на износа на стоки и услуги. Реалният растеж на БВП на ЕС</w:t>
      </w:r>
      <w:r>
        <w:rPr>
          <w:rFonts w:eastAsiaTheme="minorHAnsi"/>
          <w:szCs w:val="24"/>
          <w:lang w:eastAsia="en-US"/>
        </w:rPr>
        <w:t>-</w:t>
      </w:r>
      <w:r w:rsidRPr="00FA3E88">
        <w:rPr>
          <w:rFonts w:eastAsiaTheme="minorHAnsi"/>
          <w:szCs w:val="24"/>
          <w:lang w:eastAsia="en-US"/>
        </w:rPr>
        <w:t xml:space="preserve">27 беше сравнително висок </w:t>
      </w:r>
      <w:r>
        <w:rPr>
          <w:rFonts w:eastAsiaTheme="minorHAnsi"/>
          <w:szCs w:val="24"/>
          <w:lang w:eastAsia="en-US"/>
        </w:rPr>
        <w:t>- 1,</w:t>
      </w:r>
      <w:r w:rsidRPr="00FA3E88">
        <w:rPr>
          <w:rFonts w:eastAsiaTheme="minorHAnsi"/>
          <w:szCs w:val="24"/>
          <w:lang w:eastAsia="en-US"/>
        </w:rPr>
        <w:t>7% през първото полугодие на 2025 г., което представлява ускорение спрямо растежа за първото полугодие на 2024 г., но перспективите до края на годината са към забавяне на този темп. През първото полугодие на 2025 г. германс</w:t>
      </w:r>
      <w:r>
        <w:rPr>
          <w:rFonts w:eastAsiaTheme="minorHAnsi"/>
          <w:szCs w:val="24"/>
          <w:lang w:eastAsia="en-US"/>
        </w:rPr>
        <w:t>ката икономика нарасна само с 0,</w:t>
      </w:r>
      <w:r w:rsidRPr="00FA3E88">
        <w:rPr>
          <w:rFonts w:eastAsiaTheme="minorHAnsi"/>
          <w:szCs w:val="24"/>
          <w:lang w:eastAsia="en-US"/>
        </w:rPr>
        <w:t>2%, но на фона н</w:t>
      </w:r>
      <w:r>
        <w:rPr>
          <w:rFonts w:eastAsiaTheme="minorHAnsi"/>
          <w:szCs w:val="24"/>
          <w:lang w:eastAsia="en-US"/>
        </w:rPr>
        <w:t>а спад от 0,</w:t>
      </w:r>
      <w:r w:rsidRPr="00FA3E88">
        <w:rPr>
          <w:rFonts w:eastAsiaTheme="minorHAnsi"/>
          <w:szCs w:val="24"/>
          <w:lang w:eastAsia="en-US"/>
        </w:rPr>
        <w:t>6% през първото полугодие на миналата година.</w:t>
      </w:r>
    </w:p>
    <w:p w14:paraId="05CF4F72" w14:textId="77777777" w:rsidR="004E5536" w:rsidRDefault="00083361" w:rsidP="00857080">
      <w:pPr>
        <w:pStyle w:val="Heading2"/>
        <w:numPr>
          <w:ilvl w:val="1"/>
          <w:numId w:val="3"/>
        </w:numPr>
        <w:ind w:hanging="270"/>
      </w:pPr>
      <w:bookmarkStart w:id="61" w:name="_Toc216029344"/>
      <w:bookmarkStart w:id="62" w:name="_Toc464225411"/>
      <w:bookmarkStart w:id="63" w:name="_Toc464458957"/>
      <w:bookmarkStart w:id="64" w:name="_Toc464459703"/>
      <w:bookmarkStart w:id="65" w:name="_Toc464460658"/>
      <w:bookmarkStart w:id="66" w:name="_Toc464463057"/>
      <w:bookmarkStart w:id="67" w:name="_Toc464464884"/>
      <w:bookmarkStart w:id="68" w:name="_Toc464465390"/>
      <w:bookmarkStart w:id="69" w:name="_Toc464465578"/>
      <w:bookmarkStart w:id="70" w:name="_Toc464466403"/>
      <w:bookmarkStart w:id="71" w:name="_Toc464466647"/>
      <w:bookmarkStart w:id="72" w:name="_Toc464644949"/>
      <w:bookmarkStart w:id="73" w:name="_Toc465205490"/>
      <w:r w:rsidRPr="008200BE">
        <w:t>П</w:t>
      </w:r>
      <w:r w:rsidR="004E5536">
        <w:t>реглед на развитието на националната икономика</w:t>
      </w:r>
      <w:bookmarkEnd w:id="61"/>
    </w:p>
    <w:bookmarkEnd w:id="62"/>
    <w:bookmarkEnd w:id="63"/>
    <w:bookmarkEnd w:id="64"/>
    <w:bookmarkEnd w:id="65"/>
    <w:bookmarkEnd w:id="66"/>
    <w:bookmarkEnd w:id="67"/>
    <w:bookmarkEnd w:id="68"/>
    <w:bookmarkEnd w:id="69"/>
    <w:bookmarkEnd w:id="70"/>
    <w:bookmarkEnd w:id="71"/>
    <w:bookmarkEnd w:id="72"/>
    <w:bookmarkEnd w:id="73"/>
    <w:p w14:paraId="7D2788D9" w14:textId="77777777" w:rsidR="00083361" w:rsidRPr="008D70C9" w:rsidRDefault="00C86F1A" w:rsidP="00857080">
      <w:pPr>
        <w:pStyle w:val="Heading3"/>
        <w:spacing w:before="200" w:after="0"/>
        <w:ind w:left="0"/>
      </w:pPr>
      <w:r w:rsidRPr="008D70C9">
        <w:t>Брутен вътрешен продукт</w:t>
      </w:r>
    </w:p>
    <w:p w14:paraId="70B9F520" w14:textId="77777777" w:rsidR="00FC1B1F" w:rsidRDefault="00FA3E88" w:rsidP="00857080">
      <w:pPr>
        <w:spacing w:before="200" w:after="0"/>
        <w:rPr>
          <w:szCs w:val="24"/>
        </w:rPr>
      </w:pPr>
      <w:r w:rsidRPr="00FA3E88">
        <w:rPr>
          <w:szCs w:val="24"/>
        </w:rPr>
        <w:t xml:space="preserve">Растежът на брутния вътрешен продукт достигна 3,2% </w:t>
      </w:r>
      <w:r w:rsidR="00DE746D">
        <w:rPr>
          <w:szCs w:val="24"/>
        </w:rPr>
        <w:t>за първото полугодие на 2025 г.</w:t>
      </w:r>
      <w:r w:rsidRPr="00FA3E88">
        <w:rPr>
          <w:szCs w:val="24"/>
        </w:rPr>
        <w:t xml:space="preserve"> и бе движен от вътрешното търсене. Потреблението на домакинствата се повиши с 8,0% на годишна база</w:t>
      </w:r>
      <w:r>
        <w:rPr>
          <w:szCs w:val="24"/>
        </w:rPr>
        <w:t>,</w:t>
      </w:r>
      <w:r w:rsidRPr="00FA3E88">
        <w:rPr>
          <w:szCs w:val="24"/>
        </w:rPr>
        <w:t xml:space="preserve"> подкрепено от реалното нарастване на доходите. При публичното потребление бе отчетено нарастване от 10,4%. Инвестициите в основен капитал се увеличиха с 10,2%. Същевременно, изменението на запасите имаше отрицателен принос към растежа на БВП. Износът на стоки и услуги намаля с 4,2% на годишна база, докато вносът се повиши с 3,3%. В резултат, нетният износ имаше отрицателен принос към растежа на БВП.</w:t>
      </w:r>
    </w:p>
    <w:p w14:paraId="28FDB60D" w14:textId="77777777" w:rsidR="00C86F1A" w:rsidRPr="008D70C9" w:rsidRDefault="00083361" w:rsidP="00857080">
      <w:pPr>
        <w:pStyle w:val="Heading3"/>
        <w:spacing w:before="200" w:after="0"/>
        <w:ind w:left="0"/>
      </w:pPr>
      <w:bookmarkStart w:id="74" w:name="_Toc464225413"/>
      <w:bookmarkStart w:id="75" w:name="_Toc464458959"/>
      <w:bookmarkStart w:id="76" w:name="_Toc464459705"/>
      <w:bookmarkStart w:id="77" w:name="_Toc464460660"/>
      <w:bookmarkStart w:id="78" w:name="_Toc464463059"/>
      <w:bookmarkStart w:id="79" w:name="_Toc464464886"/>
      <w:bookmarkStart w:id="80" w:name="_Toc464465392"/>
      <w:bookmarkStart w:id="81" w:name="_Toc464465580"/>
      <w:bookmarkStart w:id="82" w:name="_Toc464466405"/>
      <w:bookmarkStart w:id="83" w:name="_Toc464466649"/>
      <w:bookmarkStart w:id="84" w:name="_Toc464644951"/>
      <w:bookmarkStart w:id="85" w:name="_Toc465070442"/>
      <w:bookmarkStart w:id="86" w:name="_Toc465205492"/>
      <w:r w:rsidRPr="008D70C9">
        <w:t>П</w:t>
      </w:r>
      <w:r w:rsidR="00C86F1A" w:rsidRPr="008D70C9">
        <w:t>азар на труда и доходи</w:t>
      </w:r>
    </w:p>
    <w:p w14:paraId="283DDA14" w14:textId="77777777" w:rsidR="00FA3E88" w:rsidRPr="00FA3E88" w:rsidRDefault="00FA3E88" w:rsidP="00857080">
      <w:pPr>
        <w:spacing w:before="200" w:after="0"/>
      </w:pPr>
      <w:bookmarkStart w:id="87" w:name="_Toc464225414"/>
      <w:bookmarkStart w:id="88" w:name="_Toc464458960"/>
      <w:bookmarkStart w:id="89" w:name="_Toc464459706"/>
      <w:bookmarkStart w:id="90" w:name="_Toc464460661"/>
      <w:bookmarkStart w:id="91" w:name="_Toc464463060"/>
      <w:bookmarkStart w:id="92" w:name="_Toc464464887"/>
      <w:bookmarkStart w:id="93" w:name="_Toc464465393"/>
      <w:bookmarkStart w:id="94" w:name="_Toc464465581"/>
      <w:bookmarkStart w:id="95" w:name="_Toc464466406"/>
      <w:bookmarkStart w:id="96" w:name="_Toc464466650"/>
      <w:bookmarkStart w:id="97" w:name="_Toc464644952"/>
      <w:bookmarkStart w:id="98" w:name="_Toc465070443"/>
      <w:bookmarkStart w:id="99" w:name="_Toc465205493"/>
      <w:bookmarkEnd w:id="74"/>
      <w:bookmarkEnd w:id="75"/>
      <w:bookmarkEnd w:id="76"/>
      <w:bookmarkEnd w:id="77"/>
      <w:bookmarkEnd w:id="78"/>
      <w:bookmarkEnd w:id="79"/>
      <w:bookmarkEnd w:id="80"/>
      <w:bookmarkEnd w:id="81"/>
      <w:bookmarkEnd w:id="82"/>
      <w:bookmarkEnd w:id="83"/>
      <w:bookmarkEnd w:id="84"/>
      <w:bookmarkEnd w:id="85"/>
      <w:bookmarkEnd w:id="86"/>
      <w:r w:rsidRPr="00FA3E88">
        <w:t>През първата половина на 2025 г. темпът на растеж на броя на заетите в икономиката се</w:t>
      </w:r>
      <w:r>
        <w:t xml:space="preserve"> ускори до 2</w:t>
      </w:r>
      <w:r w:rsidRPr="00FA3E88">
        <w:t>% и достигна 3576 хиляди души средно за периода. Секторите, които имат основен принос за увеличаването на броя на работните места в икономиката</w:t>
      </w:r>
      <w:r w:rsidR="00DE746D">
        <w:t>,</w:t>
      </w:r>
      <w:r w:rsidRPr="00FA3E88">
        <w:t xml:space="preserve"> са </w:t>
      </w:r>
      <w:r w:rsidRPr="00FA3E88">
        <w:lastRenderedPageBreak/>
        <w:t>строителството и услугите, където заето</w:t>
      </w:r>
      <w:r>
        <w:t>стта се увеличава съответно с 5,2% и 4,</w:t>
      </w:r>
      <w:r w:rsidRPr="00FA3E88">
        <w:t>2%. В същото време продължава спад</w:t>
      </w:r>
      <w:r w:rsidR="007C13EF">
        <w:t>ът</w:t>
      </w:r>
      <w:r w:rsidRPr="00FA3E88">
        <w:t xml:space="preserve"> на броя на заетите в</w:t>
      </w:r>
      <w:r w:rsidR="00DE746D">
        <w:t xml:space="preserve"> промишления и аграрния сектори -</w:t>
      </w:r>
      <w:r w:rsidRPr="00FA3E88">
        <w:t xml:space="preserve"> процес, който продължава без прекъсване от 2022 г. насам. Недостигът на предлагане на труд продължава да бъде едно от основните ограничения за разширяване на производствената дейност според оценките на работодателите.</w:t>
      </w:r>
    </w:p>
    <w:p w14:paraId="67E4046F" w14:textId="77777777" w:rsidR="00FA3E88" w:rsidRPr="00FA3E88" w:rsidRDefault="00FA3E88" w:rsidP="00857080">
      <w:pPr>
        <w:spacing w:before="200" w:after="0"/>
      </w:pPr>
      <w:r w:rsidRPr="00FA3E88">
        <w:t>През първата половина на 2025 г. коефициентът на безработица трайно се задържа под равнището от 4% и средно з</w:t>
      </w:r>
      <w:r w:rsidR="00585A11">
        <w:t>а целия период е 3,8</w:t>
      </w:r>
      <w:r>
        <w:t>% (при 4,7</w:t>
      </w:r>
      <w:r w:rsidRPr="00FA3E88">
        <w:t xml:space="preserve">% за първата половина на 2024 г.). Регистрираните стойности на показателя са едни от най-ниските в историята на провеждане на наблюдението на работната сила. Коефициентът на икономическа активност на населението между 15 и 64 г. за първите шест месеца на 2025 г. достигна </w:t>
      </w:r>
      <w:r>
        <w:t>73,5% (74</w:t>
      </w:r>
      <w:r w:rsidRPr="00FA3E88">
        <w:t>% за същия период на 2024 г.), а коефициентът на заетост беше</w:t>
      </w:r>
      <w:r>
        <w:t xml:space="preserve"> 70,7% (70,6</w:t>
      </w:r>
      <w:r w:rsidRPr="00FA3E88">
        <w:t>% за същия период на 2024 г.).</w:t>
      </w:r>
    </w:p>
    <w:p w14:paraId="318B07FE" w14:textId="77777777" w:rsidR="00FA3E88" w:rsidRPr="00FA3E88" w:rsidRDefault="00FA3E88" w:rsidP="00857080">
      <w:pPr>
        <w:spacing w:before="200" w:after="0"/>
      </w:pPr>
      <w:r w:rsidRPr="00FA3E88">
        <w:t>През първата половина на 2025 г. номиналният ръст на компенс</w:t>
      </w:r>
      <w:r>
        <w:t>ацията на един нает достигна 11,</w:t>
      </w:r>
      <w:r w:rsidRPr="00FA3E88">
        <w:t>1%, което надвишава очаквания растеж в пролетната прогноза. За това развитие допринесоха както повишението на минималната работна заплата, според механизма за актуализирането ѝ в Кодекса на труда, така и по-високите разходи за заплати в бюджетния сектор. Очаква се през втората половина на годината нарастването на компенсацията на един нает леко да се забави.</w:t>
      </w:r>
    </w:p>
    <w:p w14:paraId="3DBE63CE" w14:textId="77777777" w:rsidR="00FA3E88" w:rsidRPr="00FA3E88" w:rsidRDefault="00FA3E88" w:rsidP="00857080">
      <w:pPr>
        <w:spacing w:before="200" w:after="0"/>
      </w:pPr>
      <w:r w:rsidRPr="00FA3E88">
        <w:t>За първите шест месеца на 2025 г. реалната производи</w:t>
      </w:r>
      <w:r>
        <w:t>телност на труда се увеличи с 1,</w:t>
      </w:r>
      <w:r w:rsidRPr="00FA3E88">
        <w:t xml:space="preserve">1% изоставайки значително от растежа на доходите. Слабият растеж бе движен основно от спада на производителността в преработващата промишленост, което може да се обвърже с осъществените планови ремонти на някои от най-големите предприятия в страната. След възстановяване на работната дейност </w:t>
      </w:r>
      <w:r>
        <w:t>се очаква</w:t>
      </w:r>
      <w:r w:rsidRPr="00FA3E88">
        <w:t xml:space="preserve"> производителността в сектора да се повиши през втората половина на годината.</w:t>
      </w:r>
    </w:p>
    <w:p w14:paraId="4C07A915" w14:textId="77777777" w:rsidR="00083361" w:rsidRPr="008D70C9" w:rsidRDefault="00083361" w:rsidP="00857080">
      <w:pPr>
        <w:pStyle w:val="Heading3"/>
        <w:spacing w:before="200" w:after="0"/>
        <w:ind w:left="0"/>
      </w:pPr>
      <w:r w:rsidRPr="008D70C9">
        <w:t>И</w:t>
      </w:r>
      <w:bookmarkEnd w:id="87"/>
      <w:bookmarkEnd w:id="88"/>
      <w:bookmarkEnd w:id="89"/>
      <w:bookmarkEnd w:id="90"/>
      <w:bookmarkEnd w:id="91"/>
      <w:bookmarkEnd w:id="92"/>
      <w:bookmarkEnd w:id="93"/>
      <w:bookmarkEnd w:id="94"/>
      <w:bookmarkEnd w:id="95"/>
      <w:bookmarkEnd w:id="96"/>
      <w:bookmarkEnd w:id="97"/>
      <w:bookmarkEnd w:id="98"/>
      <w:bookmarkEnd w:id="99"/>
      <w:r w:rsidR="00C86F1A" w:rsidRPr="008D70C9">
        <w:t>нфлация</w:t>
      </w:r>
    </w:p>
    <w:p w14:paraId="5CEE5CE6" w14:textId="77777777" w:rsidR="009D3B48" w:rsidRPr="00076F42" w:rsidRDefault="00076F42" w:rsidP="00857080">
      <w:pPr>
        <w:spacing w:before="200" w:after="0"/>
        <w:rPr>
          <w:rFonts w:eastAsia="Calibri"/>
          <w:bCs/>
          <w:szCs w:val="24"/>
        </w:rPr>
      </w:pPr>
      <w:bookmarkStart w:id="100" w:name="_Toc464225415"/>
      <w:bookmarkStart w:id="101" w:name="_Toc464458961"/>
      <w:bookmarkStart w:id="102" w:name="_Toc464459707"/>
      <w:bookmarkStart w:id="103" w:name="_Toc464460662"/>
      <w:bookmarkStart w:id="104" w:name="_Toc464463061"/>
      <w:bookmarkStart w:id="105" w:name="_Toc464464888"/>
      <w:bookmarkStart w:id="106" w:name="_Toc464465394"/>
      <w:bookmarkStart w:id="107" w:name="_Toc464465582"/>
      <w:bookmarkStart w:id="108" w:name="_Toc464466407"/>
      <w:bookmarkStart w:id="109" w:name="_Toc464466651"/>
      <w:bookmarkStart w:id="110" w:name="_Toc464644953"/>
      <w:bookmarkStart w:id="111" w:name="_Toc465070444"/>
      <w:bookmarkStart w:id="112" w:name="_Toc465205494"/>
      <w:r w:rsidRPr="00076F42">
        <w:rPr>
          <w:rFonts w:eastAsia="Calibri"/>
          <w:bCs/>
          <w:szCs w:val="24"/>
        </w:rPr>
        <w:t>Годишният темп на инфлация о</w:t>
      </w:r>
      <w:r w:rsidR="00C55658">
        <w:rPr>
          <w:rFonts w:eastAsia="Calibri"/>
          <w:bCs/>
          <w:szCs w:val="24"/>
        </w:rPr>
        <w:t>тчете известно ускорение до 4,1</w:t>
      </w:r>
      <w:r w:rsidRPr="00076F42">
        <w:rPr>
          <w:rFonts w:eastAsia="Calibri"/>
          <w:bCs/>
          <w:szCs w:val="24"/>
        </w:rPr>
        <w:t>% според ХИПЦ през септември 2025 г.</w:t>
      </w:r>
      <w:r w:rsidR="00F773B7">
        <w:rPr>
          <w:rFonts w:eastAsia="Calibri"/>
          <w:bCs/>
          <w:szCs w:val="24"/>
        </w:rPr>
        <w:t xml:space="preserve"> спрямо същия месец на 2024 г.</w:t>
      </w:r>
      <w:r w:rsidRPr="00076F42">
        <w:rPr>
          <w:rFonts w:eastAsia="Calibri"/>
          <w:bCs/>
          <w:szCs w:val="24"/>
        </w:rPr>
        <w:t xml:space="preserve"> Водещ принос по основни компоненти на индекса имаха услугите, следвани от храните, като заедно формираха почти 75% от нарастването на общия индекс. Факторите за това бяха преобладаващо вътрешни, сред които и наблюдаваното сравнително силно нарастване на потреблението на домакинствата и повишение на разходите за труд в икономиката. Енергийните стоки също имаха слабо положителен принос, поради повишението на административните цени на електрическа и топлинна енергия през юли, което не бе компенсирано от поевтиняването на транспортните горива във връзка с низходящата тенденция при цените на суровия петрол. Базисната инфлация</w:t>
      </w:r>
      <w:r w:rsidRPr="00076F42">
        <w:rPr>
          <w:rFonts w:eastAsia="Calibri"/>
          <w:bCs/>
          <w:szCs w:val="24"/>
          <w:vertAlign w:val="superscript"/>
        </w:rPr>
        <w:footnoteReference w:id="2"/>
      </w:r>
      <w:r w:rsidRPr="00076F42">
        <w:rPr>
          <w:rFonts w:eastAsia="Calibri"/>
          <w:bCs/>
          <w:szCs w:val="24"/>
        </w:rPr>
        <w:t xml:space="preserve"> беше 3,4% </w:t>
      </w:r>
      <w:r w:rsidR="000840A9">
        <w:rPr>
          <w:rFonts w:eastAsia="Calibri"/>
          <w:bCs/>
          <w:szCs w:val="24"/>
        </w:rPr>
        <w:t>на годишна база през септември</w:t>
      </w:r>
      <w:r w:rsidR="00F773B7">
        <w:rPr>
          <w:rFonts w:eastAsia="Calibri"/>
          <w:bCs/>
          <w:szCs w:val="24"/>
        </w:rPr>
        <w:t xml:space="preserve"> спрямо същия месец на 2024 г</w:t>
      </w:r>
      <w:r w:rsidR="000840A9">
        <w:rPr>
          <w:rFonts w:eastAsia="Calibri"/>
          <w:bCs/>
          <w:szCs w:val="24"/>
        </w:rPr>
        <w:t>.</w:t>
      </w:r>
    </w:p>
    <w:p w14:paraId="3F6ECE54" w14:textId="77777777" w:rsidR="00083361" w:rsidRPr="008D70C9" w:rsidRDefault="00083361" w:rsidP="00857080">
      <w:pPr>
        <w:pStyle w:val="Heading3"/>
        <w:spacing w:before="200" w:after="0"/>
        <w:ind w:left="0"/>
      </w:pPr>
      <w:r w:rsidRPr="008D70C9">
        <w:t>П</w:t>
      </w:r>
      <w:bookmarkEnd w:id="100"/>
      <w:bookmarkEnd w:id="101"/>
      <w:bookmarkEnd w:id="102"/>
      <w:bookmarkEnd w:id="103"/>
      <w:bookmarkEnd w:id="104"/>
      <w:bookmarkEnd w:id="105"/>
      <w:bookmarkEnd w:id="106"/>
      <w:bookmarkEnd w:id="107"/>
      <w:bookmarkEnd w:id="108"/>
      <w:bookmarkEnd w:id="109"/>
      <w:bookmarkEnd w:id="110"/>
      <w:bookmarkEnd w:id="111"/>
      <w:bookmarkEnd w:id="112"/>
      <w:r w:rsidR="00C86F1A" w:rsidRPr="008D70C9">
        <w:t>латежен баланс</w:t>
      </w:r>
    </w:p>
    <w:p w14:paraId="18EE4023" w14:textId="77777777" w:rsidR="00982701" w:rsidRPr="00982701" w:rsidRDefault="00982701" w:rsidP="00857080">
      <w:pPr>
        <w:spacing w:before="200" w:after="0"/>
        <w:rPr>
          <w:szCs w:val="24"/>
        </w:rPr>
      </w:pPr>
      <w:bookmarkStart w:id="113" w:name="_Toc464225416"/>
      <w:bookmarkStart w:id="114" w:name="_Toc464458962"/>
      <w:bookmarkStart w:id="115" w:name="_Toc464459708"/>
      <w:bookmarkStart w:id="116" w:name="_Toc464460663"/>
      <w:bookmarkStart w:id="117" w:name="_Toc464463062"/>
      <w:bookmarkStart w:id="118" w:name="_Toc464464889"/>
      <w:bookmarkStart w:id="119" w:name="_Toc464465395"/>
      <w:bookmarkStart w:id="120" w:name="_Toc464465583"/>
      <w:bookmarkStart w:id="121" w:name="_Toc464466408"/>
      <w:bookmarkStart w:id="122" w:name="_Toc464466652"/>
      <w:bookmarkStart w:id="123" w:name="_Toc464644954"/>
      <w:bookmarkStart w:id="124" w:name="_Toc465070445"/>
      <w:bookmarkStart w:id="125" w:name="_Toc465205495"/>
      <w:r w:rsidRPr="00982701">
        <w:rPr>
          <w:szCs w:val="24"/>
        </w:rPr>
        <w:t xml:space="preserve">В периода януари-август дефицитът </w:t>
      </w:r>
      <w:r w:rsidR="00585A11">
        <w:rPr>
          <w:szCs w:val="24"/>
        </w:rPr>
        <w:t>по текущата сметка достигна 1,9</w:t>
      </w:r>
      <w:r w:rsidRPr="00982701">
        <w:rPr>
          <w:szCs w:val="24"/>
        </w:rPr>
        <w:t>% от прогно</w:t>
      </w:r>
      <w:r w:rsidR="00585A11">
        <w:rPr>
          <w:szCs w:val="24"/>
        </w:rPr>
        <w:t>зния БВП, спрямо излишък от 0,2</w:t>
      </w:r>
      <w:r w:rsidRPr="00982701">
        <w:rPr>
          <w:szCs w:val="24"/>
        </w:rPr>
        <w:t>% от БВП за същия период на 2024 г. Основен принос за изменението имаше нарастването на отрицателното салдо по търговския баланс</w:t>
      </w:r>
      <w:r w:rsidR="00CF5322">
        <w:rPr>
          <w:szCs w:val="24"/>
        </w:rPr>
        <w:t>. Износът на стоки се сви с 5,2</w:t>
      </w:r>
      <w:r w:rsidRPr="00982701">
        <w:rPr>
          <w:szCs w:val="24"/>
        </w:rPr>
        <w:t>%</w:t>
      </w:r>
      <w:r w:rsidR="00CF5322">
        <w:rPr>
          <w:szCs w:val="24"/>
        </w:rPr>
        <w:t>,</w:t>
      </w:r>
      <w:r w:rsidRPr="00982701">
        <w:rPr>
          <w:szCs w:val="24"/>
        </w:rPr>
        <w:t xml:space="preserve"> воден основно от търговията със страните-членки на ЕС. При</w:t>
      </w:r>
      <w:r w:rsidR="00CF5322">
        <w:rPr>
          <w:szCs w:val="24"/>
        </w:rPr>
        <w:t xml:space="preserve"> вноса бе отчетен растеж от 3,3</w:t>
      </w:r>
      <w:r w:rsidRPr="00982701">
        <w:rPr>
          <w:szCs w:val="24"/>
        </w:rPr>
        <w:t>%</w:t>
      </w:r>
      <w:r w:rsidR="006A65DA">
        <w:rPr>
          <w:szCs w:val="24"/>
        </w:rPr>
        <w:t>,</w:t>
      </w:r>
      <w:r w:rsidR="00CF5322">
        <w:rPr>
          <w:szCs w:val="24"/>
        </w:rPr>
        <w:t xml:space="preserve"> като приносът</w:t>
      </w:r>
      <w:r w:rsidRPr="00982701">
        <w:rPr>
          <w:szCs w:val="24"/>
        </w:rPr>
        <w:t xml:space="preserve"> от трети страни и тези от ЕС бе почти изравнен. През първите осем месеца на годината излишъкът при търго</w:t>
      </w:r>
      <w:r w:rsidR="00CF5322">
        <w:rPr>
          <w:szCs w:val="24"/>
        </w:rPr>
        <w:t>вията с услуги се увеличи с 5,8</w:t>
      </w:r>
      <w:r w:rsidRPr="00982701">
        <w:rPr>
          <w:szCs w:val="24"/>
        </w:rPr>
        <w:t>%</w:t>
      </w:r>
      <w:r w:rsidR="006A65DA">
        <w:rPr>
          <w:szCs w:val="24"/>
        </w:rPr>
        <w:t>,</w:t>
      </w:r>
      <w:r w:rsidRPr="00982701">
        <w:rPr>
          <w:szCs w:val="24"/>
        </w:rPr>
        <w:t xml:space="preserve"> като приходите от посещения на чужд</w:t>
      </w:r>
      <w:r w:rsidR="00CF5322">
        <w:rPr>
          <w:szCs w:val="24"/>
        </w:rPr>
        <w:t>енци в страната нараснаха с 8,2</w:t>
      </w:r>
      <w:r w:rsidRPr="00982701">
        <w:rPr>
          <w:szCs w:val="24"/>
        </w:rPr>
        <w:t xml:space="preserve">%. </w:t>
      </w:r>
      <w:r w:rsidRPr="00982701">
        <w:rPr>
          <w:szCs w:val="24"/>
        </w:rPr>
        <w:lastRenderedPageBreak/>
        <w:t>Дефицитът по първичния доход леко се подобри в отношение спрямо прогнозния БВП. Излишъкът по вторичния доход също леко се подобри в абсолютна стойност. Привлечените преки чуждестранни инвестиции достигнаха 2,3 м</w:t>
      </w:r>
      <w:r w:rsidR="00CF5322">
        <w:rPr>
          <w:szCs w:val="24"/>
        </w:rPr>
        <w:t>лрд. евро или увеличение с 15,2</w:t>
      </w:r>
      <w:r w:rsidRPr="00982701">
        <w:rPr>
          <w:szCs w:val="24"/>
        </w:rPr>
        <w:t>% спрямо същия период на 2024 г.</w:t>
      </w:r>
    </w:p>
    <w:p w14:paraId="071F4D78" w14:textId="77777777" w:rsidR="00083361" w:rsidRPr="008D70C9" w:rsidRDefault="00083361" w:rsidP="00857080">
      <w:pPr>
        <w:pStyle w:val="Heading3"/>
        <w:spacing w:before="200" w:after="0"/>
        <w:ind w:left="0"/>
      </w:pPr>
      <w:r w:rsidRPr="008D70C9">
        <w:t>П</w:t>
      </w:r>
      <w:bookmarkEnd w:id="113"/>
      <w:bookmarkEnd w:id="114"/>
      <w:bookmarkEnd w:id="115"/>
      <w:bookmarkEnd w:id="116"/>
      <w:bookmarkEnd w:id="117"/>
      <w:bookmarkEnd w:id="118"/>
      <w:bookmarkEnd w:id="119"/>
      <w:bookmarkEnd w:id="120"/>
      <w:bookmarkEnd w:id="121"/>
      <w:bookmarkEnd w:id="122"/>
      <w:bookmarkEnd w:id="123"/>
      <w:bookmarkEnd w:id="124"/>
      <w:bookmarkEnd w:id="125"/>
      <w:r w:rsidR="00C86F1A" w:rsidRPr="008D70C9">
        <w:t>аричен сектор</w:t>
      </w:r>
    </w:p>
    <w:p w14:paraId="56EBA466" w14:textId="77777777" w:rsidR="00CF5322" w:rsidRPr="00CF5322" w:rsidRDefault="00CF5322" w:rsidP="00857080">
      <w:pPr>
        <w:spacing w:before="200" w:after="0"/>
      </w:pPr>
      <w:bookmarkStart w:id="126" w:name="_Toc464225417"/>
      <w:bookmarkStart w:id="127" w:name="_Toc464458963"/>
      <w:bookmarkStart w:id="128" w:name="_Toc464459709"/>
      <w:bookmarkStart w:id="129" w:name="_Toc464460664"/>
      <w:bookmarkStart w:id="130" w:name="_Toc464463063"/>
      <w:bookmarkStart w:id="131" w:name="_Toc464464890"/>
      <w:bookmarkStart w:id="132" w:name="_Toc464465396"/>
      <w:bookmarkStart w:id="133" w:name="_Toc464465584"/>
      <w:bookmarkStart w:id="134" w:name="_Toc464466409"/>
      <w:bookmarkStart w:id="135" w:name="_Toc464466653"/>
      <w:bookmarkStart w:id="136" w:name="_Toc464644955"/>
      <w:bookmarkStart w:id="137" w:name="_Toc465205496"/>
      <w:r w:rsidRPr="00CF5322">
        <w:t xml:space="preserve">Брутните международни валутни резерви на страната продължиха да осигуряват стабилното функциониране на паричния съвет. Пазарната им стойност към края на септември 2025 г. възлезе на 44,5 млрд. евро. Темпът им на растеж се ускори до 6,5% на годишна база при 0,3% в края на предходната година, като беше повлиян в най-голяма степен от нарастването на банковите резерви и депозита на правителството в БНБ. </w:t>
      </w:r>
    </w:p>
    <w:p w14:paraId="290EB28D" w14:textId="77777777" w:rsidR="00CF5322" w:rsidRPr="00CF5322" w:rsidRDefault="00CF5322" w:rsidP="00857080">
      <w:pPr>
        <w:spacing w:before="200" w:after="0"/>
      </w:pPr>
      <w:r w:rsidRPr="00CF5322">
        <w:t>Банковата система в България остана стабилна и продължи да поддържа високи равнища на капиталова адекватност и ликвидност през 2025 г. Коефициентът на обща капиталова адекват</w:t>
      </w:r>
      <w:r>
        <w:t>ност към края на юни беше 23,61</w:t>
      </w:r>
      <w:r w:rsidRPr="00CF5322">
        <w:t xml:space="preserve">%, а отношението на ликвидно покритие </w:t>
      </w:r>
      <w:r w:rsidR="00585A11">
        <w:t>в края на август достигна 249,9</w:t>
      </w:r>
      <w:r w:rsidRPr="00CF5322">
        <w:t>%.</w:t>
      </w:r>
    </w:p>
    <w:p w14:paraId="33E4885D" w14:textId="77777777" w:rsidR="00CF5322" w:rsidRPr="00CF5322" w:rsidRDefault="00CF5322" w:rsidP="00857080">
      <w:pPr>
        <w:spacing w:before="200" w:after="0"/>
      </w:pPr>
      <w:r w:rsidRPr="00CF5322">
        <w:t>Кредитът за частния сектор започна да се забавя от началото на второто тримесечие на 2025 г. спрямо края на предходната година, но в края на септември годишният му темп на растеж се повиши отново и достигна 15%, леко надвишавайки ръста от 14,7% в края на 2024 г. За развитието му допринесоха основно кредитите за домакинства, които нарастваха с относително постоянен темп (20,9% в края на септември), обусловен от забавяне на потребителските и слабо ускорение на жилищните кредити. Забавяне на ръста на корпоративния овърдрафт, което не бе напълно компенсирано от ускорението на редовните кредити, определи минималното забавяне при кредитите за нефинансови предприятия</w:t>
      </w:r>
      <w:r w:rsidR="00076F42">
        <w:t>.</w:t>
      </w:r>
      <w:r w:rsidRPr="00CF5322">
        <w:t xml:space="preserve"> </w:t>
      </w:r>
      <w:r w:rsidR="00076F42">
        <w:t xml:space="preserve">В </w:t>
      </w:r>
      <w:r w:rsidRPr="00CF5322">
        <w:t xml:space="preserve">края на септември </w:t>
      </w:r>
      <w:r w:rsidR="00076F42">
        <w:t xml:space="preserve">те </w:t>
      </w:r>
      <w:r w:rsidRPr="00CF5322">
        <w:t>се увеличиха с 9,7% на годишна база при 10,1% в края</w:t>
      </w:r>
      <w:r>
        <w:t xml:space="preserve"> на декември 2024 г.</w:t>
      </w:r>
    </w:p>
    <w:p w14:paraId="61503A04" w14:textId="77777777" w:rsidR="004E5536" w:rsidRDefault="004E5536" w:rsidP="00825016">
      <w:pPr>
        <w:pStyle w:val="Heading2"/>
        <w:numPr>
          <w:ilvl w:val="1"/>
          <w:numId w:val="3"/>
        </w:numPr>
        <w:ind w:hanging="270"/>
        <w:jc w:val="both"/>
      </w:pPr>
      <w:bookmarkStart w:id="138" w:name="_Toc216029345"/>
      <w:r>
        <w:t>Основни допускания, на които се основава</w:t>
      </w:r>
      <w:r w:rsidR="00AA1D2F">
        <w:t xml:space="preserve"> прогнозата и</w:t>
      </w:r>
      <w:r>
        <w:t xml:space="preserve"> </w:t>
      </w:r>
      <w:r w:rsidR="007943D8" w:rsidRPr="007943D8">
        <w:t xml:space="preserve">макроикономическата </w:t>
      </w:r>
      <w:r w:rsidR="00AA1D2F">
        <w:t>рамка</w:t>
      </w:r>
      <w:r w:rsidR="007838B5">
        <w:t xml:space="preserve"> за периода 2025</w:t>
      </w:r>
      <w:r>
        <w:t>-2028 г.</w:t>
      </w:r>
      <w:bookmarkEnd w:id="138"/>
    </w:p>
    <w:p w14:paraId="5DCE8A50" w14:textId="77777777" w:rsidR="00CF5322" w:rsidRPr="00CF5322" w:rsidRDefault="00CF5322" w:rsidP="00857080">
      <w:pPr>
        <w:spacing w:before="200" w:after="0"/>
        <w:rPr>
          <w:szCs w:val="24"/>
        </w:rPr>
      </w:pPr>
      <w:r w:rsidRPr="00CF5322">
        <w:rPr>
          <w:szCs w:val="24"/>
        </w:rPr>
        <w:t>Промяната в митническата политика на САЩ допълнително увеличи нестабилността в международната среда. Ускорението на търговията преди влизането в сила на по-високите ставки компенсира само частично отрицателния ефект от въвеждането им. Очаква се въздействието да се усети до края на годината и в по-голяма степен през 2026 г., което се отразява и в понижение на очакванията за темповете на растеж както на европейската, така и на световната икономика.  Инфлационният натиск ще е умерен, като инфлацията както в ЕС, така и в глобален план ще е близка до целите на централните банки, a парична</w:t>
      </w:r>
      <w:r>
        <w:rPr>
          <w:szCs w:val="24"/>
        </w:rPr>
        <w:t>та</w:t>
      </w:r>
      <w:r w:rsidRPr="00CF5322">
        <w:rPr>
          <w:szCs w:val="24"/>
        </w:rPr>
        <w:t xml:space="preserve"> политика ще подпомага растежа на БВП. </w:t>
      </w:r>
    </w:p>
    <w:p w14:paraId="579CF741" w14:textId="77777777" w:rsidR="00CF5322" w:rsidRPr="00CF5322" w:rsidRDefault="00CF5322" w:rsidP="00857080">
      <w:pPr>
        <w:spacing w:before="200" w:after="0"/>
        <w:rPr>
          <w:szCs w:val="24"/>
        </w:rPr>
      </w:pPr>
      <w:r w:rsidRPr="00CF5322">
        <w:rPr>
          <w:szCs w:val="24"/>
        </w:rPr>
        <w:t>Очакванията са реалния</w:t>
      </w:r>
      <w:r w:rsidR="00076F42">
        <w:rPr>
          <w:szCs w:val="24"/>
        </w:rPr>
        <w:t>т</w:t>
      </w:r>
      <w:r w:rsidRPr="00CF5322">
        <w:rPr>
          <w:szCs w:val="24"/>
        </w:rPr>
        <w:t xml:space="preserve"> растеж на БВП </w:t>
      </w:r>
      <w:r>
        <w:rPr>
          <w:szCs w:val="24"/>
        </w:rPr>
        <w:t>в ЕС да достигне 1,3% и 1,</w:t>
      </w:r>
      <w:r w:rsidRPr="00CF5322">
        <w:rPr>
          <w:szCs w:val="24"/>
        </w:rPr>
        <w:t xml:space="preserve">4%, съответно през 2025 </w:t>
      </w:r>
      <w:r w:rsidR="00513F9B">
        <w:rPr>
          <w:szCs w:val="24"/>
        </w:rPr>
        <w:t xml:space="preserve">г. </w:t>
      </w:r>
      <w:r w:rsidRPr="00CF5322">
        <w:rPr>
          <w:szCs w:val="24"/>
        </w:rPr>
        <w:t xml:space="preserve">и 2026 г. Прогнозите са световната </w:t>
      </w:r>
      <w:r>
        <w:rPr>
          <w:szCs w:val="24"/>
        </w:rPr>
        <w:t>икономика да нараства с около 3,</w:t>
      </w:r>
      <w:r w:rsidRPr="00CF5322">
        <w:rPr>
          <w:szCs w:val="24"/>
        </w:rPr>
        <w:t>1% през двете години. Известно ускорение може да се очаква в средносрочен план, но без съществено подобрение в средата.</w:t>
      </w:r>
    </w:p>
    <w:p w14:paraId="3BC64A70" w14:textId="77777777" w:rsidR="00CF5322" w:rsidRPr="00CF5322" w:rsidRDefault="00CF5322" w:rsidP="00857080">
      <w:pPr>
        <w:spacing w:before="200" w:after="0"/>
        <w:rPr>
          <w:szCs w:val="24"/>
        </w:rPr>
      </w:pPr>
      <w:r w:rsidRPr="00CF5322">
        <w:rPr>
          <w:szCs w:val="24"/>
        </w:rPr>
        <w:t xml:space="preserve">Допусканията за международните цени на суровините в прогнозния период се основават на информация за фючърсите към 26 септември 2025 г. Според тези данни средната цена на петрола сорт </w:t>
      </w:r>
      <w:r w:rsidR="00DE746D">
        <w:rPr>
          <w:szCs w:val="24"/>
        </w:rPr>
        <w:t>„</w:t>
      </w:r>
      <w:r w:rsidRPr="00CF5322">
        <w:rPr>
          <w:szCs w:val="24"/>
        </w:rPr>
        <w:t>Бр</w:t>
      </w:r>
      <w:r>
        <w:rPr>
          <w:szCs w:val="24"/>
        </w:rPr>
        <w:t>ент</w:t>
      </w:r>
      <w:r w:rsidR="00DE746D">
        <w:rPr>
          <w:szCs w:val="24"/>
        </w:rPr>
        <w:t>“</w:t>
      </w:r>
      <w:r>
        <w:rPr>
          <w:szCs w:val="24"/>
        </w:rPr>
        <w:t xml:space="preserve"> се очаква да се понижи с 13,</w:t>
      </w:r>
      <w:r w:rsidRPr="00CF5322">
        <w:rPr>
          <w:szCs w:val="24"/>
        </w:rPr>
        <w:t>2% в сравнение с пред</w:t>
      </w:r>
      <w:r>
        <w:rPr>
          <w:szCs w:val="24"/>
        </w:rPr>
        <w:t>ходната година до 70,</w:t>
      </w:r>
      <w:r w:rsidRPr="00CF5322">
        <w:rPr>
          <w:szCs w:val="24"/>
        </w:rPr>
        <w:t xml:space="preserve">1 </w:t>
      </w:r>
      <w:proofErr w:type="spellStart"/>
      <w:r w:rsidRPr="00CF5322">
        <w:rPr>
          <w:szCs w:val="24"/>
        </w:rPr>
        <w:t>щ.д</w:t>
      </w:r>
      <w:proofErr w:type="spellEnd"/>
      <w:r w:rsidRPr="00CF5322">
        <w:rPr>
          <w:szCs w:val="24"/>
        </w:rPr>
        <w:t xml:space="preserve">./барел за 2025 г. Тенденцията на поевтиняване на суровината ще се </w:t>
      </w:r>
      <w:r w:rsidRPr="00CF5322">
        <w:rPr>
          <w:szCs w:val="24"/>
        </w:rPr>
        <w:lastRenderedPageBreak/>
        <w:t>запази и през следващите две години, к</w:t>
      </w:r>
      <w:r>
        <w:rPr>
          <w:szCs w:val="24"/>
        </w:rPr>
        <w:t>ато цената ѝ ще отчете спад с 5,4% до 66,2 долара през 2026 г. и с 0,5% до 65,</w:t>
      </w:r>
      <w:r w:rsidRPr="00CF5322">
        <w:rPr>
          <w:szCs w:val="24"/>
        </w:rPr>
        <w:t>9 долара през 2027 г., след което слабо ще се п</w:t>
      </w:r>
      <w:r>
        <w:rPr>
          <w:szCs w:val="24"/>
        </w:rPr>
        <w:t>овиши до 66,</w:t>
      </w:r>
      <w:r w:rsidRPr="00CF5322">
        <w:rPr>
          <w:szCs w:val="24"/>
        </w:rPr>
        <w:t xml:space="preserve">6 долара през 2028 г. При природния газ се предвижда </w:t>
      </w:r>
      <w:r>
        <w:rPr>
          <w:szCs w:val="24"/>
        </w:rPr>
        <w:t>средно повишение на цената от 9,</w:t>
      </w:r>
      <w:r w:rsidRPr="00CF5322">
        <w:rPr>
          <w:szCs w:val="24"/>
        </w:rPr>
        <w:t xml:space="preserve">2% през 2025 г., последвано от поевтиняване в годините до края на прогнозния хоризонт, </w:t>
      </w:r>
      <w:r>
        <w:rPr>
          <w:szCs w:val="24"/>
        </w:rPr>
        <w:t>по-съществено през 2026 г. с 14,</w:t>
      </w:r>
      <w:r w:rsidRPr="00CF5322">
        <w:rPr>
          <w:szCs w:val="24"/>
        </w:rPr>
        <w:t>2%.</w:t>
      </w:r>
    </w:p>
    <w:p w14:paraId="41226BA7" w14:textId="77777777" w:rsidR="00CF5322" w:rsidRPr="00CF5322" w:rsidRDefault="00CF5322" w:rsidP="00857080">
      <w:pPr>
        <w:spacing w:before="200" w:after="0"/>
        <w:rPr>
          <w:szCs w:val="24"/>
        </w:rPr>
      </w:pPr>
      <w:r w:rsidRPr="00CF5322">
        <w:rPr>
          <w:szCs w:val="24"/>
        </w:rPr>
        <w:t>При неенергийните суровини се очаква</w:t>
      </w:r>
      <w:r>
        <w:rPr>
          <w:szCs w:val="24"/>
        </w:rPr>
        <w:t xml:space="preserve"> поскъпване от 2,</w:t>
      </w:r>
      <w:r w:rsidRPr="00CF5322">
        <w:rPr>
          <w:szCs w:val="24"/>
        </w:rPr>
        <w:t xml:space="preserve">9% в доларово изражение за 2025 г., като единствено храните ще </w:t>
      </w:r>
      <w:r>
        <w:rPr>
          <w:szCs w:val="24"/>
        </w:rPr>
        <w:t>отчетат поевтиняване средно с 5,</w:t>
      </w:r>
      <w:r w:rsidRPr="00CF5322">
        <w:rPr>
          <w:szCs w:val="24"/>
        </w:rPr>
        <w:t>3%. При останалите основни подгрупи се очаква повишение на цените, по-осезаемо при напитките и най-вече кафето. Цените на торовете също се прогн</w:t>
      </w:r>
      <w:r>
        <w:rPr>
          <w:szCs w:val="24"/>
        </w:rPr>
        <w:t>озира да се повишат средно с 15,</w:t>
      </w:r>
      <w:r w:rsidRPr="00CF5322">
        <w:rPr>
          <w:szCs w:val="24"/>
        </w:rPr>
        <w:t>1%, свързано най-вече с очаквания по-скъп природен газ. През 2026 г. темпът на поскъпване на неенергий</w:t>
      </w:r>
      <w:r>
        <w:rPr>
          <w:szCs w:val="24"/>
        </w:rPr>
        <w:t>ните суровини ще се забави до 1,</w:t>
      </w:r>
      <w:r w:rsidRPr="00CF5322">
        <w:rPr>
          <w:szCs w:val="24"/>
        </w:rPr>
        <w:t>9%. Цените на х</w:t>
      </w:r>
      <w:r>
        <w:rPr>
          <w:szCs w:val="24"/>
        </w:rPr>
        <w:t>раните ще се повишат средно с 1,</w:t>
      </w:r>
      <w:r w:rsidRPr="00CF5322">
        <w:rPr>
          <w:szCs w:val="24"/>
        </w:rPr>
        <w:t>5%, докато тези на напитките ще отчетат пое</w:t>
      </w:r>
      <w:r>
        <w:rPr>
          <w:szCs w:val="24"/>
        </w:rPr>
        <w:t>втиняване средно с 8,</w:t>
      </w:r>
      <w:r w:rsidRPr="00CF5322">
        <w:rPr>
          <w:szCs w:val="24"/>
        </w:rPr>
        <w:t xml:space="preserve">6%. Цените на торовете също ще започнат да се понижават във връзка с очакваната ценова динамика на природния газ. Очакванията са неенергийните суровини да отчетат слабо поевтиняване през 2027-2028 г. </w:t>
      </w:r>
    </w:p>
    <w:p w14:paraId="6088ABA6" w14:textId="77777777" w:rsidR="00CF5322" w:rsidRDefault="00CF5322" w:rsidP="00857080">
      <w:pPr>
        <w:spacing w:before="200" w:after="0"/>
        <w:rPr>
          <w:szCs w:val="24"/>
        </w:rPr>
      </w:pPr>
      <w:r w:rsidRPr="00CF5322">
        <w:rPr>
          <w:szCs w:val="24"/>
        </w:rPr>
        <w:t>Техническото допускане</w:t>
      </w:r>
      <w:r w:rsidRPr="00CF5322">
        <w:rPr>
          <w:szCs w:val="24"/>
          <w:vertAlign w:val="superscript"/>
        </w:rPr>
        <w:footnoteReference w:id="3"/>
      </w:r>
      <w:r w:rsidRPr="00CF5322">
        <w:rPr>
          <w:szCs w:val="24"/>
        </w:rPr>
        <w:t xml:space="preserve"> за валутния курс USD/EUR, с дневни данни към 26.09.2025 г., пока</w:t>
      </w:r>
      <w:r>
        <w:rPr>
          <w:szCs w:val="24"/>
        </w:rPr>
        <w:t>зва средногодишна стойност от 1,</w:t>
      </w:r>
      <w:r w:rsidRPr="00CF5322">
        <w:rPr>
          <w:szCs w:val="24"/>
        </w:rPr>
        <w:t>144 долар</w:t>
      </w:r>
      <w:r>
        <w:rPr>
          <w:szCs w:val="24"/>
        </w:rPr>
        <w:t>а за едно евро през 2025 г. и 1,</w:t>
      </w:r>
      <w:r w:rsidRPr="00CF5322">
        <w:rPr>
          <w:szCs w:val="24"/>
        </w:rPr>
        <w:t xml:space="preserve">177 за 2026 г., което е номинално поскъпване на единната европейска валута, </w:t>
      </w:r>
      <w:r>
        <w:rPr>
          <w:szCs w:val="24"/>
        </w:rPr>
        <w:t>респективно лева, съответно с 6,0% и 2,</w:t>
      </w:r>
      <w:r w:rsidRPr="00CF5322">
        <w:rPr>
          <w:szCs w:val="24"/>
        </w:rPr>
        <w:t>9% за двете години. След това ще остане на това ниво до края на прогнозния период.</w:t>
      </w:r>
    </w:p>
    <w:p w14:paraId="762DF22B" w14:textId="77777777" w:rsidR="00825016" w:rsidRPr="002D53ED" w:rsidRDefault="00825016" w:rsidP="00857080">
      <w:pPr>
        <w:spacing w:before="200" w:after="0"/>
        <w:rPr>
          <w:szCs w:val="24"/>
        </w:rPr>
      </w:pPr>
    </w:p>
    <w:p w14:paraId="5BB046EB" w14:textId="77777777" w:rsidR="00133400" w:rsidRPr="002D53ED" w:rsidRDefault="00133400" w:rsidP="006A1420">
      <w:pPr>
        <w:pStyle w:val="Caption"/>
        <w:keepNext/>
        <w:ind w:left="0" w:firstLine="0"/>
        <w:rPr>
          <w:rFonts w:eastAsia="Times New Roman" w:cs="Times New Roman"/>
          <w:sz w:val="22"/>
          <w:szCs w:val="22"/>
          <w:lang w:eastAsia="en-US"/>
        </w:rPr>
      </w:pPr>
      <w:bookmarkStart w:id="139" w:name="_Toc213229049"/>
      <w:r w:rsidRPr="002D53ED">
        <w:t xml:space="preserve">Табл. </w:t>
      </w:r>
      <w:r w:rsidR="00974F02">
        <w:fldChar w:fldCharType="begin"/>
      </w:r>
      <w:r w:rsidR="00974F02">
        <w:instrText xml:space="preserve"> STYLEREF 1 \s </w:instrText>
      </w:r>
      <w:r w:rsidR="00974F02">
        <w:fldChar w:fldCharType="separate"/>
      </w:r>
      <w:r w:rsidR="00841DFA">
        <w:rPr>
          <w:noProof/>
        </w:rPr>
        <w:t>I</w:t>
      </w:r>
      <w:r w:rsidR="00974F02">
        <w:rPr>
          <w:noProof/>
        </w:rPr>
        <w:fldChar w:fldCharType="end"/>
      </w:r>
      <w:r w:rsidRPr="002D53ED">
        <w:noBreakHyphen/>
      </w:r>
      <w:r w:rsidR="00974F02">
        <w:fldChar w:fldCharType="begin"/>
      </w:r>
      <w:r w:rsidR="00974F02">
        <w:instrText xml:space="preserve"> SEQ Табл. \* ARABIC \s 1 </w:instrText>
      </w:r>
      <w:r w:rsidR="00974F02">
        <w:fldChar w:fldCharType="separate"/>
      </w:r>
      <w:r w:rsidR="00841DFA">
        <w:rPr>
          <w:noProof/>
        </w:rPr>
        <w:t>1</w:t>
      </w:r>
      <w:r w:rsidR="00974F02">
        <w:rPr>
          <w:noProof/>
        </w:rPr>
        <w:fldChar w:fldCharType="end"/>
      </w:r>
      <w:r w:rsidR="00107C70" w:rsidRPr="002D53ED">
        <w:t>:</w:t>
      </w:r>
      <w:r w:rsidR="00107C70" w:rsidRPr="002D53ED">
        <w:tab/>
      </w:r>
      <w:r w:rsidRPr="002D53ED">
        <w:rPr>
          <w:rFonts w:eastAsia="Times New Roman" w:cs="Times New Roman"/>
          <w:sz w:val="22"/>
          <w:szCs w:val="22"/>
          <w:lang w:eastAsia="en-US"/>
        </w:rPr>
        <w:t>Основни допускания за развитието на външната среда</w:t>
      </w:r>
      <w:bookmarkEnd w:id="139"/>
    </w:p>
    <w:tbl>
      <w:tblPr>
        <w:tblW w:w="5252" w:type="pct"/>
        <w:jc w:val="center"/>
        <w:tblBorders>
          <w:top w:val="single" w:sz="6" w:space="0" w:color="838383"/>
          <w:bottom w:val="single" w:sz="6" w:space="0" w:color="838383"/>
        </w:tblBorders>
        <w:tblLayout w:type="fixed"/>
        <w:tblLook w:val="00A0" w:firstRow="1" w:lastRow="0" w:firstColumn="1" w:lastColumn="0" w:noHBand="0" w:noVBand="0"/>
      </w:tblPr>
      <w:tblGrid>
        <w:gridCol w:w="4549"/>
        <w:gridCol w:w="800"/>
        <w:gridCol w:w="857"/>
        <w:gridCol w:w="634"/>
        <w:gridCol w:w="181"/>
        <w:gridCol w:w="718"/>
        <w:gridCol w:w="179"/>
        <w:gridCol w:w="614"/>
        <w:gridCol w:w="181"/>
        <w:gridCol w:w="814"/>
      </w:tblGrid>
      <w:tr w:rsidR="00CF5322" w:rsidRPr="00CF5322" w14:paraId="62D67315" w14:textId="77777777" w:rsidTr="002F20E4">
        <w:trPr>
          <w:trHeight w:val="20"/>
          <w:tblHeader/>
          <w:jc w:val="center"/>
        </w:trPr>
        <w:tc>
          <w:tcPr>
            <w:tcW w:w="2387" w:type="pct"/>
            <w:vMerge w:val="restart"/>
            <w:tcBorders>
              <w:top w:val="single" w:sz="4" w:space="0" w:color="auto"/>
              <w:bottom w:val="single" w:sz="4" w:space="0" w:color="auto"/>
            </w:tcBorders>
            <w:vAlign w:val="center"/>
          </w:tcPr>
          <w:p w14:paraId="149D8369" w14:textId="77777777" w:rsidR="00CF5322" w:rsidRPr="00CF5322" w:rsidRDefault="00CF5322" w:rsidP="00CF5322">
            <w:pPr>
              <w:spacing w:before="40" w:after="40" w:line="259" w:lineRule="auto"/>
              <w:jc w:val="center"/>
              <w:rPr>
                <w:rFonts w:eastAsia="Calibri" w:cs="Times New Roman"/>
                <w:b/>
                <w:bCs/>
                <w:sz w:val="20"/>
                <w:szCs w:val="20"/>
                <w:lang w:eastAsia="en-GB"/>
              </w:rPr>
            </w:pPr>
            <w:r w:rsidRPr="00CF5322">
              <w:rPr>
                <w:rFonts w:eastAsia="Calibri" w:cs="Times New Roman"/>
                <w:b/>
                <w:bCs/>
                <w:sz w:val="20"/>
                <w:szCs w:val="20"/>
                <w:lang w:eastAsia="en-GB"/>
              </w:rPr>
              <w:t>Международна среда</w:t>
            </w:r>
          </w:p>
        </w:tc>
        <w:tc>
          <w:tcPr>
            <w:tcW w:w="870" w:type="pct"/>
            <w:gridSpan w:val="2"/>
            <w:tcBorders>
              <w:top w:val="single" w:sz="4" w:space="0" w:color="auto"/>
              <w:bottom w:val="single" w:sz="4" w:space="0" w:color="auto"/>
            </w:tcBorders>
            <w:noWrap/>
            <w:vAlign w:val="center"/>
          </w:tcPr>
          <w:p w14:paraId="79C7050B" w14:textId="77777777" w:rsidR="00CF5322" w:rsidRPr="00CF5322" w:rsidRDefault="00CF5322" w:rsidP="00CF5322">
            <w:pPr>
              <w:spacing w:before="40" w:after="40" w:line="259" w:lineRule="auto"/>
              <w:jc w:val="center"/>
              <w:rPr>
                <w:rFonts w:eastAsia="Calibri" w:cs="Times New Roman"/>
                <w:b/>
                <w:bCs/>
                <w:sz w:val="20"/>
                <w:szCs w:val="20"/>
                <w:lang w:eastAsia="en-GB"/>
              </w:rPr>
            </w:pPr>
            <w:r w:rsidRPr="00CF5322">
              <w:rPr>
                <w:rFonts w:eastAsia="Calibri" w:cs="Times New Roman"/>
                <w:b/>
                <w:bCs/>
                <w:sz w:val="20"/>
                <w:szCs w:val="20"/>
                <w:lang w:eastAsia="en-GB"/>
              </w:rPr>
              <w:t>Отчетни данни</w:t>
            </w:r>
          </w:p>
        </w:tc>
        <w:tc>
          <w:tcPr>
            <w:tcW w:w="1743" w:type="pct"/>
            <w:gridSpan w:val="7"/>
            <w:tcBorders>
              <w:top w:val="single" w:sz="4" w:space="0" w:color="auto"/>
              <w:bottom w:val="single" w:sz="4" w:space="0" w:color="auto"/>
            </w:tcBorders>
            <w:shd w:val="clear" w:color="auto" w:fill="F2F2F2" w:themeFill="background1" w:themeFillShade="F2"/>
            <w:noWrap/>
            <w:vAlign w:val="center"/>
          </w:tcPr>
          <w:p w14:paraId="63197626" w14:textId="77777777" w:rsidR="00CF5322" w:rsidRPr="00CF5322" w:rsidRDefault="00CF5322" w:rsidP="00CF5322">
            <w:pPr>
              <w:spacing w:before="40" w:after="40" w:line="259" w:lineRule="auto"/>
              <w:jc w:val="center"/>
              <w:rPr>
                <w:rFonts w:eastAsia="Calibri" w:cs="Times New Roman"/>
                <w:b/>
                <w:bCs/>
                <w:sz w:val="20"/>
                <w:szCs w:val="20"/>
                <w:lang w:eastAsia="en-GB"/>
              </w:rPr>
            </w:pPr>
            <w:r w:rsidRPr="00CF5322">
              <w:rPr>
                <w:rFonts w:eastAsia="Calibri" w:cs="Times New Roman"/>
                <w:b/>
                <w:bCs/>
                <w:sz w:val="20"/>
                <w:szCs w:val="20"/>
                <w:lang w:eastAsia="en-GB"/>
              </w:rPr>
              <w:t>Прогноза</w:t>
            </w:r>
          </w:p>
        </w:tc>
      </w:tr>
      <w:tr w:rsidR="00CF5322" w:rsidRPr="00CF5322" w14:paraId="331C87DF" w14:textId="77777777" w:rsidTr="002F20E4">
        <w:trPr>
          <w:trHeight w:val="20"/>
          <w:tblHeader/>
          <w:jc w:val="center"/>
        </w:trPr>
        <w:tc>
          <w:tcPr>
            <w:tcW w:w="2387" w:type="pct"/>
            <w:vMerge/>
            <w:tcBorders>
              <w:top w:val="single" w:sz="4" w:space="0" w:color="auto"/>
              <w:bottom w:val="single" w:sz="4" w:space="0" w:color="auto"/>
            </w:tcBorders>
            <w:noWrap/>
          </w:tcPr>
          <w:p w14:paraId="5809E051" w14:textId="77777777" w:rsidR="00CF5322" w:rsidRPr="00CF5322" w:rsidRDefault="00CF5322" w:rsidP="00CF5322">
            <w:pPr>
              <w:spacing w:before="40" w:after="40" w:line="259" w:lineRule="auto"/>
              <w:jc w:val="left"/>
              <w:rPr>
                <w:rFonts w:eastAsia="Calibri" w:cs="Times New Roman"/>
                <w:b/>
                <w:bCs/>
                <w:sz w:val="20"/>
                <w:szCs w:val="20"/>
                <w:lang w:eastAsia="en-GB"/>
              </w:rPr>
            </w:pPr>
          </w:p>
        </w:tc>
        <w:tc>
          <w:tcPr>
            <w:tcW w:w="420" w:type="pct"/>
            <w:tcBorders>
              <w:top w:val="single" w:sz="4" w:space="0" w:color="auto"/>
              <w:bottom w:val="single" w:sz="4" w:space="0" w:color="auto"/>
            </w:tcBorders>
            <w:noWrap/>
            <w:vAlign w:val="center"/>
          </w:tcPr>
          <w:p w14:paraId="0DEF6EA7" w14:textId="77777777" w:rsidR="00CF5322" w:rsidRPr="00CF5322" w:rsidRDefault="00CF5322" w:rsidP="00CF5322">
            <w:pPr>
              <w:spacing w:before="40" w:after="40" w:line="259" w:lineRule="auto"/>
              <w:jc w:val="right"/>
              <w:rPr>
                <w:rFonts w:eastAsia="Calibri" w:cs="Times New Roman"/>
                <w:b/>
                <w:bCs/>
                <w:sz w:val="20"/>
                <w:szCs w:val="20"/>
                <w:lang w:eastAsia="en-GB"/>
              </w:rPr>
            </w:pPr>
            <w:r w:rsidRPr="00CF5322">
              <w:rPr>
                <w:rFonts w:eastAsia="Calibri" w:cs="Times New Roman"/>
                <w:b/>
                <w:bCs/>
                <w:sz w:val="20"/>
                <w:szCs w:val="20"/>
                <w:lang w:eastAsia="en-GB"/>
              </w:rPr>
              <w:t>2023</w:t>
            </w:r>
          </w:p>
        </w:tc>
        <w:tc>
          <w:tcPr>
            <w:tcW w:w="450" w:type="pct"/>
            <w:tcBorders>
              <w:top w:val="single" w:sz="4" w:space="0" w:color="auto"/>
              <w:bottom w:val="single" w:sz="4" w:space="0" w:color="auto"/>
            </w:tcBorders>
            <w:shd w:val="clear" w:color="auto" w:fill="auto"/>
            <w:noWrap/>
            <w:vAlign w:val="center"/>
          </w:tcPr>
          <w:p w14:paraId="3574AD5F" w14:textId="77777777" w:rsidR="00CF5322" w:rsidRPr="00CF5322" w:rsidRDefault="00CF5322" w:rsidP="00CF5322">
            <w:pPr>
              <w:spacing w:before="40" w:after="40" w:line="259" w:lineRule="auto"/>
              <w:jc w:val="right"/>
              <w:rPr>
                <w:rFonts w:eastAsia="Calibri" w:cs="Times New Roman"/>
                <w:b/>
                <w:bCs/>
                <w:sz w:val="20"/>
                <w:szCs w:val="20"/>
                <w:lang w:eastAsia="en-GB"/>
              </w:rPr>
            </w:pPr>
            <w:r w:rsidRPr="00CF5322">
              <w:rPr>
                <w:rFonts w:eastAsia="Calibri" w:cs="Times New Roman"/>
                <w:b/>
                <w:bCs/>
                <w:sz w:val="20"/>
                <w:szCs w:val="20"/>
                <w:lang w:eastAsia="en-GB"/>
              </w:rPr>
              <w:t>2024</w:t>
            </w:r>
          </w:p>
        </w:tc>
        <w:tc>
          <w:tcPr>
            <w:tcW w:w="333" w:type="pct"/>
            <w:tcBorders>
              <w:top w:val="single" w:sz="4" w:space="0" w:color="auto"/>
              <w:bottom w:val="single" w:sz="4" w:space="0" w:color="auto"/>
            </w:tcBorders>
            <w:shd w:val="clear" w:color="auto" w:fill="F2F2F2" w:themeFill="background1" w:themeFillShade="F2"/>
            <w:noWrap/>
            <w:vAlign w:val="center"/>
          </w:tcPr>
          <w:p w14:paraId="582BF1E6" w14:textId="77777777" w:rsidR="00CF5322" w:rsidRPr="00CF5322" w:rsidRDefault="00CF5322" w:rsidP="005F7F80">
            <w:pPr>
              <w:spacing w:before="40" w:after="40" w:line="259" w:lineRule="auto"/>
              <w:ind w:right="-120"/>
              <w:jc w:val="right"/>
              <w:rPr>
                <w:rFonts w:eastAsia="Calibri" w:cs="Times New Roman"/>
                <w:b/>
                <w:bCs/>
                <w:sz w:val="20"/>
                <w:szCs w:val="20"/>
                <w:lang w:eastAsia="en-GB"/>
              </w:rPr>
            </w:pPr>
            <w:r w:rsidRPr="00CF5322">
              <w:rPr>
                <w:rFonts w:eastAsia="Calibri" w:cs="Times New Roman"/>
                <w:b/>
                <w:bCs/>
                <w:sz w:val="20"/>
                <w:szCs w:val="20"/>
                <w:lang w:eastAsia="en-GB"/>
              </w:rPr>
              <w:t>2025</w:t>
            </w:r>
          </w:p>
        </w:tc>
        <w:tc>
          <w:tcPr>
            <w:tcW w:w="472" w:type="pct"/>
            <w:gridSpan w:val="2"/>
            <w:tcBorders>
              <w:top w:val="single" w:sz="4" w:space="0" w:color="auto"/>
              <w:bottom w:val="single" w:sz="4" w:space="0" w:color="auto"/>
            </w:tcBorders>
            <w:shd w:val="clear" w:color="auto" w:fill="F2F2F2" w:themeFill="background1" w:themeFillShade="F2"/>
            <w:noWrap/>
            <w:vAlign w:val="center"/>
          </w:tcPr>
          <w:p w14:paraId="28EBDCF9" w14:textId="77777777" w:rsidR="00CF5322" w:rsidRPr="00CF5322" w:rsidRDefault="005F7F80" w:rsidP="005F7F80">
            <w:pPr>
              <w:spacing w:before="40" w:after="40" w:line="259" w:lineRule="auto"/>
              <w:ind w:right="-105"/>
              <w:jc w:val="right"/>
              <w:rPr>
                <w:rFonts w:eastAsia="Calibri" w:cs="Times New Roman"/>
                <w:b/>
                <w:bCs/>
                <w:sz w:val="20"/>
                <w:szCs w:val="20"/>
                <w:lang w:eastAsia="en-GB"/>
              </w:rPr>
            </w:pPr>
            <w:r>
              <w:rPr>
                <w:rFonts w:eastAsia="Calibri" w:cs="Times New Roman"/>
                <w:b/>
                <w:bCs/>
                <w:sz w:val="20"/>
                <w:szCs w:val="20"/>
                <w:lang w:eastAsia="en-GB"/>
              </w:rPr>
              <w:t xml:space="preserve">    </w:t>
            </w:r>
            <w:r w:rsidR="00CF5322" w:rsidRPr="00CF5322">
              <w:rPr>
                <w:rFonts w:eastAsia="Calibri" w:cs="Times New Roman"/>
                <w:b/>
                <w:bCs/>
                <w:sz w:val="20"/>
                <w:szCs w:val="20"/>
                <w:lang w:eastAsia="en-GB"/>
              </w:rPr>
              <w:t>2026</w:t>
            </w:r>
          </w:p>
        </w:tc>
        <w:tc>
          <w:tcPr>
            <w:tcW w:w="416" w:type="pct"/>
            <w:gridSpan w:val="2"/>
            <w:tcBorders>
              <w:top w:val="single" w:sz="4" w:space="0" w:color="auto"/>
              <w:bottom w:val="single" w:sz="4" w:space="0" w:color="auto"/>
            </w:tcBorders>
            <w:shd w:val="clear" w:color="auto" w:fill="F2F2F2" w:themeFill="background1" w:themeFillShade="F2"/>
            <w:noWrap/>
            <w:vAlign w:val="center"/>
          </w:tcPr>
          <w:p w14:paraId="7B88FCD1" w14:textId="77777777" w:rsidR="00CF5322" w:rsidRPr="00CF5322" w:rsidRDefault="005F7F80" w:rsidP="005F7F80">
            <w:pPr>
              <w:spacing w:before="40" w:after="40" w:line="259" w:lineRule="auto"/>
              <w:ind w:right="-285"/>
              <w:jc w:val="center"/>
              <w:rPr>
                <w:rFonts w:eastAsia="Calibri" w:cs="Times New Roman"/>
                <w:b/>
                <w:bCs/>
                <w:sz w:val="20"/>
                <w:szCs w:val="20"/>
                <w:lang w:eastAsia="en-GB"/>
              </w:rPr>
            </w:pPr>
            <w:r>
              <w:rPr>
                <w:rFonts w:eastAsia="Calibri" w:cs="Times New Roman"/>
                <w:b/>
                <w:bCs/>
                <w:sz w:val="20"/>
                <w:szCs w:val="20"/>
                <w:lang w:eastAsia="en-GB"/>
              </w:rPr>
              <w:t xml:space="preserve"> </w:t>
            </w:r>
            <w:r w:rsidR="00CF5322" w:rsidRPr="00CF5322">
              <w:rPr>
                <w:rFonts w:eastAsia="Calibri" w:cs="Times New Roman"/>
                <w:b/>
                <w:bCs/>
                <w:sz w:val="20"/>
                <w:szCs w:val="20"/>
                <w:lang w:eastAsia="en-GB"/>
              </w:rPr>
              <w:t>2027</w:t>
            </w:r>
          </w:p>
        </w:tc>
        <w:tc>
          <w:tcPr>
            <w:tcW w:w="522" w:type="pct"/>
            <w:gridSpan w:val="2"/>
            <w:tcBorders>
              <w:top w:val="single" w:sz="4" w:space="0" w:color="auto"/>
              <w:bottom w:val="single" w:sz="4" w:space="0" w:color="auto"/>
            </w:tcBorders>
            <w:shd w:val="clear" w:color="auto" w:fill="F2F2F2" w:themeFill="background1" w:themeFillShade="F2"/>
            <w:noWrap/>
            <w:vAlign w:val="center"/>
          </w:tcPr>
          <w:p w14:paraId="5157DF40" w14:textId="77777777" w:rsidR="00CF5322" w:rsidRPr="00CF5322" w:rsidRDefault="00CF5322" w:rsidP="00CF5322">
            <w:pPr>
              <w:spacing w:before="40" w:after="40" w:line="259" w:lineRule="auto"/>
              <w:jc w:val="right"/>
              <w:rPr>
                <w:rFonts w:eastAsia="Calibri" w:cs="Times New Roman"/>
                <w:b/>
                <w:bCs/>
                <w:sz w:val="20"/>
                <w:szCs w:val="20"/>
                <w:lang w:eastAsia="en-GB"/>
              </w:rPr>
            </w:pPr>
            <w:r w:rsidRPr="00CF5322">
              <w:rPr>
                <w:rFonts w:eastAsia="Calibri" w:cs="Times New Roman"/>
                <w:b/>
                <w:bCs/>
                <w:sz w:val="20"/>
                <w:szCs w:val="20"/>
                <w:lang w:eastAsia="en-GB"/>
              </w:rPr>
              <w:t>2028</w:t>
            </w:r>
          </w:p>
        </w:tc>
      </w:tr>
      <w:tr w:rsidR="00CF5322" w:rsidRPr="002D53ED" w14:paraId="59B20963" w14:textId="77777777" w:rsidTr="002F20E4">
        <w:trPr>
          <w:trHeight w:val="340"/>
          <w:jc w:val="center"/>
        </w:trPr>
        <w:tc>
          <w:tcPr>
            <w:tcW w:w="2387" w:type="pct"/>
            <w:tcBorders>
              <w:top w:val="single" w:sz="4" w:space="0" w:color="auto"/>
              <w:bottom w:val="nil"/>
              <w:right w:val="nil"/>
            </w:tcBorders>
            <w:shd w:val="clear" w:color="auto" w:fill="FFFFFF" w:themeFill="background1"/>
            <w:noWrap/>
            <w:vAlign w:val="center"/>
          </w:tcPr>
          <w:p w14:paraId="689545E2"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Световна икономика (реален растеж, %)</w:t>
            </w:r>
          </w:p>
        </w:tc>
        <w:tc>
          <w:tcPr>
            <w:tcW w:w="420" w:type="pct"/>
            <w:tcBorders>
              <w:top w:val="single" w:sz="4" w:space="0" w:color="auto"/>
              <w:left w:val="nil"/>
              <w:bottom w:val="nil"/>
              <w:right w:val="nil"/>
            </w:tcBorders>
            <w:shd w:val="clear" w:color="auto" w:fill="FFFFFF" w:themeFill="background1"/>
            <w:noWrap/>
            <w:vAlign w:val="center"/>
          </w:tcPr>
          <w:p w14:paraId="41A6E111"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50" w:type="pct"/>
            <w:tcBorders>
              <w:top w:val="single" w:sz="4" w:space="0" w:color="auto"/>
              <w:left w:val="nil"/>
              <w:bottom w:val="nil"/>
              <w:right w:val="nil"/>
            </w:tcBorders>
            <w:shd w:val="clear" w:color="auto" w:fill="FFFFFF" w:themeFill="background1"/>
            <w:noWrap/>
            <w:vAlign w:val="center"/>
          </w:tcPr>
          <w:p w14:paraId="3A152D95"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28" w:type="pct"/>
            <w:gridSpan w:val="2"/>
            <w:tcBorders>
              <w:top w:val="single" w:sz="4" w:space="0" w:color="auto"/>
              <w:left w:val="nil"/>
              <w:bottom w:val="nil"/>
              <w:right w:val="nil"/>
            </w:tcBorders>
            <w:shd w:val="clear" w:color="auto" w:fill="F2F2F2" w:themeFill="background1" w:themeFillShade="F2"/>
            <w:noWrap/>
            <w:vAlign w:val="center"/>
          </w:tcPr>
          <w:p w14:paraId="59826FE4"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1</w:t>
            </w:r>
          </w:p>
        </w:tc>
        <w:tc>
          <w:tcPr>
            <w:tcW w:w="471" w:type="pct"/>
            <w:gridSpan w:val="2"/>
            <w:tcBorders>
              <w:top w:val="single" w:sz="4" w:space="0" w:color="auto"/>
              <w:left w:val="nil"/>
              <w:bottom w:val="nil"/>
              <w:right w:val="nil"/>
            </w:tcBorders>
            <w:shd w:val="clear" w:color="auto" w:fill="F2F2F2" w:themeFill="background1" w:themeFillShade="F2"/>
            <w:noWrap/>
            <w:vAlign w:val="center"/>
          </w:tcPr>
          <w:p w14:paraId="7C0B5198"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1</w:t>
            </w:r>
          </w:p>
        </w:tc>
        <w:tc>
          <w:tcPr>
            <w:tcW w:w="417" w:type="pct"/>
            <w:gridSpan w:val="2"/>
            <w:tcBorders>
              <w:top w:val="single" w:sz="4" w:space="0" w:color="auto"/>
              <w:left w:val="nil"/>
              <w:bottom w:val="nil"/>
              <w:right w:val="nil"/>
            </w:tcBorders>
            <w:shd w:val="clear" w:color="auto" w:fill="F2F2F2" w:themeFill="background1" w:themeFillShade="F2"/>
            <w:noWrap/>
            <w:vAlign w:val="center"/>
          </w:tcPr>
          <w:p w14:paraId="59463744"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27" w:type="pct"/>
            <w:tcBorders>
              <w:top w:val="single" w:sz="4" w:space="0" w:color="auto"/>
              <w:left w:val="nil"/>
              <w:bottom w:val="nil"/>
              <w:right w:val="nil"/>
            </w:tcBorders>
            <w:shd w:val="clear" w:color="auto" w:fill="F2F2F2" w:themeFill="background1" w:themeFillShade="F2"/>
            <w:noWrap/>
            <w:vAlign w:val="center"/>
          </w:tcPr>
          <w:p w14:paraId="75C32010"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2</w:t>
            </w:r>
          </w:p>
        </w:tc>
      </w:tr>
      <w:tr w:rsidR="00CF5322" w:rsidRPr="002D53ED" w14:paraId="67D21195" w14:textId="77777777" w:rsidTr="002F20E4">
        <w:trPr>
          <w:trHeight w:val="340"/>
          <w:jc w:val="center"/>
        </w:trPr>
        <w:tc>
          <w:tcPr>
            <w:tcW w:w="2387" w:type="pct"/>
            <w:tcBorders>
              <w:top w:val="nil"/>
              <w:bottom w:val="nil"/>
              <w:right w:val="nil"/>
            </w:tcBorders>
            <w:shd w:val="clear" w:color="auto" w:fill="FFFFFF" w:themeFill="background1"/>
            <w:vAlign w:val="center"/>
          </w:tcPr>
          <w:p w14:paraId="1E1EF34F"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Европейска икономика – ЕС (реален растеж, %)</w:t>
            </w:r>
          </w:p>
        </w:tc>
        <w:tc>
          <w:tcPr>
            <w:tcW w:w="420" w:type="pct"/>
            <w:tcBorders>
              <w:top w:val="nil"/>
              <w:left w:val="nil"/>
              <w:bottom w:val="nil"/>
              <w:right w:val="nil"/>
            </w:tcBorders>
            <w:shd w:val="clear" w:color="auto" w:fill="FFFFFF" w:themeFill="background1"/>
            <w:noWrap/>
            <w:vAlign w:val="center"/>
          </w:tcPr>
          <w:p w14:paraId="2468D719"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F5322" w:rsidRPr="00CF5322">
              <w:rPr>
                <w:rFonts w:eastAsia="Calibri" w:cs="Times New Roman"/>
                <w:sz w:val="20"/>
                <w:szCs w:val="20"/>
                <w:lang w:eastAsia="en-US"/>
              </w:rPr>
              <w:t>4</w:t>
            </w:r>
          </w:p>
        </w:tc>
        <w:tc>
          <w:tcPr>
            <w:tcW w:w="450" w:type="pct"/>
            <w:tcBorders>
              <w:top w:val="nil"/>
              <w:left w:val="nil"/>
              <w:bottom w:val="nil"/>
              <w:right w:val="nil"/>
            </w:tcBorders>
            <w:shd w:val="clear" w:color="auto" w:fill="FFFFFF" w:themeFill="background1"/>
            <w:noWrap/>
            <w:vAlign w:val="center"/>
          </w:tcPr>
          <w:p w14:paraId="651092CD"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0</w:t>
            </w:r>
          </w:p>
        </w:tc>
        <w:tc>
          <w:tcPr>
            <w:tcW w:w="428" w:type="pct"/>
            <w:gridSpan w:val="2"/>
            <w:tcBorders>
              <w:top w:val="nil"/>
              <w:left w:val="nil"/>
              <w:bottom w:val="nil"/>
              <w:right w:val="nil"/>
            </w:tcBorders>
            <w:shd w:val="clear" w:color="auto" w:fill="F2F2F2" w:themeFill="background1" w:themeFillShade="F2"/>
            <w:noWrap/>
            <w:vAlign w:val="center"/>
          </w:tcPr>
          <w:p w14:paraId="47DCAF91"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3</w:t>
            </w:r>
          </w:p>
        </w:tc>
        <w:tc>
          <w:tcPr>
            <w:tcW w:w="471" w:type="pct"/>
            <w:gridSpan w:val="2"/>
            <w:tcBorders>
              <w:top w:val="nil"/>
              <w:left w:val="nil"/>
              <w:bottom w:val="nil"/>
              <w:right w:val="nil"/>
            </w:tcBorders>
            <w:shd w:val="clear" w:color="auto" w:fill="F2F2F2" w:themeFill="background1" w:themeFillShade="F2"/>
            <w:noWrap/>
            <w:vAlign w:val="center"/>
          </w:tcPr>
          <w:p w14:paraId="7848397F"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4</w:t>
            </w:r>
          </w:p>
        </w:tc>
        <w:tc>
          <w:tcPr>
            <w:tcW w:w="417" w:type="pct"/>
            <w:gridSpan w:val="2"/>
            <w:tcBorders>
              <w:top w:val="nil"/>
              <w:left w:val="nil"/>
              <w:bottom w:val="nil"/>
              <w:right w:val="nil"/>
            </w:tcBorders>
            <w:shd w:val="clear" w:color="auto" w:fill="F2F2F2" w:themeFill="background1" w:themeFillShade="F2"/>
            <w:noWrap/>
            <w:vAlign w:val="center"/>
          </w:tcPr>
          <w:p w14:paraId="05D2A597"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6</w:t>
            </w:r>
          </w:p>
        </w:tc>
        <w:tc>
          <w:tcPr>
            <w:tcW w:w="427" w:type="pct"/>
            <w:tcBorders>
              <w:top w:val="nil"/>
              <w:left w:val="nil"/>
              <w:bottom w:val="nil"/>
              <w:right w:val="nil"/>
            </w:tcBorders>
            <w:shd w:val="clear" w:color="auto" w:fill="F2F2F2" w:themeFill="background1" w:themeFillShade="F2"/>
            <w:noWrap/>
            <w:vAlign w:val="center"/>
          </w:tcPr>
          <w:p w14:paraId="7D274D6C"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5</w:t>
            </w:r>
          </w:p>
        </w:tc>
      </w:tr>
      <w:tr w:rsidR="00CF5322" w:rsidRPr="002D53ED" w14:paraId="3D18AA91" w14:textId="77777777" w:rsidTr="002F20E4">
        <w:trPr>
          <w:trHeight w:val="340"/>
          <w:jc w:val="center"/>
        </w:trPr>
        <w:tc>
          <w:tcPr>
            <w:tcW w:w="2387" w:type="pct"/>
            <w:tcBorders>
              <w:top w:val="nil"/>
              <w:bottom w:val="nil"/>
              <w:right w:val="nil"/>
            </w:tcBorders>
            <w:shd w:val="clear" w:color="auto" w:fill="FFFFFF" w:themeFill="background1"/>
            <w:noWrap/>
            <w:vAlign w:val="center"/>
          </w:tcPr>
          <w:p w14:paraId="00F969F5"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 xml:space="preserve">Валутен курс </w:t>
            </w:r>
            <w:proofErr w:type="spellStart"/>
            <w:r w:rsidRPr="00CF5322">
              <w:rPr>
                <w:rFonts w:eastAsia="Calibri" w:cs="Times New Roman"/>
                <w:sz w:val="20"/>
                <w:szCs w:val="20"/>
                <w:lang w:eastAsia="en-GB"/>
              </w:rPr>
              <w:t>щ.д</w:t>
            </w:r>
            <w:proofErr w:type="spellEnd"/>
            <w:r w:rsidRPr="00CF5322">
              <w:rPr>
                <w:rFonts w:eastAsia="Calibri" w:cs="Times New Roman"/>
                <w:sz w:val="20"/>
                <w:szCs w:val="20"/>
                <w:lang w:eastAsia="en-GB"/>
              </w:rPr>
              <w:t xml:space="preserve">./евро </w:t>
            </w:r>
          </w:p>
        </w:tc>
        <w:tc>
          <w:tcPr>
            <w:tcW w:w="420" w:type="pct"/>
            <w:tcBorders>
              <w:top w:val="nil"/>
              <w:left w:val="nil"/>
              <w:bottom w:val="nil"/>
              <w:right w:val="nil"/>
            </w:tcBorders>
            <w:shd w:val="clear" w:color="auto" w:fill="FFFFFF" w:themeFill="background1"/>
            <w:noWrap/>
            <w:vAlign w:val="center"/>
          </w:tcPr>
          <w:p w14:paraId="7B6293E6"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08</w:t>
            </w:r>
          </w:p>
        </w:tc>
        <w:tc>
          <w:tcPr>
            <w:tcW w:w="450" w:type="pct"/>
            <w:tcBorders>
              <w:top w:val="nil"/>
              <w:left w:val="nil"/>
              <w:bottom w:val="nil"/>
              <w:right w:val="nil"/>
            </w:tcBorders>
            <w:shd w:val="clear" w:color="auto" w:fill="FFFFFF" w:themeFill="background1"/>
            <w:noWrap/>
            <w:vAlign w:val="center"/>
          </w:tcPr>
          <w:p w14:paraId="0FD0CBBB"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08</w:t>
            </w:r>
          </w:p>
        </w:tc>
        <w:tc>
          <w:tcPr>
            <w:tcW w:w="428" w:type="pct"/>
            <w:gridSpan w:val="2"/>
            <w:tcBorders>
              <w:top w:val="nil"/>
              <w:left w:val="nil"/>
              <w:bottom w:val="nil"/>
              <w:right w:val="nil"/>
            </w:tcBorders>
            <w:shd w:val="clear" w:color="auto" w:fill="F2F2F2" w:themeFill="background1" w:themeFillShade="F2"/>
            <w:noWrap/>
            <w:vAlign w:val="center"/>
          </w:tcPr>
          <w:p w14:paraId="5824769C"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14</w:t>
            </w:r>
          </w:p>
        </w:tc>
        <w:tc>
          <w:tcPr>
            <w:tcW w:w="471" w:type="pct"/>
            <w:gridSpan w:val="2"/>
            <w:tcBorders>
              <w:top w:val="nil"/>
              <w:left w:val="nil"/>
              <w:bottom w:val="nil"/>
              <w:right w:val="nil"/>
            </w:tcBorders>
            <w:shd w:val="clear" w:color="auto" w:fill="F2F2F2" w:themeFill="background1" w:themeFillShade="F2"/>
            <w:noWrap/>
            <w:vAlign w:val="center"/>
          </w:tcPr>
          <w:p w14:paraId="09E728EC"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18</w:t>
            </w:r>
          </w:p>
        </w:tc>
        <w:tc>
          <w:tcPr>
            <w:tcW w:w="417" w:type="pct"/>
            <w:gridSpan w:val="2"/>
            <w:tcBorders>
              <w:top w:val="nil"/>
              <w:left w:val="nil"/>
              <w:bottom w:val="nil"/>
              <w:right w:val="nil"/>
            </w:tcBorders>
            <w:shd w:val="clear" w:color="auto" w:fill="F2F2F2" w:themeFill="background1" w:themeFillShade="F2"/>
            <w:noWrap/>
            <w:vAlign w:val="center"/>
          </w:tcPr>
          <w:p w14:paraId="0419AEF1"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18</w:t>
            </w:r>
          </w:p>
        </w:tc>
        <w:tc>
          <w:tcPr>
            <w:tcW w:w="427" w:type="pct"/>
            <w:tcBorders>
              <w:top w:val="nil"/>
              <w:left w:val="nil"/>
              <w:bottom w:val="nil"/>
              <w:right w:val="nil"/>
            </w:tcBorders>
            <w:shd w:val="clear" w:color="auto" w:fill="F2F2F2" w:themeFill="background1" w:themeFillShade="F2"/>
            <w:noWrap/>
            <w:vAlign w:val="center"/>
          </w:tcPr>
          <w:p w14:paraId="685918C8"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18</w:t>
            </w:r>
          </w:p>
        </w:tc>
      </w:tr>
      <w:tr w:rsidR="00CF5322" w:rsidRPr="002D53ED" w14:paraId="0878E491" w14:textId="77777777" w:rsidTr="002F20E4">
        <w:trPr>
          <w:trHeight w:val="340"/>
          <w:jc w:val="center"/>
        </w:trPr>
        <w:tc>
          <w:tcPr>
            <w:tcW w:w="2387" w:type="pct"/>
            <w:tcBorders>
              <w:top w:val="nil"/>
              <w:bottom w:val="nil"/>
              <w:right w:val="nil"/>
            </w:tcBorders>
            <w:shd w:val="clear" w:color="auto" w:fill="FFFFFF" w:themeFill="background1"/>
            <w:noWrap/>
            <w:vAlign w:val="center"/>
          </w:tcPr>
          <w:p w14:paraId="76544474" w14:textId="77777777" w:rsidR="00CF5322" w:rsidRPr="00CF5322" w:rsidRDefault="00DE746D" w:rsidP="00CF5322">
            <w:pPr>
              <w:spacing w:after="0" w:line="259" w:lineRule="auto"/>
              <w:ind w:firstLineChars="100" w:firstLine="200"/>
              <w:jc w:val="left"/>
              <w:rPr>
                <w:rFonts w:eastAsia="Calibri" w:cs="Times New Roman"/>
                <w:b/>
                <w:sz w:val="20"/>
                <w:szCs w:val="20"/>
                <w:lang w:eastAsia="en-GB"/>
              </w:rPr>
            </w:pPr>
            <w:r>
              <w:rPr>
                <w:rFonts w:eastAsia="Calibri" w:cs="Times New Roman"/>
                <w:sz w:val="20"/>
                <w:szCs w:val="20"/>
                <w:lang w:eastAsia="en-GB"/>
              </w:rPr>
              <w:t>Цена на петрол „Брент“</w:t>
            </w:r>
            <w:r w:rsidR="00CF5322" w:rsidRPr="00CF5322">
              <w:rPr>
                <w:rFonts w:eastAsia="Calibri" w:cs="Times New Roman"/>
                <w:sz w:val="20"/>
                <w:szCs w:val="20"/>
                <w:lang w:eastAsia="en-GB"/>
              </w:rPr>
              <w:t xml:space="preserve"> (</w:t>
            </w:r>
            <w:proofErr w:type="spellStart"/>
            <w:r w:rsidR="00CF5322" w:rsidRPr="00CF5322">
              <w:rPr>
                <w:rFonts w:eastAsia="Calibri" w:cs="Times New Roman"/>
                <w:sz w:val="20"/>
                <w:szCs w:val="20"/>
                <w:lang w:eastAsia="en-GB"/>
              </w:rPr>
              <w:t>щ.д</w:t>
            </w:r>
            <w:proofErr w:type="spellEnd"/>
            <w:r w:rsidR="00CF5322" w:rsidRPr="00CF5322">
              <w:rPr>
                <w:rFonts w:eastAsia="Calibri" w:cs="Times New Roman"/>
                <w:sz w:val="20"/>
                <w:szCs w:val="20"/>
                <w:lang w:eastAsia="en-GB"/>
              </w:rPr>
              <w:t>./барел)</w:t>
            </w:r>
          </w:p>
        </w:tc>
        <w:tc>
          <w:tcPr>
            <w:tcW w:w="420" w:type="pct"/>
            <w:tcBorders>
              <w:top w:val="nil"/>
              <w:left w:val="nil"/>
              <w:bottom w:val="nil"/>
              <w:right w:val="nil"/>
            </w:tcBorders>
            <w:shd w:val="clear" w:color="auto" w:fill="FFFFFF" w:themeFill="background1"/>
            <w:noWrap/>
            <w:vAlign w:val="center"/>
          </w:tcPr>
          <w:p w14:paraId="19D316CC"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82,</w:t>
            </w:r>
            <w:r w:rsidR="00CF5322" w:rsidRPr="00CF5322">
              <w:rPr>
                <w:rFonts w:eastAsia="Calibri" w:cs="Times New Roman"/>
                <w:sz w:val="20"/>
                <w:szCs w:val="20"/>
                <w:lang w:eastAsia="en-US"/>
              </w:rPr>
              <w:t>6</w:t>
            </w:r>
          </w:p>
        </w:tc>
        <w:tc>
          <w:tcPr>
            <w:tcW w:w="450" w:type="pct"/>
            <w:tcBorders>
              <w:top w:val="nil"/>
              <w:left w:val="nil"/>
              <w:bottom w:val="nil"/>
              <w:right w:val="nil"/>
            </w:tcBorders>
            <w:shd w:val="clear" w:color="auto" w:fill="FFFFFF" w:themeFill="background1"/>
            <w:noWrap/>
            <w:vAlign w:val="center"/>
          </w:tcPr>
          <w:p w14:paraId="521E3EF0"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80,</w:t>
            </w:r>
            <w:r w:rsidR="00CF5322" w:rsidRPr="00CF5322">
              <w:rPr>
                <w:rFonts w:eastAsia="Calibri" w:cs="Times New Roman"/>
                <w:sz w:val="20"/>
                <w:szCs w:val="20"/>
                <w:lang w:eastAsia="en-US"/>
              </w:rPr>
              <w:t>7</w:t>
            </w:r>
          </w:p>
        </w:tc>
        <w:tc>
          <w:tcPr>
            <w:tcW w:w="428" w:type="pct"/>
            <w:gridSpan w:val="2"/>
            <w:tcBorders>
              <w:top w:val="nil"/>
              <w:left w:val="nil"/>
              <w:bottom w:val="nil"/>
              <w:right w:val="nil"/>
            </w:tcBorders>
            <w:shd w:val="clear" w:color="auto" w:fill="F2F2F2" w:themeFill="background1" w:themeFillShade="F2"/>
            <w:noWrap/>
            <w:vAlign w:val="center"/>
          </w:tcPr>
          <w:p w14:paraId="6D616B2E"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70,</w:t>
            </w:r>
            <w:r w:rsidR="00CF5322" w:rsidRPr="00CF5322">
              <w:rPr>
                <w:rFonts w:eastAsia="Calibri" w:cs="Times New Roman"/>
                <w:sz w:val="20"/>
                <w:szCs w:val="20"/>
                <w:lang w:eastAsia="en-US"/>
              </w:rPr>
              <w:t>1</w:t>
            </w:r>
          </w:p>
        </w:tc>
        <w:tc>
          <w:tcPr>
            <w:tcW w:w="471" w:type="pct"/>
            <w:gridSpan w:val="2"/>
            <w:tcBorders>
              <w:top w:val="nil"/>
              <w:left w:val="nil"/>
              <w:bottom w:val="nil"/>
              <w:right w:val="nil"/>
            </w:tcBorders>
            <w:shd w:val="clear" w:color="auto" w:fill="F2F2F2" w:themeFill="background1" w:themeFillShade="F2"/>
            <w:noWrap/>
            <w:vAlign w:val="center"/>
          </w:tcPr>
          <w:p w14:paraId="4D59B66D"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66,</w:t>
            </w:r>
            <w:r w:rsidR="00CF5322" w:rsidRPr="00CF5322">
              <w:rPr>
                <w:rFonts w:eastAsia="Calibri" w:cs="Times New Roman"/>
                <w:sz w:val="20"/>
                <w:szCs w:val="20"/>
                <w:lang w:eastAsia="en-US"/>
              </w:rPr>
              <w:t>2</w:t>
            </w:r>
          </w:p>
        </w:tc>
        <w:tc>
          <w:tcPr>
            <w:tcW w:w="417" w:type="pct"/>
            <w:gridSpan w:val="2"/>
            <w:tcBorders>
              <w:top w:val="nil"/>
              <w:left w:val="nil"/>
              <w:bottom w:val="nil"/>
              <w:right w:val="nil"/>
            </w:tcBorders>
            <w:shd w:val="clear" w:color="auto" w:fill="F2F2F2" w:themeFill="background1" w:themeFillShade="F2"/>
            <w:noWrap/>
            <w:vAlign w:val="center"/>
          </w:tcPr>
          <w:p w14:paraId="05B8510A"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65,</w:t>
            </w:r>
            <w:r w:rsidR="00CF5322" w:rsidRPr="00CF5322">
              <w:rPr>
                <w:rFonts w:eastAsia="Calibri" w:cs="Times New Roman"/>
                <w:sz w:val="20"/>
                <w:szCs w:val="20"/>
                <w:lang w:eastAsia="en-US"/>
              </w:rPr>
              <w:t>9</w:t>
            </w:r>
          </w:p>
        </w:tc>
        <w:tc>
          <w:tcPr>
            <w:tcW w:w="427" w:type="pct"/>
            <w:tcBorders>
              <w:top w:val="nil"/>
              <w:left w:val="nil"/>
              <w:bottom w:val="nil"/>
              <w:right w:val="nil"/>
            </w:tcBorders>
            <w:shd w:val="clear" w:color="auto" w:fill="F2F2F2" w:themeFill="background1" w:themeFillShade="F2"/>
            <w:noWrap/>
            <w:vAlign w:val="center"/>
          </w:tcPr>
          <w:p w14:paraId="0B098D28"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66,</w:t>
            </w:r>
            <w:r w:rsidR="00CF5322" w:rsidRPr="00CF5322">
              <w:rPr>
                <w:rFonts w:eastAsia="Calibri" w:cs="Times New Roman"/>
                <w:sz w:val="20"/>
                <w:szCs w:val="20"/>
                <w:lang w:eastAsia="en-US"/>
              </w:rPr>
              <w:t>6</w:t>
            </w:r>
          </w:p>
        </w:tc>
      </w:tr>
      <w:tr w:rsidR="00CF5322" w:rsidRPr="002D53ED" w14:paraId="0ADFEDF1" w14:textId="77777777" w:rsidTr="002F20E4">
        <w:trPr>
          <w:trHeight w:val="340"/>
          <w:jc w:val="center"/>
        </w:trPr>
        <w:tc>
          <w:tcPr>
            <w:tcW w:w="2387" w:type="pct"/>
            <w:tcBorders>
              <w:top w:val="nil"/>
              <w:bottom w:val="nil"/>
              <w:right w:val="nil"/>
            </w:tcBorders>
            <w:shd w:val="clear" w:color="auto" w:fill="FFFFFF" w:themeFill="background1"/>
            <w:noWrap/>
            <w:vAlign w:val="center"/>
          </w:tcPr>
          <w:p w14:paraId="20E54886" w14:textId="77777777" w:rsidR="00CF5322" w:rsidRPr="00CF5322" w:rsidRDefault="00CF5322" w:rsidP="00CF5322">
            <w:pPr>
              <w:spacing w:after="0" w:line="259" w:lineRule="auto"/>
              <w:ind w:firstLineChars="100" w:firstLine="200"/>
              <w:jc w:val="left"/>
              <w:rPr>
                <w:rFonts w:eastAsia="Calibri" w:cs="Times New Roman"/>
                <w:b/>
                <w:sz w:val="20"/>
                <w:szCs w:val="20"/>
                <w:lang w:eastAsia="en-GB"/>
              </w:rPr>
            </w:pPr>
            <w:r w:rsidRPr="00CF5322">
              <w:rPr>
                <w:rFonts w:eastAsia="Calibri" w:cs="Times New Roman"/>
                <w:sz w:val="20"/>
                <w:szCs w:val="20"/>
                <w:lang w:eastAsia="en-GB"/>
              </w:rPr>
              <w:t xml:space="preserve">Цена на неенергийни суровини (в </w:t>
            </w:r>
            <w:proofErr w:type="spellStart"/>
            <w:r w:rsidRPr="00CF5322">
              <w:rPr>
                <w:rFonts w:eastAsia="Calibri" w:cs="Times New Roman"/>
                <w:sz w:val="20"/>
                <w:szCs w:val="20"/>
                <w:lang w:eastAsia="en-GB"/>
              </w:rPr>
              <w:t>щ.д</w:t>
            </w:r>
            <w:proofErr w:type="spellEnd"/>
            <w:r w:rsidRPr="00CF5322">
              <w:rPr>
                <w:rFonts w:eastAsia="Calibri" w:cs="Times New Roman"/>
                <w:sz w:val="20"/>
                <w:szCs w:val="20"/>
                <w:lang w:eastAsia="en-GB"/>
              </w:rPr>
              <w:t>., %)</w:t>
            </w:r>
          </w:p>
        </w:tc>
        <w:tc>
          <w:tcPr>
            <w:tcW w:w="420" w:type="pct"/>
            <w:tcBorders>
              <w:top w:val="nil"/>
              <w:left w:val="nil"/>
              <w:bottom w:val="nil"/>
              <w:right w:val="nil"/>
            </w:tcBorders>
            <w:shd w:val="clear" w:color="auto" w:fill="FFFFFF" w:themeFill="background1"/>
            <w:noWrap/>
            <w:vAlign w:val="center"/>
          </w:tcPr>
          <w:p w14:paraId="171BF8DA"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-9,</w:t>
            </w:r>
            <w:r w:rsidR="00CF5322" w:rsidRPr="00CF5322">
              <w:rPr>
                <w:rFonts w:eastAsia="Calibri" w:cs="Times New Roman"/>
                <w:sz w:val="20"/>
                <w:szCs w:val="20"/>
                <w:lang w:eastAsia="en-US"/>
              </w:rPr>
              <w:t>7</w:t>
            </w:r>
          </w:p>
        </w:tc>
        <w:tc>
          <w:tcPr>
            <w:tcW w:w="450" w:type="pct"/>
            <w:tcBorders>
              <w:top w:val="nil"/>
              <w:left w:val="nil"/>
              <w:bottom w:val="nil"/>
              <w:right w:val="nil"/>
            </w:tcBorders>
            <w:shd w:val="clear" w:color="auto" w:fill="FFFFFF" w:themeFill="background1"/>
            <w:noWrap/>
            <w:vAlign w:val="center"/>
          </w:tcPr>
          <w:p w14:paraId="27267134"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0</w:t>
            </w:r>
          </w:p>
        </w:tc>
        <w:tc>
          <w:tcPr>
            <w:tcW w:w="428" w:type="pct"/>
            <w:gridSpan w:val="2"/>
            <w:tcBorders>
              <w:top w:val="nil"/>
              <w:left w:val="nil"/>
              <w:bottom w:val="nil"/>
              <w:right w:val="nil"/>
            </w:tcBorders>
            <w:shd w:val="clear" w:color="auto" w:fill="F2F2F2" w:themeFill="background1" w:themeFillShade="F2"/>
            <w:noWrap/>
            <w:vAlign w:val="center"/>
          </w:tcPr>
          <w:p w14:paraId="08D19F9A"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9</w:t>
            </w:r>
          </w:p>
        </w:tc>
        <w:tc>
          <w:tcPr>
            <w:tcW w:w="471" w:type="pct"/>
            <w:gridSpan w:val="2"/>
            <w:tcBorders>
              <w:top w:val="nil"/>
              <w:left w:val="nil"/>
              <w:bottom w:val="nil"/>
              <w:right w:val="nil"/>
            </w:tcBorders>
            <w:shd w:val="clear" w:color="auto" w:fill="F2F2F2" w:themeFill="background1" w:themeFillShade="F2"/>
            <w:noWrap/>
            <w:vAlign w:val="center"/>
          </w:tcPr>
          <w:p w14:paraId="6CE483E6"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9</w:t>
            </w:r>
          </w:p>
        </w:tc>
        <w:tc>
          <w:tcPr>
            <w:tcW w:w="417" w:type="pct"/>
            <w:gridSpan w:val="2"/>
            <w:tcBorders>
              <w:top w:val="nil"/>
              <w:left w:val="nil"/>
              <w:bottom w:val="nil"/>
              <w:right w:val="nil"/>
            </w:tcBorders>
            <w:shd w:val="clear" w:color="auto" w:fill="F2F2F2" w:themeFill="background1" w:themeFillShade="F2"/>
            <w:noWrap/>
            <w:vAlign w:val="center"/>
          </w:tcPr>
          <w:p w14:paraId="15A50E29"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F5322" w:rsidRPr="00CF5322">
              <w:rPr>
                <w:rFonts w:eastAsia="Calibri" w:cs="Times New Roman"/>
                <w:sz w:val="20"/>
                <w:szCs w:val="20"/>
                <w:lang w:eastAsia="en-US"/>
              </w:rPr>
              <w:t>3</w:t>
            </w:r>
          </w:p>
        </w:tc>
        <w:tc>
          <w:tcPr>
            <w:tcW w:w="427" w:type="pct"/>
            <w:tcBorders>
              <w:top w:val="nil"/>
              <w:left w:val="nil"/>
              <w:bottom w:val="nil"/>
              <w:right w:val="nil"/>
            </w:tcBorders>
            <w:shd w:val="clear" w:color="auto" w:fill="F2F2F2" w:themeFill="background1" w:themeFillShade="F2"/>
            <w:noWrap/>
            <w:vAlign w:val="center"/>
          </w:tcPr>
          <w:p w14:paraId="781CFB41"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F5322" w:rsidRPr="00CF5322">
              <w:rPr>
                <w:rFonts w:eastAsia="Calibri" w:cs="Times New Roman"/>
                <w:sz w:val="20"/>
                <w:szCs w:val="20"/>
                <w:lang w:eastAsia="en-US"/>
              </w:rPr>
              <w:t>3</w:t>
            </w:r>
          </w:p>
        </w:tc>
      </w:tr>
      <w:tr w:rsidR="00CF5322" w:rsidRPr="002D53ED" w14:paraId="6289B432" w14:textId="77777777" w:rsidTr="002F20E4">
        <w:trPr>
          <w:trHeight w:val="340"/>
          <w:jc w:val="center"/>
        </w:trPr>
        <w:tc>
          <w:tcPr>
            <w:tcW w:w="2387" w:type="pct"/>
            <w:tcBorders>
              <w:top w:val="nil"/>
              <w:bottom w:val="single" w:sz="4" w:space="0" w:color="auto"/>
              <w:right w:val="nil"/>
            </w:tcBorders>
            <w:shd w:val="clear" w:color="auto" w:fill="FFFFFF" w:themeFill="background1"/>
            <w:noWrap/>
            <w:vAlign w:val="center"/>
          </w:tcPr>
          <w:p w14:paraId="4BB7FDCF" w14:textId="77777777" w:rsidR="00CF5322" w:rsidRPr="00CF5322" w:rsidRDefault="002D53ED" w:rsidP="00CF5322">
            <w:pPr>
              <w:spacing w:after="0" w:line="259" w:lineRule="auto"/>
              <w:ind w:firstLineChars="100" w:firstLine="200"/>
              <w:jc w:val="left"/>
              <w:rPr>
                <w:rFonts w:eastAsia="Calibri" w:cs="Times New Roman"/>
                <w:b/>
                <w:sz w:val="20"/>
                <w:szCs w:val="20"/>
                <w:lang w:eastAsia="en-GB"/>
              </w:rPr>
            </w:pPr>
            <w:r w:rsidRPr="002D53ED">
              <w:rPr>
                <w:rFonts w:eastAsia="Calibri" w:cs="Times New Roman"/>
                <w:sz w:val="20"/>
                <w:szCs w:val="20"/>
                <w:lang w:eastAsia="en-GB"/>
              </w:rPr>
              <w:t>EURIBOR 3м. (%)</w:t>
            </w:r>
          </w:p>
        </w:tc>
        <w:tc>
          <w:tcPr>
            <w:tcW w:w="420" w:type="pct"/>
            <w:tcBorders>
              <w:top w:val="nil"/>
              <w:left w:val="nil"/>
              <w:bottom w:val="single" w:sz="4" w:space="0" w:color="auto"/>
              <w:right w:val="nil"/>
            </w:tcBorders>
            <w:shd w:val="clear" w:color="auto" w:fill="FFFFFF" w:themeFill="background1"/>
            <w:noWrap/>
            <w:vAlign w:val="center"/>
          </w:tcPr>
          <w:p w14:paraId="6C90BE12"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1</w:t>
            </w:r>
          </w:p>
        </w:tc>
        <w:tc>
          <w:tcPr>
            <w:tcW w:w="450" w:type="pct"/>
            <w:tcBorders>
              <w:top w:val="nil"/>
              <w:left w:val="nil"/>
              <w:bottom w:val="single" w:sz="4" w:space="0" w:color="auto"/>
              <w:right w:val="nil"/>
            </w:tcBorders>
            <w:shd w:val="clear" w:color="auto" w:fill="FFFFFF" w:themeFill="background1"/>
            <w:noWrap/>
            <w:vAlign w:val="center"/>
          </w:tcPr>
          <w:p w14:paraId="07D8AA82"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F5322" w:rsidRPr="00CF5322">
              <w:rPr>
                <w:rFonts w:eastAsia="Calibri" w:cs="Times New Roman"/>
                <w:sz w:val="20"/>
                <w:szCs w:val="20"/>
                <w:lang w:eastAsia="en-US"/>
              </w:rPr>
              <w:t>3</w:t>
            </w:r>
          </w:p>
        </w:tc>
        <w:tc>
          <w:tcPr>
            <w:tcW w:w="428" w:type="pct"/>
            <w:gridSpan w:val="2"/>
            <w:tcBorders>
              <w:top w:val="nil"/>
              <w:left w:val="nil"/>
              <w:bottom w:val="single" w:sz="4" w:space="0" w:color="auto"/>
              <w:right w:val="nil"/>
            </w:tcBorders>
            <w:shd w:val="clear" w:color="auto" w:fill="F2F2F2" w:themeFill="background1" w:themeFillShade="F2"/>
            <w:noWrap/>
            <w:vAlign w:val="center"/>
          </w:tcPr>
          <w:p w14:paraId="1E11FB58"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0</w:t>
            </w:r>
          </w:p>
        </w:tc>
        <w:tc>
          <w:tcPr>
            <w:tcW w:w="471" w:type="pct"/>
            <w:gridSpan w:val="2"/>
            <w:tcBorders>
              <w:top w:val="nil"/>
              <w:left w:val="nil"/>
              <w:bottom w:val="single" w:sz="4" w:space="0" w:color="auto"/>
              <w:right w:val="nil"/>
            </w:tcBorders>
            <w:shd w:val="clear" w:color="auto" w:fill="F2F2F2" w:themeFill="background1" w:themeFillShade="F2"/>
            <w:noWrap/>
            <w:vAlign w:val="center"/>
          </w:tcPr>
          <w:p w14:paraId="32E428B3"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1</w:t>
            </w:r>
          </w:p>
        </w:tc>
        <w:tc>
          <w:tcPr>
            <w:tcW w:w="417" w:type="pct"/>
            <w:gridSpan w:val="2"/>
            <w:tcBorders>
              <w:top w:val="nil"/>
              <w:left w:val="nil"/>
              <w:bottom w:val="single" w:sz="4" w:space="0" w:color="auto"/>
              <w:right w:val="nil"/>
            </w:tcBorders>
            <w:shd w:val="clear" w:color="auto" w:fill="F2F2F2" w:themeFill="background1" w:themeFillShade="F2"/>
            <w:noWrap/>
            <w:vAlign w:val="center"/>
          </w:tcPr>
          <w:p w14:paraId="75FA2AAC"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F5322" w:rsidRPr="00CF5322">
              <w:rPr>
                <w:rFonts w:eastAsia="Calibri" w:cs="Times New Roman"/>
                <w:sz w:val="20"/>
                <w:szCs w:val="20"/>
                <w:lang w:eastAsia="en-US"/>
              </w:rPr>
              <w:t>9</w:t>
            </w:r>
          </w:p>
        </w:tc>
        <w:tc>
          <w:tcPr>
            <w:tcW w:w="427" w:type="pct"/>
            <w:tcBorders>
              <w:top w:val="nil"/>
              <w:left w:val="nil"/>
              <w:bottom w:val="single" w:sz="4" w:space="0" w:color="auto"/>
              <w:right w:val="nil"/>
            </w:tcBorders>
            <w:shd w:val="clear" w:color="auto" w:fill="F2F2F2" w:themeFill="background1" w:themeFillShade="F2"/>
            <w:noWrap/>
            <w:vAlign w:val="center"/>
          </w:tcPr>
          <w:p w14:paraId="19440BE9" w14:textId="77777777" w:rsidR="00CF5322" w:rsidRPr="00CF5322" w:rsidRDefault="002D53ED" w:rsidP="00CF5322">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F5322" w:rsidRPr="00CF5322">
              <w:rPr>
                <w:rFonts w:eastAsia="Calibri" w:cs="Times New Roman"/>
                <w:sz w:val="20"/>
                <w:szCs w:val="20"/>
                <w:lang w:eastAsia="en-US"/>
              </w:rPr>
              <w:t>0</w:t>
            </w:r>
          </w:p>
        </w:tc>
      </w:tr>
    </w:tbl>
    <w:p w14:paraId="57D2D81A" w14:textId="77777777" w:rsidR="008C43C6" w:rsidRPr="002D53ED" w:rsidRDefault="008C43C6" w:rsidP="008C43C6">
      <w:pPr>
        <w:pStyle w:val="Source0"/>
        <w:rPr>
          <w:rFonts w:eastAsiaTheme="minorHAnsi"/>
          <w:sz w:val="18"/>
          <w:szCs w:val="18"/>
          <w:lang w:eastAsia="en-US"/>
        </w:rPr>
      </w:pPr>
      <w:r w:rsidRPr="002D53ED">
        <w:rPr>
          <w:sz w:val="18"/>
          <w:szCs w:val="18"/>
        </w:rPr>
        <w:t>Източник:</w:t>
      </w:r>
      <w:r w:rsidR="00421CA8" w:rsidRPr="002D53ED">
        <w:rPr>
          <w:rFonts w:asciiTheme="minorHAnsi" w:eastAsiaTheme="minorHAnsi" w:hAnsiTheme="minorHAnsi"/>
          <w:sz w:val="18"/>
          <w:szCs w:val="18"/>
          <w:lang w:eastAsia="en-US"/>
        </w:rPr>
        <w:t xml:space="preserve"> </w:t>
      </w:r>
      <w:r w:rsidR="00421CA8" w:rsidRPr="002D53ED">
        <w:rPr>
          <w:sz w:val="18"/>
          <w:szCs w:val="18"/>
        </w:rPr>
        <w:t>МВФ</w:t>
      </w:r>
      <w:r w:rsidR="00E44EB7" w:rsidRPr="002D53ED">
        <w:rPr>
          <w:rStyle w:val="FootnoteReference"/>
          <w:szCs w:val="18"/>
        </w:rPr>
        <w:footnoteReference w:id="4"/>
      </w:r>
      <w:r w:rsidR="00421CA8" w:rsidRPr="002D53ED">
        <w:rPr>
          <w:sz w:val="18"/>
          <w:szCs w:val="18"/>
        </w:rPr>
        <w:t>, СБ</w:t>
      </w:r>
      <w:r w:rsidR="00E44EB7" w:rsidRPr="002D53ED">
        <w:rPr>
          <w:rStyle w:val="FootnoteReference"/>
          <w:szCs w:val="18"/>
        </w:rPr>
        <w:footnoteReference w:id="5"/>
      </w:r>
      <w:r w:rsidR="00421CA8" w:rsidRPr="002D53ED">
        <w:rPr>
          <w:sz w:val="18"/>
          <w:szCs w:val="18"/>
        </w:rPr>
        <w:t>, ЕК</w:t>
      </w:r>
      <w:r w:rsidR="00AA2630" w:rsidRPr="002D53ED">
        <w:rPr>
          <w:rStyle w:val="FootnoteReference"/>
          <w:szCs w:val="18"/>
        </w:rPr>
        <w:footnoteReference w:id="6"/>
      </w:r>
      <w:r w:rsidR="00421CA8" w:rsidRPr="002D53ED">
        <w:rPr>
          <w:sz w:val="18"/>
          <w:szCs w:val="18"/>
        </w:rPr>
        <w:t>, Евростат</w:t>
      </w:r>
      <w:r w:rsidR="00AA2630" w:rsidRPr="002D53ED">
        <w:rPr>
          <w:rStyle w:val="FootnoteReference"/>
          <w:szCs w:val="18"/>
        </w:rPr>
        <w:footnoteReference w:id="7"/>
      </w:r>
      <w:r w:rsidR="00421CA8" w:rsidRPr="002D53ED">
        <w:rPr>
          <w:sz w:val="18"/>
          <w:szCs w:val="18"/>
        </w:rPr>
        <w:t>, ЕЦБ</w:t>
      </w:r>
      <w:r w:rsidR="00435404">
        <w:rPr>
          <w:rStyle w:val="FootnoteReference"/>
          <w:szCs w:val="18"/>
        </w:rPr>
        <w:footnoteReference w:id="8"/>
      </w:r>
      <w:r w:rsidR="00421CA8" w:rsidRPr="002D53ED">
        <w:rPr>
          <w:sz w:val="18"/>
          <w:szCs w:val="18"/>
        </w:rPr>
        <w:t>, МФ</w:t>
      </w:r>
      <w:r w:rsidR="00AA2630" w:rsidRPr="002D53ED">
        <w:rPr>
          <w:rStyle w:val="FootnoteReference"/>
          <w:szCs w:val="18"/>
        </w:rPr>
        <w:footnoteReference w:id="9"/>
      </w:r>
      <w:r w:rsidR="001D19AD" w:rsidRPr="002D53ED">
        <w:rPr>
          <w:rFonts w:eastAsiaTheme="minorHAnsi" w:cs="Times New Roman"/>
          <w:sz w:val="24"/>
          <w:szCs w:val="20"/>
          <w:lang w:eastAsia="en-US"/>
        </w:rPr>
        <w:t xml:space="preserve"> </w:t>
      </w:r>
      <w:r w:rsidR="00EF2313" w:rsidRPr="002D53ED">
        <w:rPr>
          <w:rFonts w:asciiTheme="minorHAnsi" w:eastAsiaTheme="minorHAnsi" w:hAnsiTheme="minorHAnsi"/>
          <w:i/>
          <w:sz w:val="22"/>
          <w:lang w:eastAsia="en-US"/>
        </w:rPr>
        <w:t xml:space="preserve"> </w:t>
      </w:r>
    </w:p>
    <w:p w14:paraId="4EB9338A" w14:textId="77777777" w:rsidR="006E459E" w:rsidRDefault="006E459E" w:rsidP="007D78DE">
      <w:pPr>
        <w:rPr>
          <w:bCs/>
          <w:szCs w:val="24"/>
        </w:rPr>
      </w:pPr>
    </w:p>
    <w:p w14:paraId="31FB03A9" w14:textId="77777777" w:rsidR="000840A9" w:rsidRDefault="000840A9" w:rsidP="007D78DE">
      <w:pPr>
        <w:rPr>
          <w:bCs/>
          <w:szCs w:val="24"/>
        </w:rPr>
      </w:pPr>
    </w:p>
    <w:p w14:paraId="05C82BA9" w14:textId="77777777" w:rsidR="00825016" w:rsidRDefault="00825016" w:rsidP="007D78DE">
      <w:pPr>
        <w:rPr>
          <w:bCs/>
          <w:szCs w:val="24"/>
        </w:rPr>
      </w:pPr>
    </w:p>
    <w:p w14:paraId="6B3FADE3" w14:textId="77777777" w:rsidR="004E5536" w:rsidRDefault="004E5536" w:rsidP="00825016">
      <w:pPr>
        <w:pStyle w:val="Heading2"/>
        <w:numPr>
          <w:ilvl w:val="1"/>
          <w:numId w:val="3"/>
        </w:numPr>
        <w:ind w:hanging="270"/>
        <w:jc w:val="both"/>
      </w:pPr>
      <w:bookmarkStart w:id="140" w:name="_Toc216029346"/>
      <w:r>
        <w:lastRenderedPageBreak/>
        <w:t>Макроиконо</w:t>
      </w:r>
      <w:r w:rsidR="007838B5">
        <w:t>мическа прогноза за периода 2025</w:t>
      </w:r>
      <w:r>
        <w:t>-2028</w:t>
      </w:r>
      <w:r w:rsidR="007943D8">
        <w:t xml:space="preserve"> </w:t>
      </w:r>
      <w:r>
        <w:t>г.</w:t>
      </w:r>
      <w:bookmarkEnd w:id="140"/>
    </w:p>
    <w:p w14:paraId="04FEBFDA" w14:textId="77777777" w:rsidR="00CE45AD" w:rsidRPr="009D74C3" w:rsidRDefault="00133400" w:rsidP="009D74C3">
      <w:pPr>
        <w:pStyle w:val="Caption"/>
        <w:rPr>
          <w:rFonts w:eastAsia="Times New Roman" w:cs="Times New Roman"/>
          <w:sz w:val="22"/>
          <w:szCs w:val="22"/>
          <w:lang w:eastAsia="en-US"/>
        </w:rPr>
      </w:pPr>
      <w:bookmarkStart w:id="141" w:name="_Toc213229050"/>
      <w:bookmarkStart w:id="142" w:name="_Toc53751519"/>
      <w:bookmarkStart w:id="143" w:name="_Toc464737630"/>
      <w:bookmarkStart w:id="144" w:name="_Toc464646349"/>
      <w:bookmarkStart w:id="145" w:name="_Toc464644956"/>
      <w:bookmarkEnd w:id="126"/>
      <w:bookmarkEnd w:id="127"/>
      <w:bookmarkEnd w:id="128"/>
      <w:bookmarkEnd w:id="129"/>
      <w:bookmarkEnd w:id="130"/>
      <w:bookmarkEnd w:id="131"/>
      <w:bookmarkEnd w:id="132"/>
      <w:bookmarkEnd w:id="133"/>
      <w:bookmarkEnd w:id="134"/>
      <w:bookmarkEnd w:id="135"/>
      <w:bookmarkEnd w:id="136"/>
      <w:bookmarkEnd w:id="137"/>
      <w:r w:rsidRPr="008200BE">
        <w:t xml:space="preserve">Табл. </w:t>
      </w:r>
      <w:r w:rsidR="00974F02">
        <w:fldChar w:fldCharType="begin"/>
      </w:r>
      <w:r w:rsidR="00974F02">
        <w:instrText xml:space="preserve"> STYLEREF 1 \s </w:instrText>
      </w:r>
      <w:r w:rsidR="00974F02">
        <w:fldChar w:fldCharType="separate"/>
      </w:r>
      <w:r w:rsidR="00841DFA">
        <w:rPr>
          <w:noProof/>
        </w:rPr>
        <w:t>I</w:t>
      </w:r>
      <w:r w:rsidR="00974F02">
        <w:rPr>
          <w:noProof/>
        </w:rPr>
        <w:fldChar w:fldCharType="end"/>
      </w:r>
      <w:r w:rsidRPr="008200BE">
        <w:noBreakHyphen/>
      </w:r>
      <w:r w:rsidR="00974F02">
        <w:fldChar w:fldCharType="begin"/>
      </w:r>
      <w:r w:rsidR="00974F02">
        <w:instrText xml:space="preserve"> SEQ Табл. \* ARABIC \s 1 </w:instrText>
      </w:r>
      <w:r w:rsidR="00974F02">
        <w:fldChar w:fldCharType="separate"/>
      </w:r>
      <w:r w:rsidR="00841DFA">
        <w:rPr>
          <w:noProof/>
        </w:rPr>
        <w:t>2</w:t>
      </w:r>
      <w:r w:rsidR="00974F02">
        <w:rPr>
          <w:noProof/>
        </w:rPr>
        <w:fldChar w:fldCharType="end"/>
      </w:r>
      <w:r w:rsidRPr="008200BE">
        <w:t>:</w:t>
      </w:r>
      <w:r w:rsidRPr="008200BE">
        <w:tab/>
      </w:r>
      <w:r w:rsidRPr="008200BE">
        <w:rPr>
          <w:rFonts w:eastAsia="Times New Roman" w:cs="Times New Roman"/>
          <w:sz w:val="22"/>
          <w:szCs w:val="22"/>
          <w:lang w:eastAsia="en-US"/>
        </w:rPr>
        <w:t>Основни макроикономически показатели</w:t>
      </w:r>
      <w:bookmarkEnd w:id="141"/>
    </w:p>
    <w:tbl>
      <w:tblPr>
        <w:tblW w:w="5468" w:type="pct"/>
        <w:jc w:val="center"/>
        <w:tblBorders>
          <w:top w:val="single" w:sz="6" w:space="0" w:color="838383"/>
          <w:bottom w:val="single" w:sz="6" w:space="0" w:color="838383"/>
        </w:tblBorders>
        <w:shd w:val="clear" w:color="auto" w:fill="FFFFFF" w:themeFill="background1"/>
        <w:tblLayout w:type="fixed"/>
        <w:tblLook w:val="00A0" w:firstRow="1" w:lastRow="0" w:firstColumn="1" w:lastColumn="0" w:noHBand="0" w:noVBand="0"/>
      </w:tblPr>
      <w:tblGrid>
        <w:gridCol w:w="3778"/>
        <w:gridCol w:w="990"/>
        <w:gridCol w:w="1141"/>
        <w:gridCol w:w="1006"/>
        <w:gridCol w:w="1006"/>
        <w:gridCol w:w="988"/>
        <w:gridCol w:w="1010"/>
      </w:tblGrid>
      <w:tr w:rsidR="00CE45AD" w:rsidRPr="00CE45AD" w14:paraId="34F792EB" w14:textId="77777777" w:rsidTr="002F20E4">
        <w:trPr>
          <w:trHeight w:val="20"/>
          <w:tblHeader/>
          <w:jc w:val="center"/>
        </w:trPr>
        <w:tc>
          <w:tcPr>
            <w:tcW w:w="1905" w:type="pct"/>
            <w:vMerge w:val="restart"/>
            <w:tcBorders>
              <w:top w:val="single" w:sz="4" w:space="0" w:color="auto"/>
              <w:bottom w:val="single" w:sz="4" w:space="0" w:color="auto"/>
            </w:tcBorders>
            <w:shd w:val="clear" w:color="auto" w:fill="FFFFFF" w:themeFill="background1"/>
            <w:vAlign w:val="center"/>
          </w:tcPr>
          <w:p w14:paraId="3C12AE57"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 xml:space="preserve">Основни макроикономически </w:t>
            </w:r>
          </w:p>
          <w:p w14:paraId="33B71686"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показатели</w:t>
            </w:r>
          </w:p>
        </w:tc>
        <w:tc>
          <w:tcPr>
            <w:tcW w:w="1074" w:type="pct"/>
            <w:gridSpan w:val="2"/>
            <w:tcBorders>
              <w:top w:val="single" w:sz="4" w:space="0" w:color="auto"/>
              <w:bottom w:val="single" w:sz="4" w:space="0" w:color="auto"/>
            </w:tcBorders>
            <w:shd w:val="clear" w:color="auto" w:fill="FFFFFF" w:themeFill="background1"/>
            <w:noWrap/>
            <w:vAlign w:val="center"/>
          </w:tcPr>
          <w:p w14:paraId="11E7E122"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Отчетни данни</w:t>
            </w:r>
          </w:p>
        </w:tc>
        <w:tc>
          <w:tcPr>
            <w:tcW w:w="2021" w:type="pct"/>
            <w:gridSpan w:val="4"/>
            <w:tcBorders>
              <w:top w:val="single" w:sz="4" w:space="0" w:color="auto"/>
              <w:bottom w:val="single" w:sz="4" w:space="0" w:color="auto"/>
            </w:tcBorders>
            <w:shd w:val="clear" w:color="auto" w:fill="F2F2F2" w:themeFill="background1" w:themeFillShade="F2"/>
            <w:noWrap/>
            <w:vAlign w:val="center"/>
          </w:tcPr>
          <w:p w14:paraId="07B48FA6"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Прогноза</w:t>
            </w:r>
          </w:p>
        </w:tc>
      </w:tr>
      <w:tr w:rsidR="00CE45AD" w:rsidRPr="00CE45AD" w14:paraId="15C0B375" w14:textId="77777777" w:rsidTr="001F2FB5">
        <w:trPr>
          <w:trHeight w:val="20"/>
          <w:tblHeader/>
          <w:jc w:val="center"/>
        </w:trPr>
        <w:tc>
          <w:tcPr>
            <w:tcW w:w="1905" w:type="pct"/>
            <w:vMerge/>
            <w:tcBorders>
              <w:top w:val="single" w:sz="4" w:space="0" w:color="auto"/>
              <w:bottom w:val="single" w:sz="4" w:space="0" w:color="auto"/>
            </w:tcBorders>
            <w:shd w:val="clear" w:color="auto" w:fill="FFFFFF" w:themeFill="background1"/>
            <w:noWrap/>
          </w:tcPr>
          <w:p w14:paraId="18CC2361" w14:textId="77777777" w:rsidR="00CE45AD" w:rsidRPr="00CE45AD" w:rsidRDefault="00CE45AD" w:rsidP="00CE45AD">
            <w:pPr>
              <w:spacing w:before="40" w:after="40" w:line="259" w:lineRule="auto"/>
              <w:jc w:val="left"/>
              <w:rPr>
                <w:rFonts w:eastAsia="Calibri" w:cs="Times New Roman"/>
                <w:b/>
                <w:bCs/>
                <w:sz w:val="20"/>
                <w:szCs w:val="20"/>
                <w:lang w:eastAsia="en-GB"/>
              </w:rPr>
            </w:pPr>
          </w:p>
        </w:tc>
        <w:tc>
          <w:tcPr>
            <w:tcW w:w="499" w:type="pct"/>
            <w:tcBorders>
              <w:top w:val="single" w:sz="4" w:space="0" w:color="auto"/>
              <w:bottom w:val="single" w:sz="4" w:space="0" w:color="auto"/>
            </w:tcBorders>
            <w:shd w:val="clear" w:color="auto" w:fill="FFFFFF" w:themeFill="background1"/>
            <w:noWrap/>
            <w:vAlign w:val="center"/>
          </w:tcPr>
          <w:p w14:paraId="6A760A31"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2023</w:t>
            </w:r>
          </w:p>
        </w:tc>
        <w:tc>
          <w:tcPr>
            <w:tcW w:w="575" w:type="pct"/>
            <w:tcBorders>
              <w:top w:val="single" w:sz="4" w:space="0" w:color="auto"/>
              <w:bottom w:val="single" w:sz="4" w:space="0" w:color="auto"/>
            </w:tcBorders>
            <w:shd w:val="clear" w:color="auto" w:fill="FFFFFF" w:themeFill="background1"/>
            <w:noWrap/>
            <w:vAlign w:val="center"/>
          </w:tcPr>
          <w:p w14:paraId="4D71DE5B"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2024</w:t>
            </w:r>
          </w:p>
        </w:tc>
        <w:tc>
          <w:tcPr>
            <w:tcW w:w="507" w:type="pct"/>
            <w:tcBorders>
              <w:top w:val="single" w:sz="4" w:space="0" w:color="auto"/>
              <w:bottom w:val="single" w:sz="4" w:space="0" w:color="auto"/>
            </w:tcBorders>
            <w:shd w:val="clear" w:color="auto" w:fill="F2F2F2" w:themeFill="background1" w:themeFillShade="F2"/>
            <w:noWrap/>
            <w:vAlign w:val="center"/>
          </w:tcPr>
          <w:p w14:paraId="246C19C2"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2025</w:t>
            </w:r>
          </w:p>
        </w:tc>
        <w:tc>
          <w:tcPr>
            <w:tcW w:w="507" w:type="pct"/>
            <w:tcBorders>
              <w:top w:val="single" w:sz="4" w:space="0" w:color="auto"/>
              <w:bottom w:val="single" w:sz="4" w:space="0" w:color="auto"/>
            </w:tcBorders>
            <w:shd w:val="clear" w:color="auto" w:fill="F2F2F2" w:themeFill="background1" w:themeFillShade="F2"/>
            <w:noWrap/>
            <w:vAlign w:val="center"/>
          </w:tcPr>
          <w:p w14:paraId="6224F301"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2026</w:t>
            </w:r>
          </w:p>
        </w:tc>
        <w:tc>
          <w:tcPr>
            <w:tcW w:w="498" w:type="pct"/>
            <w:tcBorders>
              <w:top w:val="single" w:sz="4" w:space="0" w:color="auto"/>
              <w:bottom w:val="single" w:sz="4" w:space="0" w:color="auto"/>
            </w:tcBorders>
            <w:shd w:val="clear" w:color="auto" w:fill="F2F2F2" w:themeFill="background1" w:themeFillShade="F2"/>
            <w:noWrap/>
            <w:vAlign w:val="center"/>
          </w:tcPr>
          <w:p w14:paraId="3E8B4ACD"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2027</w:t>
            </w:r>
          </w:p>
        </w:tc>
        <w:tc>
          <w:tcPr>
            <w:tcW w:w="509" w:type="pct"/>
            <w:tcBorders>
              <w:top w:val="single" w:sz="4" w:space="0" w:color="auto"/>
              <w:bottom w:val="single" w:sz="4" w:space="0" w:color="auto"/>
            </w:tcBorders>
            <w:shd w:val="clear" w:color="auto" w:fill="F2F2F2" w:themeFill="background1" w:themeFillShade="F2"/>
            <w:noWrap/>
            <w:vAlign w:val="center"/>
          </w:tcPr>
          <w:p w14:paraId="00C1615C" w14:textId="77777777" w:rsidR="00CE45AD" w:rsidRPr="00CE45AD" w:rsidRDefault="00CE45AD" w:rsidP="00CE45AD">
            <w:pPr>
              <w:spacing w:before="40" w:after="40" w:line="259" w:lineRule="auto"/>
              <w:jc w:val="center"/>
              <w:rPr>
                <w:rFonts w:eastAsia="Calibri" w:cs="Times New Roman"/>
                <w:b/>
                <w:bCs/>
                <w:sz w:val="20"/>
                <w:szCs w:val="20"/>
                <w:lang w:eastAsia="en-GB"/>
              </w:rPr>
            </w:pPr>
            <w:r w:rsidRPr="00CE45AD">
              <w:rPr>
                <w:rFonts w:eastAsia="Calibri" w:cs="Times New Roman"/>
                <w:b/>
                <w:bCs/>
                <w:sz w:val="20"/>
                <w:szCs w:val="20"/>
                <w:lang w:eastAsia="en-GB"/>
              </w:rPr>
              <w:t>2028</w:t>
            </w:r>
          </w:p>
        </w:tc>
      </w:tr>
      <w:tr w:rsidR="00CE45AD" w:rsidRPr="00CE45AD" w14:paraId="5857C95D" w14:textId="77777777" w:rsidTr="008C0F1F">
        <w:trPr>
          <w:trHeight w:val="20"/>
          <w:jc w:val="center"/>
        </w:trPr>
        <w:tc>
          <w:tcPr>
            <w:tcW w:w="5000" w:type="pct"/>
            <w:gridSpan w:val="7"/>
            <w:tcBorders>
              <w:top w:val="single" w:sz="4" w:space="0" w:color="auto"/>
              <w:bottom w:val="nil"/>
            </w:tcBorders>
            <w:shd w:val="clear" w:color="auto" w:fill="F2F2F2" w:themeFill="background1" w:themeFillShade="F2"/>
            <w:vAlign w:val="center"/>
          </w:tcPr>
          <w:p w14:paraId="1CB1495A"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Брутен вътрешен продукт</w:t>
            </w:r>
          </w:p>
        </w:tc>
      </w:tr>
      <w:tr w:rsidR="00CE45AD" w:rsidRPr="00CE45AD" w14:paraId="369E5F89" w14:textId="77777777" w:rsidTr="001F2FB5">
        <w:trPr>
          <w:trHeight w:val="20"/>
          <w:jc w:val="center"/>
        </w:trPr>
        <w:tc>
          <w:tcPr>
            <w:tcW w:w="1905" w:type="pct"/>
            <w:tcBorders>
              <w:top w:val="nil"/>
            </w:tcBorders>
            <w:shd w:val="clear" w:color="auto" w:fill="FFFFFF" w:themeFill="background1"/>
            <w:noWrap/>
            <w:vAlign w:val="center"/>
          </w:tcPr>
          <w:p w14:paraId="3AD4D7CE" w14:textId="77777777" w:rsidR="00CE45AD" w:rsidRPr="00CE45AD" w:rsidRDefault="00CE45AD" w:rsidP="00CE45AD">
            <w:pPr>
              <w:spacing w:after="0" w:line="259" w:lineRule="auto"/>
              <w:jc w:val="left"/>
              <w:rPr>
                <w:rFonts w:eastAsia="Calibri" w:cs="Times New Roman"/>
                <w:bCs/>
                <w:sz w:val="20"/>
                <w:szCs w:val="20"/>
                <w:lang w:eastAsia="en-GB"/>
              </w:rPr>
            </w:pPr>
            <w:r w:rsidRPr="00CE45AD">
              <w:rPr>
                <w:rFonts w:eastAsia="Calibri" w:cs="Times New Roman"/>
                <w:bCs/>
                <w:sz w:val="20"/>
                <w:szCs w:val="20"/>
                <w:lang w:eastAsia="en-GB"/>
              </w:rPr>
              <w:t>БВП (млн.</w:t>
            </w:r>
            <w:r w:rsidR="00C5208D">
              <w:rPr>
                <w:rFonts w:eastAsia="Calibri" w:cs="Times New Roman"/>
                <w:bCs/>
                <w:sz w:val="20"/>
                <w:szCs w:val="20"/>
                <w:lang w:eastAsia="en-GB"/>
              </w:rPr>
              <w:t xml:space="preserve"> </w:t>
            </w:r>
            <w:r w:rsidRPr="00CE45AD">
              <w:rPr>
                <w:rFonts w:eastAsia="Calibri" w:cs="Times New Roman"/>
                <w:bCs/>
                <w:sz w:val="20"/>
                <w:szCs w:val="20"/>
                <w:lang w:eastAsia="en-GB"/>
              </w:rPr>
              <w:t>евро)</w:t>
            </w:r>
          </w:p>
        </w:tc>
        <w:tc>
          <w:tcPr>
            <w:tcW w:w="499" w:type="pct"/>
            <w:tcBorders>
              <w:top w:val="nil"/>
              <w:left w:val="nil"/>
              <w:bottom w:val="nil"/>
              <w:right w:val="nil"/>
            </w:tcBorders>
            <w:shd w:val="clear" w:color="auto" w:fill="FFFFFF" w:themeFill="background1"/>
            <w:noWrap/>
            <w:vAlign w:val="center"/>
          </w:tcPr>
          <w:p w14:paraId="1267C1EC" w14:textId="77777777" w:rsidR="00CE45AD" w:rsidRPr="00CE45AD" w:rsidRDefault="00CE45AD" w:rsidP="00CE45AD">
            <w:pPr>
              <w:spacing w:after="0" w:line="259" w:lineRule="auto"/>
              <w:ind w:firstLineChars="100" w:firstLine="200"/>
              <w:jc w:val="right"/>
              <w:rPr>
                <w:rFonts w:eastAsia="Calibri" w:cs="Times New Roman"/>
                <w:sz w:val="20"/>
                <w:szCs w:val="20"/>
                <w:lang w:eastAsia="en-US"/>
              </w:rPr>
            </w:pPr>
            <w:r w:rsidRPr="00CE45AD">
              <w:rPr>
                <w:rFonts w:eastAsia="Calibri" w:cs="Times New Roman"/>
                <w:sz w:val="20"/>
                <w:szCs w:val="20"/>
                <w:lang w:eastAsia="en-US"/>
              </w:rPr>
              <w:t>94 525</w:t>
            </w:r>
          </w:p>
        </w:tc>
        <w:tc>
          <w:tcPr>
            <w:tcW w:w="575" w:type="pct"/>
            <w:tcBorders>
              <w:top w:val="nil"/>
              <w:left w:val="nil"/>
              <w:bottom w:val="nil"/>
              <w:right w:val="nil"/>
            </w:tcBorders>
            <w:shd w:val="clear" w:color="auto" w:fill="FFFFFF" w:themeFill="background1"/>
            <w:noWrap/>
            <w:vAlign w:val="center"/>
          </w:tcPr>
          <w:p w14:paraId="3187242C" w14:textId="77777777" w:rsidR="00CE45AD" w:rsidRPr="00CE45AD" w:rsidRDefault="00CE45AD" w:rsidP="00CE45AD">
            <w:pPr>
              <w:spacing w:after="0" w:line="259" w:lineRule="auto"/>
              <w:ind w:firstLineChars="100" w:firstLine="200"/>
              <w:jc w:val="right"/>
              <w:rPr>
                <w:rFonts w:eastAsia="Calibri" w:cs="Times New Roman"/>
                <w:sz w:val="20"/>
                <w:szCs w:val="20"/>
                <w:lang w:eastAsia="en-US"/>
              </w:rPr>
            </w:pPr>
            <w:r w:rsidRPr="00CE45AD">
              <w:rPr>
                <w:rFonts w:eastAsia="Calibri" w:cs="Times New Roman"/>
                <w:sz w:val="20"/>
                <w:szCs w:val="20"/>
                <w:lang w:eastAsia="en-US"/>
              </w:rPr>
              <w:t>104 767</w:t>
            </w:r>
          </w:p>
        </w:tc>
        <w:tc>
          <w:tcPr>
            <w:tcW w:w="507" w:type="pct"/>
            <w:tcBorders>
              <w:top w:val="nil"/>
              <w:left w:val="nil"/>
              <w:bottom w:val="nil"/>
              <w:right w:val="nil"/>
            </w:tcBorders>
            <w:shd w:val="clear" w:color="auto" w:fill="F2F2F2" w:themeFill="background1" w:themeFillShade="F2"/>
            <w:noWrap/>
            <w:vAlign w:val="center"/>
          </w:tcPr>
          <w:p w14:paraId="2883709F"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112 903</w:t>
            </w:r>
          </w:p>
        </w:tc>
        <w:tc>
          <w:tcPr>
            <w:tcW w:w="507" w:type="pct"/>
            <w:tcBorders>
              <w:top w:val="nil"/>
              <w:left w:val="nil"/>
              <w:bottom w:val="nil"/>
              <w:right w:val="nil"/>
            </w:tcBorders>
            <w:shd w:val="clear" w:color="auto" w:fill="F2F2F2" w:themeFill="background1" w:themeFillShade="F2"/>
            <w:noWrap/>
            <w:vAlign w:val="center"/>
          </w:tcPr>
          <w:p w14:paraId="558445EC"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120 163</w:t>
            </w:r>
          </w:p>
        </w:tc>
        <w:tc>
          <w:tcPr>
            <w:tcW w:w="498" w:type="pct"/>
            <w:tcBorders>
              <w:top w:val="nil"/>
              <w:left w:val="nil"/>
              <w:bottom w:val="nil"/>
              <w:right w:val="nil"/>
            </w:tcBorders>
            <w:shd w:val="clear" w:color="auto" w:fill="F2F2F2" w:themeFill="background1" w:themeFillShade="F2"/>
            <w:noWrap/>
            <w:vAlign w:val="center"/>
          </w:tcPr>
          <w:p w14:paraId="4E7B577C"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127 053</w:t>
            </w:r>
          </w:p>
        </w:tc>
        <w:tc>
          <w:tcPr>
            <w:tcW w:w="509" w:type="pct"/>
            <w:tcBorders>
              <w:top w:val="nil"/>
              <w:left w:val="nil"/>
              <w:bottom w:val="nil"/>
              <w:right w:val="nil"/>
            </w:tcBorders>
            <w:shd w:val="clear" w:color="auto" w:fill="F2F2F2" w:themeFill="background1" w:themeFillShade="F2"/>
            <w:noWrap/>
            <w:vAlign w:val="center"/>
          </w:tcPr>
          <w:p w14:paraId="6CD80756" w14:textId="77777777" w:rsidR="00CE45AD" w:rsidRPr="00CE45AD" w:rsidRDefault="00CE45AD" w:rsidP="00CE45AD">
            <w:pPr>
              <w:spacing w:after="0" w:line="259" w:lineRule="auto"/>
              <w:jc w:val="right"/>
              <w:rPr>
                <w:rFonts w:eastAsia="Calibri" w:cs="Times New Roman"/>
                <w:sz w:val="20"/>
                <w:szCs w:val="20"/>
                <w:lang w:eastAsia="en-US"/>
              </w:rPr>
            </w:pPr>
            <w:r w:rsidRPr="00CE45AD">
              <w:rPr>
                <w:rFonts w:eastAsia="Calibri" w:cs="Times New Roman"/>
                <w:sz w:val="20"/>
                <w:szCs w:val="20"/>
                <w:lang w:eastAsia="en-US"/>
              </w:rPr>
              <w:t>133 739</w:t>
            </w:r>
          </w:p>
        </w:tc>
      </w:tr>
      <w:tr w:rsidR="00CE45AD" w:rsidRPr="00CE45AD" w14:paraId="4FAEEE92" w14:textId="77777777" w:rsidTr="001F2FB5">
        <w:trPr>
          <w:trHeight w:val="20"/>
          <w:jc w:val="center"/>
        </w:trPr>
        <w:tc>
          <w:tcPr>
            <w:tcW w:w="1905" w:type="pct"/>
            <w:shd w:val="clear" w:color="auto" w:fill="FFFFFF" w:themeFill="background1"/>
            <w:noWrap/>
            <w:vAlign w:val="center"/>
          </w:tcPr>
          <w:p w14:paraId="74C3D6D2" w14:textId="77777777" w:rsidR="00CE45AD" w:rsidRPr="00CE45AD" w:rsidRDefault="00CE45AD" w:rsidP="00CE45AD">
            <w:pPr>
              <w:spacing w:after="0" w:line="259" w:lineRule="auto"/>
              <w:jc w:val="left"/>
              <w:rPr>
                <w:rFonts w:eastAsia="Calibri" w:cs="Times New Roman"/>
                <w:bCs/>
                <w:sz w:val="20"/>
                <w:szCs w:val="20"/>
                <w:lang w:eastAsia="en-GB"/>
              </w:rPr>
            </w:pPr>
            <w:r w:rsidRPr="00CE45AD">
              <w:rPr>
                <w:rFonts w:eastAsia="Calibri" w:cs="Times New Roman"/>
                <w:bCs/>
                <w:sz w:val="20"/>
                <w:szCs w:val="20"/>
                <w:lang w:eastAsia="en-GB"/>
              </w:rPr>
              <w:t>БВП (реален растеж, %)</w:t>
            </w:r>
          </w:p>
        </w:tc>
        <w:tc>
          <w:tcPr>
            <w:tcW w:w="499" w:type="pct"/>
            <w:tcBorders>
              <w:top w:val="nil"/>
              <w:left w:val="nil"/>
              <w:bottom w:val="nil"/>
              <w:right w:val="nil"/>
            </w:tcBorders>
            <w:shd w:val="clear" w:color="auto" w:fill="FFFFFF" w:themeFill="background1"/>
            <w:noWrap/>
            <w:vAlign w:val="center"/>
          </w:tcPr>
          <w:p w14:paraId="18151E24"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7</w:t>
            </w:r>
          </w:p>
        </w:tc>
        <w:tc>
          <w:tcPr>
            <w:tcW w:w="575" w:type="pct"/>
            <w:tcBorders>
              <w:top w:val="nil"/>
              <w:left w:val="nil"/>
              <w:bottom w:val="nil"/>
              <w:right w:val="nil"/>
            </w:tcBorders>
            <w:shd w:val="clear" w:color="auto" w:fill="FFFFFF" w:themeFill="background1"/>
            <w:noWrap/>
            <w:vAlign w:val="center"/>
          </w:tcPr>
          <w:p w14:paraId="7D321B9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4</w:t>
            </w:r>
          </w:p>
        </w:tc>
        <w:tc>
          <w:tcPr>
            <w:tcW w:w="507" w:type="pct"/>
            <w:tcBorders>
              <w:top w:val="nil"/>
              <w:left w:val="nil"/>
              <w:bottom w:val="nil"/>
              <w:right w:val="nil"/>
            </w:tcBorders>
            <w:shd w:val="clear" w:color="auto" w:fill="F2F2F2" w:themeFill="background1" w:themeFillShade="F2"/>
            <w:noWrap/>
            <w:vAlign w:val="center"/>
          </w:tcPr>
          <w:p w14:paraId="065AAD1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0</w:t>
            </w:r>
          </w:p>
        </w:tc>
        <w:tc>
          <w:tcPr>
            <w:tcW w:w="507" w:type="pct"/>
            <w:tcBorders>
              <w:top w:val="nil"/>
              <w:left w:val="nil"/>
              <w:bottom w:val="nil"/>
              <w:right w:val="nil"/>
            </w:tcBorders>
            <w:shd w:val="clear" w:color="auto" w:fill="F2F2F2" w:themeFill="background1" w:themeFillShade="F2"/>
            <w:noWrap/>
            <w:vAlign w:val="center"/>
          </w:tcPr>
          <w:p w14:paraId="5FAEBE17"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7</w:t>
            </w:r>
          </w:p>
        </w:tc>
        <w:tc>
          <w:tcPr>
            <w:tcW w:w="498" w:type="pct"/>
            <w:tcBorders>
              <w:top w:val="nil"/>
              <w:left w:val="nil"/>
              <w:bottom w:val="nil"/>
              <w:right w:val="nil"/>
            </w:tcBorders>
            <w:shd w:val="clear" w:color="auto" w:fill="F2F2F2" w:themeFill="background1" w:themeFillShade="F2"/>
            <w:noWrap/>
            <w:vAlign w:val="center"/>
          </w:tcPr>
          <w:p w14:paraId="4DBF72CA"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5</w:t>
            </w:r>
          </w:p>
        </w:tc>
        <w:tc>
          <w:tcPr>
            <w:tcW w:w="509" w:type="pct"/>
            <w:tcBorders>
              <w:top w:val="nil"/>
              <w:left w:val="nil"/>
              <w:bottom w:val="nil"/>
              <w:right w:val="nil"/>
            </w:tcBorders>
            <w:shd w:val="clear" w:color="auto" w:fill="F2F2F2" w:themeFill="background1" w:themeFillShade="F2"/>
            <w:noWrap/>
            <w:vAlign w:val="center"/>
          </w:tcPr>
          <w:p w14:paraId="44A38194"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4</w:t>
            </w:r>
          </w:p>
        </w:tc>
      </w:tr>
      <w:tr w:rsidR="00CE45AD" w:rsidRPr="00CE45AD" w14:paraId="031774C3" w14:textId="77777777" w:rsidTr="001F2FB5">
        <w:trPr>
          <w:trHeight w:val="20"/>
          <w:jc w:val="center"/>
        </w:trPr>
        <w:tc>
          <w:tcPr>
            <w:tcW w:w="1905" w:type="pct"/>
            <w:shd w:val="clear" w:color="auto" w:fill="FFFFFF" w:themeFill="background1"/>
            <w:noWrap/>
            <w:vAlign w:val="center"/>
          </w:tcPr>
          <w:p w14:paraId="05032EC9"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Потребление</w:t>
            </w:r>
          </w:p>
        </w:tc>
        <w:tc>
          <w:tcPr>
            <w:tcW w:w="499" w:type="pct"/>
            <w:tcBorders>
              <w:top w:val="nil"/>
              <w:left w:val="nil"/>
              <w:bottom w:val="nil"/>
              <w:right w:val="nil"/>
            </w:tcBorders>
            <w:shd w:val="clear" w:color="auto" w:fill="FFFFFF" w:themeFill="background1"/>
            <w:noWrap/>
            <w:vAlign w:val="center"/>
          </w:tcPr>
          <w:p w14:paraId="66267D0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1</w:t>
            </w:r>
          </w:p>
        </w:tc>
        <w:tc>
          <w:tcPr>
            <w:tcW w:w="575" w:type="pct"/>
            <w:tcBorders>
              <w:top w:val="nil"/>
              <w:left w:val="nil"/>
              <w:bottom w:val="nil"/>
              <w:right w:val="nil"/>
            </w:tcBorders>
            <w:shd w:val="clear" w:color="auto" w:fill="FFFFFF" w:themeFill="background1"/>
            <w:noWrap/>
            <w:vAlign w:val="center"/>
          </w:tcPr>
          <w:p w14:paraId="6D977598"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6687325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6BA22F0E"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498" w:type="pct"/>
            <w:tcBorders>
              <w:top w:val="nil"/>
              <w:left w:val="nil"/>
              <w:bottom w:val="nil"/>
              <w:right w:val="nil"/>
            </w:tcBorders>
            <w:shd w:val="clear" w:color="auto" w:fill="F2F2F2" w:themeFill="background1" w:themeFillShade="F2"/>
            <w:noWrap/>
            <w:vAlign w:val="center"/>
          </w:tcPr>
          <w:p w14:paraId="47F41FED"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7B799A0A"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7</w:t>
            </w:r>
          </w:p>
        </w:tc>
      </w:tr>
      <w:tr w:rsidR="00CE45AD" w:rsidRPr="00CE45AD" w14:paraId="47769445" w14:textId="77777777" w:rsidTr="001F2FB5">
        <w:trPr>
          <w:trHeight w:val="20"/>
          <w:jc w:val="center"/>
        </w:trPr>
        <w:tc>
          <w:tcPr>
            <w:tcW w:w="1905" w:type="pct"/>
            <w:shd w:val="clear" w:color="auto" w:fill="FFFFFF" w:themeFill="background1"/>
            <w:vAlign w:val="center"/>
          </w:tcPr>
          <w:p w14:paraId="35E70B85" w14:textId="77777777" w:rsidR="00CE45AD" w:rsidRPr="00CE45AD" w:rsidRDefault="00CE45AD" w:rsidP="00CE45AD">
            <w:pPr>
              <w:spacing w:after="0" w:line="259" w:lineRule="auto"/>
              <w:ind w:left="283"/>
              <w:jc w:val="left"/>
              <w:rPr>
                <w:rFonts w:eastAsia="Calibri" w:cs="Times New Roman"/>
                <w:bCs/>
                <w:sz w:val="20"/>
                <w:szCs w:val="20"/>
                <w:lang w:eastAsia="en-GB"/>
              </w:rPr>
            </w:pPr>
            <w:proofErr w:type="spellStart"/>
            <w:r w:rsidRPr="00CE45AD">
              <w:rPr>
                <w:rFonts w:eastAsia="Calibri" w:cs="Times New Roman"/>
                <w:bCs/>
                <w:sz w:val="20"/>
                <w:szCs w:val="20"/>
                <w:lang w:eastAsia="en-GB"/>
              </w:rPr>
              <w:t>Брутообразуване</w:t>
            </w:r>
            <w:proofErr w:type="spellEnd"/>
            <w:r w:rsidRPr="00CE45AD">
              <w:rPr>
                <w:rFonts w:eastAsia="Calibri" w:cs="Times New Roman"/>
                <w:bCs/>
                <w:sz w:val="20"/>
                <w:szCs w:val="20"/>
                <w:lang w:eastAsia="en-GB"/>
              </w:rPr>
              <w:t xml:space="preserve"> на основен капитал</w:t>
            </w:r>
          </w:p>
        </w:tc>
        <w:tc>
          <w:tcPr>
            <w:tcW w:w="499" w:type="pct"/>
            <w:tcBorders>
              <w:top w:val="nil"/>
              <w:left w:val="nil"/>
              <w:bottom w:val="nil"/>
              <w:right w:val="nil"/>
            </w:tcBorders>
            <w:shd w:val="clear" w:color="auto" w:fill="FFFFFF" w:themeFill="background1"/>
            <w:noWrap/>
            <w:vAlign w:val="center"/>
          </w:tcPr>
          <w:p w14:paraId="7BB1CD60"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2</w:t>
            </w:r>
          </w:p>
        </w:tc>
        <w:tc>
          <w:tcPr>
            <w:tcW w:w="575" w:type="pct"/>
            <w:tcBorders>
              <w:top w:val="nil"/>
              <w:left w:val="nil"/>
              <w:bottom w:val="nil"/>
              <w:right w:val="nil"/>
            </w:tcBorders>
            <w:shd w:val="clear" w:color="auto" w:fill="FFFFFF" w:themeFill="background1"/>
            <w:noWrap/>
            <w:vAlign w:val="center"/>
          </w:tcPr>
          <w:p w14:paraId="6F20C778"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5</w:t>
            </w:r>
          </w:p>
        </w:tc>
        <w:tc>
          <w:tcPr>
            <w:tcW w:w="507" w:type="pct"/>
            <w:tcBorders>
              <w:top w:val="nil"/>
              <w:left w:val="nil"/>
              <w:bottom w:val="nil"/>
              <w:right w:val="nil"/>
            </w:tcBorders>
            <w:shd w:val="clear" w:color="auto" w:fill="F2F2F2" w:themeFill="background1" w:themeFillShade="F2"/>
            <w:noWrap/>
            <w:vAlign w:val="center"/>
          </w:tcPr>
          <w:p w14:paraId="57914080"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3</w:t>
            </w:r>
          </w:p>
        </w:tc>
        <w:tc>
          <w:tcPr>
            <w:tcW w:w="507" w:type="pct"/>
            <w:tcBorders>
              <w:top w:val="nil"/>
              <w:left w:val="nil"/>
              <w:bottom w:val="nil"/>
              <w:right w:val="nil"/>
            </w:tcBorders>
            <w:shd w:val="clear" w:color="auto" w:fill="F2F2F2" w:themeFill="background1" w:themeFillShade="F2"/>
            <w:noWrap/>
            <w:vAlign w:val="center"/>
          </w:tcPr>
          <w:p w14:paraId="7A645CB7"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2</w:t>
            </w:r>
          </w:p>
        </w:tc>
        <w:tc>
          <w:tcPr>
            <w:tcW w:w="498" w:type="pct"/>
            <w:tcBorders>
              <w:top w:val="nil"/>
              <w:left w:val="nil"/>
              <w:bottom w:val="nil"/>
              <w:right w:val="nil"/>
            </w:tcBorders>
            <w:shd w:val="clear" w:color="auto" w:fill="F2F2F2" w:themeFill="background1" w:themeFillShade="F2"/>
            <w:noWrap/>
            <w:vAlign w:val="center"/>
          </w:tcPr>
          <w:p w14:paraId="7745E01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0</w:t>
            </w:r>
          </w:p>
        </w:tc>
        <w:tc>
          <w:tcPr>
            <w:tcW w:w="509" w:type="pct"/>
            <w:tcBorders>
              <w:top w:val="nil"/>
              <w:left w:val="nil"/>
              <w:bottom w:val="nil"/>
              <w:right w:val="nil"/>
            </w:tcBorders>
            <w:shd w:val="clear" w:color="auto" w:fill="F2F2F2" w:themeFill="background1" w:themeFillShade="F2"/>
            <w:noWrap/>
            <w:vAlign w:val="center"/>
          </w:tcPr>
          <w:p w14:paraId="4EB31698"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4</w:t>
            </w:r>
          </w:p>
        </w:tc>
      </w:tr>
      <w:tr w:rsidR="00CE45AD" w:rsidRPr="00CE45AD" w14:paraId="5ECF31F8" w14:textId="77777777" w:rsidTr="001F2FB5">
        <w:trPr>
          <w:trHeight w:val="20"/>
          <w:jc w:val="center"/>
        </w:trPr>
        <w:tc>
          <w:tcPr>
            <w:tcW w:w="1905" w:type="pct"/>
            <w:shd w:val="clear" w:color="auto" w:fill="FFFFFF" w:themeFill="background1"/>
            <w:noWrap/>
            <w:vAlign w:val="center"/>
          </w:tcPr>
          <w:p w14:paraId="2B22E6BF"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Износ на стоки и услуги</w:t>
            </w:r>
          </w:p>
        </w:tc>
        <w:tc>
          <w:tcPr>
            <w:tcW w:w="499" w:type="pct"/>
            <w:tcBorders>
              <w:top w:val="nil"/>
              <w:left w:val="nil"/>
              <w:bottom w:val="nil"/>
              <w:right w:val="nil"/>
            </w:tcBorders>
            <w:shd w:val="clear" w:color="auto" w:fill="FFFFFF" w:themeFill="background1"/>
            <w:noWrap/>
            <w:vAlign w:val="center"/>
          </w:tcPr>
          <w:p w14:paraId="74FAF26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0</w:t>
            </w:r>
          </w:p>
        </w:tc>
        <w:tc>
          <w:tcPr>
            <w:tcW w:w="575" w:type="pct"/>
            <w:tcBorders>
              <w:top w:val="nil"/>
              <w:left w:val="nil"/>
              <w:bottom w:val="nil"/>
              <w:right w:val="nil"/>
            </w:tcBorders>
            <w:shd w:val="clear" w:color="auto" w:fill="FFFFFF" w:themeFill="background1"/>
            <w:noWrap/>
            <w:vAlign w:val="center"/>
          </w:tcPr>
          <w:p w14:paraId="5A31F1B2"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8</w:t>
            </w:r>
          </w:p>
        </w:tc>
        <w:tc>
          <w:tcPr>
            <w:tcW w:w="507" w:type="pct"/>
            <w:tcBorders>
              <w:top w:val="nil"/>
              <w:left w:val="nil"/>
              <w:bottom w:val="nil"/>
              <w:right w:val="nil"/>
            </w:tcBorders>
            <w:shd w:val="clear" w:color="auto" w:fill="F2F2F2" w:themeFill="background1" w:themeFillShade="F2"/>
            <w:noWrap/>
            <w:vAlign w:val="center"/>
          </w:tcPr>
          <w:p w14:paraId="49120DC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8</w:t>
            </w:r>
          </w:p>
        </w:tc>
        <w:tc>
          <w:tcPr>
            <w:tcW w:w="507" w:type="pct"/>
            <w:tcBorders>
              <w:top w:val="nil"/>
              <w:left w:val="nil"/>
              <w:bottom w:val="nil"/>
              <w:right w:val="nil"/>
            </w:tcBorders>
            <w:shd w:val="clear" w:color="auto" w:fill="F2F2F2" w:themeFill="background1" w:themeFillShade="F2"/>
            <w:noWrap/>
            <w:vAlign w:val="center"/>
          </w:tcPr>
          <w:p w14:paraId="54A8975D"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9</w:t>
            </w:r>
          </w:p>
        </w:tc>
        <w:tc>
          <w:tcPr>
            <w:tcW w:w="498" w:type="pct"/>
            <w:tcBorders>
              <w:top w:val="nil"/>
              <w:left w:val="nil"/>
              <w:bottom w:val="nil"/>
              <w:right w:val="nil"/>
            </w:tcBorders>
            <w:shd w:val="clear" w:color="auto" w:fill="F2F2F2" w:themeFill="background1" w:themeFillShade="F2"/>
            <w:noWrap/>
            <w:vAlign w:val="center"/>
          </w:tcPr>
          <w:p w14:paraId="62C3AA77"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4</w:t>
            </w:r>
          </w:p>
        </w:tc>
        <w:tc>
          <w:tcPr>
            <w:tcW w:w="509" w:type="pct"/>
            <w:tcBorders>
              <w:top w:val="nil"/>
              <w:left w:val="nil"/>
              <w:bottom w:val="nil"/>
              <w:right w:val="nil"/>
            </w:tcBorders>
            <w:shd w:val="clear" w:color="auto" w:fill="F2F2F2" w:themeFill="background1" w:themeFillShade="F2"/>
            <w:noWrap/>
            <w:vAlign w:val="center"/>
          </w:tcPr>
          <w:p w14:paraId="076F95B7"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r>
      <w:tr w:rsidR="00CE45AD" w:rsidRPr="00CE45AD" w14:paraId="24CACEF1" w14:textId="77777777" w:rsidTr="001F2FB5">
        <w:trPr>
          <w:trHeight w:val="20"/>
          <w:jc w:val="center"/>
        </w:trPr>
        <w:tc>
          <w:tcPr>
            <w:tcW w:w="1905" w:type="pct"/>
            <w:shd w:val="clear" w:color="auto" w:fill="FFFFFF" w:themeFill="background1"/>
            <w:noWrap/>
            <w:vAlign w:val="center"/>
          </w:tcPr>
          <w:p w14:paraId="4DBCE28A"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Внос на стоки и услуги</w:t>
            </w:r>
          </w:p>
        </w:tc>
        <w:tc>
          <w:tcPr>
            <w:tcW w:w="499" w:type="pct"/>
            <w:tcBorders>
              <w:top w:val="nil"/>
              <w:left w:val="nil"/>
              <w:bottom w:val="nil"/>
              <w:right w:val="nil"/>
            </w:tcBorders>
            <w:shd w:val="clear" w:color="auto" w:fill="FFFFFF" w:themeFill="background1"/>
            <w:noWrap/>
            <w:vAlign w:val="center"/>
          </w:tcPr>
          <w:p w14:paraId="624BB41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5</w:t>
            </w:r>
          </w:p>
        </w:tc>
        <w:tc>
          <w:tcPr>
            <w:tcW w:w="575" w:type="pct"/>
            <w:tcBorders>
              <w:top w:val="nil"/>
              <w:left w:val="nil"/>
              <w:bottom w:val="nil"/>
              <w:right w:val="nil"/>
            </w:tcBorders>
            <w:shd w:val="clear" w:color="auto" w:fill="FFFFFF" w:themeFill="background1"/>
            <w:noWrap/>
            <w:vAlign w:val="center"/>
          </w:tcPr>
          <w:p w14:paraId="0D493FD6"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9</w:t>
            </w:r>
          </w:p>
        </w:tc>
        <w:tc>
          <w:tcPr>
            <w:tcW w:w="507" w:type="pct"/>
            <w:tcBorders>
              <w:top w:val="nil"/>
              <w:left w:val="nil"/>
              <w:bottom w:val="nil"/>
              <w:right w:val="nil"/>
            </w:tcBorders>
            <w:shd w:val="clear" w:color="auto" w:fill="F2F2F2" w:themeFill="background1" w:themeFillShade="F2"/>
            <w:noWrap/>
            <w:vAlign w:val="center"/>
          </w:tcPr>
          <w:p w14:paraId="4E22A7EB"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2290BE8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7</w:t>
            </w:r>
          </w:p>
        </w:tc>
        <w:tc>
          <w:tcPr>
            <w:tcW w:w="498" w:type="pct"/>
            <w:tcBorders>
              <w:top w:val="nil"/>
              <w:left w:val="nil"/>
              <w:bottom w:val="nil"/>
              <w:right w:val="nil"/>
            </w:tcBorders>
            <w:shd w:val="clear" w:color="auto" w:fill="F2F2F2" w:themeFill="background1" w:themeFillShade="F2"/>
            <w:noWrap/>
            <w:vAlign w:val="center"/>
          </w:tcPr>
          <w:p w14:paraId="25EA5148"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w:t>
            </w:r>
            <w:r w:rsidR="00CE45AD" w:rsidRPr="00CE45AD">
              <w:rPr>
                <w:rFonts w:eastAsia="Calibri" w:cs="Times New Roman"/>
                <w:sz w:val="20"/>
                <w:szCs w:val="20"/>
                <w:lang w:eastAsia="en-US"/>
              </w:rPr>
              <w:t>7</w:t>
            </w:r>
          </w:p>
        </w:tc>
        <w:tc>
          <w:tcPr>
            <w:tcW w:w="509" w:type="pct"/>
            <w:tcBorders>
              <w:top w:val="nil"/>
              <w:left w:val="nil"/>
              <w:bottom w:val="nil"/>
              <w:right w:val="nil"/>
            </w:tcBorders>
            <w:shd w:val="clear" w:color="auto" w:fill="F2F2F2" w:themeFill="background1" w:themeFillShade="F2"/>
            <w:noWrap/>
            <w:vAlign w:val="center"/>
          </w:tcPr>
          <w:p w14:paraId="293D03E2"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0</w:t>
            </w:r>
          </w:p>
        </w:tc>
      </w:tr>
      <w:tr w:rsidR="00CE45AD" w:rsidRPr="00CE45AD" w14:paraId="0EA7F51A" w14:textId="77777777" w:rsidTr="008C0F1F">
        <w:trPr>
          <w:trHeight w:val="20"/>
          <w:jc w:val="center"/>
        </w:trPr>
        <w:tc>
          <w:tcPr>
            <w:tcW w:w="5000" w:type="pct"/>
            <w:gridSpan w:val="7"/>
            <w:tcBorders>
              <w:top w:val="nil"/>
              <w:bottom w:val="nil"/>
            </w:tcBorders>
            <w:shd w:val="clear" w:color="auto" w:fill="F2F2F2" w:themeFill="background1" w:themeFillShade="F2"/>
            <w:noWrap/>
            <w:vAlign w:val="center"/>
          </w:tcPr>
          <w:p w14:paraId="1371C53A"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Пазар на труда и цени</w:t>
            </w:r>
          </w:p>
        </w:tc>
      </w:tr>
      <w:tr w:rsidR="00CE45AD" w:rsidRPr="00CE45AD" w14:paraId="1C58EEB0" w14:textId="77777777" w:rsidTr="001F2FB5">
        <w:trPr>
          <w:trHeight w:val="20"/>
          <w:jc w:val="center"/>
        </w:trPr>
        <w:tc>
          <w:tcPr>
            <w:tcW w:w="1905" w:type="pct"/>
            <w:shd w:val="clear" w:color="auto" w:fill="FFFFFF" w:themeFill="background1"/>
            <w:noWrap/>
            <w:vAlign w:val="center"/>
          </w:tcPr>
          <w:p w14:paraId="5C728E4E"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 xml:space="preserve">Заетост </w:t>
            </w:r>
            <w:r w:rsidRPr="00CE45AD">
              <w:rPr>
                <w:rFonts w:eastAsia="Calibri" w:cs="Times New Roman"/>
                <w:bCs/>
                <w:sz w:val="20"/>
                <w:szCs w:val="20"/>
                <w:lang w:val="en-US" w:eastAsia="en-GB"/>
              </w:rPr>
              <w:t>(</w:t>
            </w:r>
            <w:r w:rsidRPr="00CE45AD">
              <w:rPr>
                <w:rFonts w:eastAsia="Calibri" w:cs="Times New Roman"/>
                <w:bCs/>
                <w:sz w:val="20"/>
                <w:szCs w:val="20"/>
                <w:lang w:eastAsia="en-GB"/>
              </w:rPr>
              <w:t>СНС</w:t>
            </w:r>
            <w:r>
              <w:rPr>
                <w:rStyle w:val="FootnoteReference"/>
                <w:rFonts w:eastAsia="Calibri"/>
                <w:bCs/>
                <w:szCs w:val="20"/>
              </w:rPr>
              <w:footnoteReference w:id="10"/>
            </w:r>
            <w:r w:rsidRPr="00CE45AD">
              <w:rPr>
                <w:rFonts w:eastAsia="Calibri" w:cs="Times New Roman"/>
                <w:bCs/>
                <w:sz w:val="20"/>
                <w:szCs w:val="20"/>
                <w:lang w:eastAsia="en-GB"/>
              </w:rPr>
              <w:t>) (%)</w:t>
            </w:r>
          </w:p>
        </w:tc>
        <w:tc>
          <w:tcPr>
            <w:tcW w:w="499" w:type="pct"/>
            <w:tcBorders>
              <w:top w:val="nil"/>
              <w:left w:val="nil"/>
              <w:bottom w:val="nil"/>
              <w:right w:val="nil"/>
            </w:tcBorders>
            <w:shd w:val="clear" w:color="auto" w:fill="FFFFFF" w:themeFill="background1"/>
            <w:noWrap/>
            <w:vAlign w:val="center"/>
          </w:tcPr>
          <w:p w14:paraId="31CA3874"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1</w:t>
            </w:r>
          </w:p>
        </w:tc>
        <w:tc>
          <w:tcPr>
            <w:tcW w:w="575" w:type="pct"/>
            <w:tcBorders>
              <w:top w:val="nil"/>
              <w:left w:val="nil"/>
              <w:bottom w:val="nil"/>
              <w:right w:val="nil"/>
            </w:tcBorders>
            <w:shd w:val="clear" w:color="auto" w:fill="FFFFFF" w:themeFill="background1"/>
            <w:noWrap/>
            <w:vAlign w:val="center"/>
          </w:tcPr>
          <w:p w14:paraId="35E4861E"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1AFA0DC9"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05EF862E"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8</w:t>
            </w:r>
          </w:p>
        </w:tc>
        <w:tc>
          <w:tcPr>
            <w:tcW w:w="498" w:type="pct"/>
            <w:tcBorders>
              <w:top w:val="nil"/>
              <w:left w:val="nil"/>
              <w:bottom w:val="nil"/>
              <w:right w:val="nil"/>
            </w:tcBorders>
            <w:shd w:val="clear" w:color="auto" w:fill="F2F2F2" w:themeFill="background1" w:themeFillShade="F2"/>
            <w:noWrap/>
            <w:vAlign w:val="center"/>
          </w:tcPr>
          <w:p w14:paraId="50FB41FD"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3</w:t>
            </w:r>
          </w:p>
        </w:tc>
        <w:tc>
          <w:tcPr>
            <w:tcW w:w="509" w:type="pct"/>
            <w:tcBorders>
              <w:top w:val="nil"/>
              <w:left w:val="nil"/>
              <w:bottom w:val="nil"/>
              <w:right w:val="nil"/>
            </w:tcBorders>
            <w:shd w:val="clear" w:color="auto" w:fill="F2F2F2" w:themeFill="background1" w:themeFillShade="F2"/>
            <w:noWrap/>
            <w:vAlign w:val="center"/>
          </w:tcPr>
          <w:p w14:paraId="521F785A"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0</w:t>
            </w:r>
          </w:p>
        </w:tc>
      </w:tr>
      <w:tr w:rsidR="00CE45AD" w:rsidRPr="00CE45AD" w14:paraId="03E37C63" w14:textId="77777777" w:rsidTr="001F2FB5">
        <w:trPr>
          <w:trHeight w:val="20"/>
          <w:jc w:val="center"/>
        </w:trPr>
        <w:tc>
          <w:tcPr>
            <w:tcW w:w="1905" w:type="pct"/>
            <w:shd w:val="clear" w:color="auto" w:fill="FFFFFF" w:themeFill="background1"/>
            <w:noWrap/>
            <w:vAlign w:val="center"/>
          </w:tcPr>
          <w:p w14:paraId="1AC98F2F"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Коефициент на безработица (НРС) (%)</w:t>
            </w:r>
          </w:p>
        </w:tc>
        <w:tc>
          <w:tcPr>
            <w:tcW w:w="499" w:type="pct"/>
            <w:tcBorders>
              <w:top w:val="nil"/>
              <w:left w:val="nil"/>
              <w:bottom w:val="nil"/>
              <w:right w:val="nil"/>
            </w:tcBorders>
            <w:shd w:val="clear" w:color="auto" w:fill="FFFFFF" w:themeFill="background1"/>
            <w:noWrap/>
            <w:vAlign w:val="center"/>
          </w:tcPr>
          <w:p w14:paraId="4186CF39"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3</w:t>
            </w:r>
          </w:p>
        </w:tc>
        <w:tc>
          <w:tcPr>
            <w:tcW w:w="575" w:type="pct"/>
            <w:tcBorders>
              <w:top w:val="nil"/>
              <w:left w:val="nil"/>
              <w:bottom w:val="nil"/>
              <w:right w:val="nil"/>
            </w:tcBorders>
            <w:shd w:val="clear" w:color="auto" w:fill="FFFFFF" w:themeFill="background1"/>
            <w:noWrap/>
            <w:vAlign w:val="center"/>
          </w:tcPr>
          <w:p w14:paraId="6BC88CAE"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07C9DA4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65C7EBB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498" w:type="pct"/>
            <w:tcBorders>
              <w:top w:val="nil"/>
              <w:left w:val="nil"/>
              <w:bottom w:val="nil"/>
              <w:right w:val="nil"/>
            </w:tcBorders>
            <w:shd w:val="clear" w:color="auto" w:fill="F2F2F2" w:themeFill="background1" w:themeFillShade="F2"/>
            <w:noWrap/>
            <w:vAlign w:val="center"/>
          </w:tcPr>
          <w:p w14:paraId="41AB03CE"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509" w:type="pct"/>
            <w:tcBorders>
              <w:top w:val="nil"/>
              <w:left w:val="nil"/>
              <w:bottom w:val="nil"/>
              <w:right w:val="nil"/>
            </w:tcBorders>
            <w:shd w:val="clear" w:color="auto" w:fill="F2F2F2" w:themeFill="background1" w:themeFillShade="F2"/>
            <w:noWrap/>
            <w:vAlign w:val="center"/>
          </w:tcPr>
          <w:p w14:paraId="58BDC961"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r>
      <w:tr w:rsidR="00CE45AD" w:rsidRPr="00CE45AD" w14:paraId="252B5C37" w14:textId="77777777" w:rsidTr="001F2FB5">
        <w:trPr>
          <w:trHeight w:val="20"/>
          <w:jc w:val="center"/>
        </w:trPr>
        <w:tc>
          <w:tcPr>
            <w:tcW w:w="1905" w:type="pct"/>
            <w:shd w:val="clear" w:color="auto" w:fill="FFFFFF" w:themeFill="background1"/>
            <w:noWrap/>
            <w:vAlign w:val="center"/>
          </w:tcPr>
          <w:p w14:paraId="492795E4"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Компенсации на един нает (%)</w:t>
            </w:r>
          </w:p>
        </w:tc>
        <w:tc>
          <w:tcPr>
            <w:tcW w:w="499" w:type="pct"/>
            <w:tcBorders>
              <w:top w:val="nil"/>
              <w:left w:val="nil"/>
              <w:bottom w:val="nil"/>
              <w:right w:val="nil"/>
            </w:tcBorders>
            <w:shd w:val="clear" w:color="auto" w:fill="FFFFFF" w:themeFill="background1"/>
            <w:noWrap/>
            <w:vAlign w:val="center"/>
          </w:tcPr>
          <w:p w14:paraId="0EAE20F3"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13,</w:t>
            </w:r>
            <w:r w:rsidR="00CE45AD" w:rsidRPr="00CE45AD">
              <w:rPr>
                <w:rFonts w:eastAsia="Calibri" w:cs="Times New Roman"/>
                <w:sz w:val="20"/>
                <w:szCs w:val="20"/>
                <w:lang w:eastAsia="en-US"/>
              </w:rPr>
              <w:t>4</w:t>
            </w:r>
          </w:p>
        </w:tc>
        <w:tc>
          <w:tcPr>
            <w:tcW w:w="575" w:type="pct"/>
            <w:tcBorders>
              <w:top w:val="nil"/>
              <w:left w:val="nil"/>
              <w:bottom w:val="nil"/>
              <w:right w:val="nil"/>
            </w:tcBorders>
            <w:shd w:val="clear" w:color="auto" w:fill="FFFFFF" w:themeFill="background1"/>
            <w:noWrap/>
            <w:vAlign w:val="center"/>
          </w:tcPr>
          <w:p w14:paraId="4932CAF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14,</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3CA05006"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9,</w:t>
            </w:r>
            <w:r w:rsidR="00CE45AD" w:rsidRPr="00CE45AD">
              <w:rPr>
                <w:rFonts w:eastAsia="Calibri" w:cs="Times New Roman"/>
                <w:sz w:val="20"/>
                <w:szCs w:val="20"/>
                <w:lang w:eastAsia="en-US"/>
              </w:rPr>
              <w:t>9</w:t>
            </w:r>
          </w:p>
        </w:tc>
        <w:tc>
          <w:tcPr>
            <w:tcW w:w="507" w:type="pct"/>
            <w:tcBorders>
              <w:top w:val="nil"/>
              <w:left w:val="nil"/>
              <w:bottom w:val="nil"/>
              <w:right w:val="nil"/>
            </w:tcBorders>
            <w:shd w:val="clear" w:color="auto" w:fill="F2F2F2" w:themeFill="background1" w:themeFillShade="F2"/>
            <w:noWrap/>
            <w:vAlign w:val="center"/>
          </w:tcPr>
          <w:p w14:paraId="6D2AD32A"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4</w:t>
            </w:r>
          </w:p>
        </w:tc>
        <w:tc>
          <w:tcPr>
            <w:tcW w:w="498" w:type="pct"/>
            <w:tcBorders>
              <w:top w:val="nil"/>
              <w:left w:val="nil"/>
              <w:bottom w:val="nil"/>
              <w:right w:val="nil"/>
            </w:tcBorders>
            <w:shd w:val="clear" w:color="auto" w:fill="F2F2F2" w:themeFill="background1" w:themeFillShade="F2"/>
            <w:noWrap/>
            <w:vAlign w:val="center"/>
          </w:tcPr>
          <w:p w14:paraId="1EF3DC0F"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4</w:t>
            </w:r>
          </w:p>
        </w:tc>
        <w:tc>
          <w:tcPr>
            <w:tcW w:w="509" w:type="pct"/>
            <w:tcBorders>
              <w:top w:val="nil"/>
              <w:left w:val="nil"/>
              <w:bottom w:val="nil"/>
              <w:right w:val="nil"/>
            </w:tcBorders>
            <w:shd w:val="clear" w:color="auto" w:fill="F2F2F2" w:themeFill="background1" w:themeFillShade="F2"/>
            <w:noWrap/>
            <w:vAlign w:val="center"/>
          </w:tcPr>
          <w:p w14:paraId="0C4DF136"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1</w:t>
            </w:r>
          </w:p>
        </w:tc>
      </w:tr>
      <w:tr w:rsidR="00CE45AD" w:rsidRPr="00CE45AD" w14:paraId="24EECA67" w14:textId="77777777" w:rsidTr="001F2FB5">
        <w:trPr>
          <w:trHeight w:val="20"/>
          <w:jc w:val="center"/>
        </w:trPr>
        <w:tc>
          <w:tcPr>
            <w:tcW w:w="1905" w:type="pct"/>
            <w:shd w:val="clear" w:color="auto" w:fill="FFFFFF" w:themeFill="background1"/>
            <w:noWrap/>
            <w:vAlign w:val="center"/>
          </w:tcPr>
          <w:p w14:paraId="0B7D7B48" w14:textId="77777777" w:rsidR="00CE45AD" w:rsidRPr="00CE45AD" w:rsidRDefault="00CE45AD" w:rsidP="00CE45AD">
            <w:pPr>
              <w:spacing w:after="0" w:line="259" w:lineRule="auto"/>
              <w:ind w:left="283"/>
              <w:jc w:val="left"/>
              <w:rPr>
                <w:rFonts w:eastAsia="Calibri" w:cs="Times New Roman"/>
                <w:bCs/>
                <w:sz w:val="20"/>
                <w:szCs w:val="20"/>
                <w:lang w:eastAsia="en-GB"/>
              </w:rPr>
            </w:pPr>
            <w:proofErr w:type="spellStart"/>
            <w:r w:rsidRPr="00CE45AD">
              <w:rPr>
                <w:rFonts w:eastAsia="Calibri" w:cs="Times New Roman"/>
                <w:bCs/>
                <w:sz w:val="20"/>
                <w:szCs w:val="20"/>
                <w:lang w:eastAsia="en-GB"/>
              </w:rPr>
              <w:t>Дефлатор</w:t>
            </w:r>
            <w:proofErr w:type="spellEnd"/>
            <w:r w:rsidRPr="00CE45AD">
              <w:rPr>
                <w:rFonts w:eastAsia="Calibri" w:cs="Times New Roman"/>
                <w:bCs/>
                <w:sz w:val="20"/>
                <w:szCs w:val="20"/>
                <w:lang w:eastAsia="en-GB"/>
              </w:rPr>
              <w:t xml:space="preserve"> на БВП (%)</w:t>
            </w:r>
          </w:p>
        </w:tc>
        <w:tc>
          <w:tcPr>
            <w:tcW w:w="499" w:type="pct"/>
            <w:tcBorders>
              <w:top w:val="nil"/>
              <w:left w:val="nil"/>
              <w:bottom w:val="nil"/>
              <w:right w:val="nil"/>
            </w:tcBorders>
            <w:shd w:val="clear" w:color="auto" w:fill="FFFFFF" w:themeFill="background1"/>
            <w:noWrap/>
            <w:vAlign w:val="center"/>
          </w:tcPr>
          <w:p w14:paraId="67EF2FB4"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0</w:t>
            </w:r>
          </w:p>
        </w:tc>
        <w:tc>
          <w:tcPr>
            <w:tcW w:w="575" w:type="pct"/>
            <w:tcBorders>
              <w:top w:val="nil"/>
              <w:left w:val="nil"/>
              <w:bottom w:val="nil"/>
              <w:right w:val="nil"/>
            </w:tcBorders>
            <w:shd w:val="clear" w:color="auto" w:fill="FFFFFF" w:themeFill="background1"/>
            <w:noWrap/>
            <w:vAlign w:val="center"/>
          </w:tcPr>
          <w:p w14:paraId="5E05EF38"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24B72797"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21768314"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7</w:t>
            </w:r>
          </w:p>
        </w:tc>
        <w:tc>
          <w:tcPr>
            <w:tcW w:w="498" w:type="pct"/>
            <w:tcBorders>
              <w:top w:val="nil"/>
              <w:left w:val="nil"/>
              <w:bottom w:val="nil"/>
              <w:right w:val="nil"/>
            </w:tcBorders>
            <w:shd w:val="clear" w:color="auto" w:fill="F2F2F2" w:themeFill="background1" w:themeFillShade="F2"/>
            <w:noWrap/>
            <w:vAlign w:val="center"/>
          </w:tcPr>
          <w:p w14:paraId="5A8F6B15"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c>
          <w:tcPr>
            <w:tcW w:w="509" w:type="pct"/>
            <w:tcBorders>
              <w:top w:val="nil"/>
              <w:left w:val="nil"/>
              <w:bottom w:val="nil"/>
              <w:right w:val="nil"/>
            </w:tcBorders>
            <w:shd w:val="clear" w:color="auto" w:fill="F2F2F2" w:themeFill="background1" w:themeFillShade="F2"/>
            <w:noWrap/>
            <w:vAlign w:val="center"/>
          </w:tcPr>
          <w:p w14:paraId="4B0BF625"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8</w:t>
            </w:r>
          </w:p>
        </w:tc>
      </w:tr>
      <w:tr w:rsidR="00CE45AD" w:rsidRPr="00CE45AD" w14:paraId="43799B80" w14:textId="77777777" w:rsidTr="001F2FB5">
        <w:trPr>
          <w:trHeight w:val="20"/>
          <w:jc w:val="center"/>
        </w:trPr>
        <w:tc>
          <w:tcPr>
            <w:tcW w:w="1905" w:type="pct"/>
            <w:shd w:val="clear" w:color="auto" w:fill="FFFFFF" w:themeFill="background1"/>
            <w:vAlign w:val="center"/>
          </w:tcPr>
          <w:p w14:paraId="77D7868A"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Средногодишна инфлация (ХИПЦ) (%)</w:t>
            </w:r>
          </w:p>
        </w:tc>
        <w:tc>
          <w:tcPr>
            <w:tcW w:w="499" w:type="pct"/>
            <w:tcBorders>
              <w:top w:val="nil"/>
              <w:left w:val="nil"/>
              <w:bottom w:val="nil"/>
              <w:right w:val="nil"/>
            </w:tcBorders>
            <w:shd w:val="clear" w:color="auto" w:fill="FFFFFF" w:themeFill="background1"/>
            <w:noWrap/>
            <w:vAlign w:val="center"/>
          </w:tcPr>
          <w:p w14:paraId="2251540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6</w:t>
            </w:r>
          </w:p>
        </w:tc>
        <w:tc>
          <w:tcPr>
            <w:tcW w:w="575" w:type="pct"/>
            <w:tcBorders>
              <w:top w:val="nil"/>
              <w:left w:val="nil"/>
              <w:bottom w:val="nil"/>
              <w:right w:val="nil"/>
            </w:tcBorders>
            <w:shd w:val="clear" w:color="auto" w:fill="FFFFFF" w:themeFill="background1"/>
            <w:noWrap/>
            <w:vAlign w:val="center"/>
          </w:tcPr>
          <w:p w14:paraId="25110F4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1A83A089"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46B272C6"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5</w:t>
            </w:r>
          </w:p>
        </w:tc>
        <w:tc>
          <w:tcPr>
            <w:tcW w:w="498" w:type="pct"/>
            <w:tcBorders>
              <w:top w:val="nil"/>
              <w:left w:val="nil"/>
              <w:bottom w:val="nil"/>
              <w:right w:val="nil"/>
            </w:tcBorders>
            <w:shd w:val="clear" w:color="auto" w:fill="F2F2F2" w:themeFill="background1" w:themeFillShade="F2"/>
            <w:noWrap/>
            <w:vAlign w:val="center"/>
          </w:tcPr>
          <w:p w14:paraId="46E9E8F3"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169A9602"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5</w:t>
            </w:r>
          </w:p>
        </w:tc>
      </w:tr>
      <w:tr w:rsidR="00CE45AD" w:rsidRPr="00CE45AD" w14:paraId="1CBCC2F4" w14:textId="77777777" w:rsidTr="008C0F1F">
        <w:trPr>
          <w:trHeight w:val="20"/>
          <w:jc w:val="center"/>
        </w:trPr>
        <w:tc>
          <w:tcPr>
            <w:tcW w:w="5000" w:type="pct"/>
            <w:gridSpan w:val="7"/>
            <w:tcBorders>
              <w:top w:val="nil"/>
              <w:bottom w:val="nil"/>
            </w:tcBorders>
            <w:shd w:val="clear" w:color="auto" w:fill="F2F2F2" w:themeFill="background1" w:themeFillShade="F2"/>
            <w:noWrap/>
            <w:vAlign w:val="center"/>
          </w:tcPr>
          <w:p w14:paraId="2B4F4FFF"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Платежен баланс</w:t>
            </w:r>
          </w:p>
        </w:tc>
      </w:tr>
      <w:tr w:rsidR="00CE45AD" w:rsidRPr="00CE45AD" w14:paraId="5D3412CE" w14:textId="77777777" w:rsidTr="001F2FB5">
        <w:trPr>
          <w:trHeight w:val="20"/>
          <w:jc w:val="center"/>
        </w:trPr>
        <w:tc>
          <w:tcPr>
            <w:tcW w:w="1905" w:type="pct"/>
            <w:shd w:val="clear" w:color="auto" w:fill="FFFFFF" w:themeFill="background1"/>
            <w:noWrap/>
            <w:vAlign w:val="center"/>
          </w:tcPr>
          <w:p w14:paraId="108FD1E7"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Текуща сметка (% от БВП)</w:t>
            </w:r>
          </w:p>
        </w:tc>
        <w:tc>
          <w:tcPr>
            <w:tcW w:w="499" w:type="pct"/>
            <w:tcBorders>
              <w:top w:val="nil"/>
              <w:left w:val="nil"/>
              <w:bottom w:val="nil"/>
              <w:right w:val="nil"/>
            </w:tcBorders>
            <w:shd w:val="clear" w:color="auto" w:fill="FFFFFF" w:themeFill="background1"/>
            <w:noWrap/>
            <w:vAlign w:val="center"/>
          </w:tcPr>
          <w:p w14:paraId="7874346D"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-0,</w:t>
            </w:r>
            <w:r w:rsidR="00CE45AD" w:rsidRPr="00CE45AD">
              <w:rPr>
                <w:rFonts w:eastAsia="Calibri" w:cs="Times New Roman"/>
                <w:sz w:val="20"/>
                <w:szCs w:val="20"/>
                <w:lang w:eastAsia="en-US"/>
              </w:rPr>
              <w:t>9</w:t>
            </w:r>
          </w:p>
        </w:tc>
        <w:tc>
          <w:tcPr>
            <w:tcW w:w="575" w:type="pct"/>
            <w:tcBorders>
              <w:top w:val="nil"/>
              <w:left w:val="nil"/>
              <w:bottom w:val="nil"/>
              <w:right w:val="nil"/>
            </w:tcBorders>
            <w:shd w:val="clear" w:color="auto" w:fill="FFFFFF" w:themeFill="background1"/>
            <w:noWrap/>
            <w:vAlign w:val="center"/>
          </w:tcPr>
          <w:p w14:paraId="1D0C2B9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w:t>
            </w:r>
            <w:r w:rsidR="00CE45AD" w:rsidRPr="00CE45AD">
              <w:rPr>
                <w:rFonts w:eastAsia="Calibri" w:cs="Times New Roman"/>
                <w:sz w:val="20"/>
                <w:szCs w:val="20"/>
                <w:lang w:eastAsia="en-US"/>
              </w:rPr>
              <w:t>6</w:t>
            </w:r>
          </w:p>
        </w:tc>
        <w:tc>
          <w:tcPr>
            <w:tcW w:w="507" w:type="pct"/>
            <w:tcBorders>
              <w:top w:val="nil"/>
              <w:left w:val="nil"/>
              <w:bottom w:val="nil"/>
              <w:right w:val="nil"/>
            </w:tcBorders>
            <w:shd w:val="clear" w:color="auto" w:fill="F2F2F2" w:themeFill="background1" w:themeFillShade="F2"/>
            <w:noWrap/>
            <w:vAlign w:val="center"/>
          </w:tcPr>
          <w:p w14:paraId="76F017C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3</w:t>
            </w:r>
          </w:p>
        </w:tc>
        <w:tc>
          <w:tcPr>
            <w:tcW w:w="507" w:type="pct"/>
            <w:tcBorders>
              <w:top w:val="nil"/>
              <w:left w:val="nil"/>
              <w:bottom w:val="nil"/>
              <w:right w:val="nil"/>
            </w:tcBorders>
            <w:shd w:val="clear" w:color="auto" w:fill="F2F2F2" w:themeFill="background1" w:themeFillShade="F2"/>
            <w:noWrap/>
            <w:vAlign w:val="center"/>
          </w:tcPr>
          <w:p w14:paraId="73CD907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w:t>
            </w:r>
            <w:r w:rsidR="00CE45AD" w:rsidRPr="00CE45AD">
              <w:rPr>
                <w:rFonts w:eastAsia="Calibri" w:cs="Times New Roman"/>
                <w:sz w:val="20"/>
                <w:szCs w:val="20"/>
                <w:lang w:eastAsia="en-US"/>
              </w:rPr>
              <w:t>3</w:t>
            </w:r>
          </w:p>
        </w:tc>
        <w:tc>
          <w:tcPr>
            <w:tcW w:w="498" w:type="pct"/>
            <w:tcBorders>
              <w:top w:val="nil"/>
              <w:left w:val="nil"/>
              <w:bottom w:val="nil"/>
              <w:right w:val="nil"/>
            </w:tcBorders>
            <w:shd w:val="clear" w:color="auto" w:fill="F2F2F2" w:themeFill="background1" w:themeFillShade="F2"/>
            <w:noWrap/>
            <w:vAlign w:val="center"/>
          </w:tcPr>
          <w:p w14:paraId="302C67F8"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329D723B"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1</w:t>
            </w:r>
          </w:p>
        </w:tc>
      </w:tr>
      <w:tr w:rsidR="00CE45AD" w:rsidRPr="00CE45AD" w14:paraId="37278C4B" w14:textId="77777777" w:rsidTr="001F2FB5">
        <w:trPr>
          <w:trHeight w:val="20"/>
          <w:jc w:val="center"/>
        </w:trPr>
        <w:tc>
          <w:tcPr>
            <w:tcW w:w="1905" w:type="pct"/>
            <w:shd w:val="clear" w:color="auto" w:fill="FFFFFF" w:themeFill="background1"/>
            <w:noWrap/>
            <w:vAlign w:val="center"/>
          </w:tcPr>
          <w:p w14:paraId="31C24CB7"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Търговски баланс (% от БВП)</w:t>
            </w:r>
          </w:p>
        </w:tc>
        <w:tc>
          <w:tcPr>
            <w:tcW w:w="499" w:type="pct"/>
            <w:tcBorders>
              <w:top w:val="nil"/>
              <w:left w:val="nil"/>
              <w:bottom w:val="nil"/>
              <w:right w:val="nil"/>
            </w:tcBorders>
            <w:shd w:val="clear" w:color="auto" w:fill="FFFFFF" w:themeFill="background1"/>
            <w:noWrap/>
            <w:vAlign w:val="center"/>
          </w:tcPr>
          <w:p w14:paraId="0605E732"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2</w:t>
            </w:r>
          </w:p>
        </w:tc>
        <w:tc>
          <w:tcPr>
            <w:tcW w:w="575" w:type="pct"/>
            <w:tcBorders>
              <w:top w:val="nil"/>
              <w:left w:val="nil"/>
              <w:bottom w:val="nil"/>
              <w:right w:val="nil"/>
            </w:tcBorders>
            <w:shd w:val="clear" w:color="auto" w:fill="FFFFFF" w:themeFill="background1"/>
            <w:noWrap/>
            <w:vAlign w:val="center"/>
          </w:tcPr>
          <w:p w14:paraId="2B830D0E"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-4,</w:t>
            </w:r>
            <w:r w:rsidR="00CE45AD" w:rsidRPr="00CE45AD">
              <w:rPr>
                <w:rFonts w:eastAsia="Calibri" w:cs="Times New Roman"/>
                <w:sz w:val="20"/>
                <w:szCs w:val="20"/>
                <w:lang w:eastAsia="en-US"/>
              </w:rPr>
              <w:t>8</w:t>
            </w:r>
          </w:p>
        </w:tc>
        <w:tc>
          <w:tcPr>
            <w:tcW w:w="507" w:type="pct"/>
            <w:tcBorders>
              <w:top w:val="nil"/>
              <w:left w:val="nil"/>
              <w:bottom w:val="nil"/>
              <w:right w:val="nil"/>
            </w:tcBorders>
            <w:shd w:val="clear" w:color="auto" w:fill="F2F2F2" w:themeFill="background1" w:themeFillShade="F2"/>
            <w:noWrap/>
            <w:vAlign w:val="center"/>
          </w:tcPr>
          <w:p w14:paraId="5D98AC26"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w:t>
            </w:r>
            <w:r w:rsidR="00CE45AD" w:rsidRPr="00CE45AD">
              <w:rPr>
                <w:rFonts w:eastAsia="Calibri" w:cs="Times New Roman"/>
                <w:sz w:val="20"/>
                <w:szCs w:val="20"/>
                <w:lang w:eastAsia="en-US"/>
              </w:rPr>
              <w:t>9</w:t>
            </w:r>
          </w:p>
        </w:tc>
        <w:tc>
          <w:tcPr>
            <w:tcW w:w="507" w:type="pct"/>
            <w:tcBorders>
              <w:top w:val="nil"/>
              <w:left w:val="nil"/>
              <w:bottom w:val="nil"/>
              <w:right w:val="nil"/>
            </w:tcBorders>
            <w:shd w:val="clear" w:color="auto" w:fill="F2F2F2" w:themeFill="background1" w:themeFillShade="F2"/>
            <w:noWrap/>
            <w:vAlign w:val="center"/>
          </w:tcPr>
          <w:p w14:paraId="45111462"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-6,</w:t>
            </w:r>
            <w:r w:rsidR="00CE45AD" w:rsidRPr="00CE45AD">
              <w:rPr>
                <w:rFonts w:eastAsia="Calibri" w:cs="Times New Roman"/>
                <w:sz w:val="20"/>
                <w:szCs w:val="20"/>
                <w:lang w:eastAsia="en-US"/>
              </w:rPr>
              <w:t>5</w:t>
            </w:r>
          </w:p>
        </w:tc>
        <w:tc>
          <w:tcPr>
            <w:tcW w:w="498" w:type="pct"/>
            <w:tcBorders>
              <w:top w:val="nil"/>
              <w:left w:val="nil"/>
              <w:bottom w:val="nil"/>
              <w:right w:val="nil"/>
            </w:tcBorders>
            <w:shd w:val="clear" w:color="auto" w:fill="F2F2F2" w:themeFill="background1" w:themeFillShade="F2"/>
            <w:noWrap/>
            <w:vAlign w:val="center"/>
          </w:tcPr>
          <w:p w14:paraId="3B47C0A1"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w:t>
            </w:r>
            <w:r w:rsidR="00CE45AD" w:rsidRPr="00CE45AD">
              <w:rPr>
                <w:rFonts w:eastAsia="Calibri" w:cs="Times New Roman"/>
                <w:sz w:val="20"/>
                <w:szCs w:val="20"/>
                <w:lang w:eastAsia="en-US"/>
              </w:rPr>
              <w:t>9</w:t>
            </w:r>
          </w:p>
        </w:tc>
        <w:tc>
          <w:tcPr>
            <w:tcW w:w="509" w:type="pct"/>
            <w:tcBorders>
              <w:top w:val="nil"/>
              <w:left w:val="nil"/>
              <w:bottom w:val="nil"/>
              <w:right w:val="nil"/>
            </w:tcBorders>
            <w:shd w:val="clear" w:color="auto" w:fill="F2F2F2" w:themeFill="background1" w:themeFillShade="F2"/>
            <w:noWrap/>
            <w:vAlign w:val="center"/>
          </w:tcPr>
          <w:p w14:paraId="4AB5AFD6"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-7,</w:t>
            </w:r>
            <w:r w:rsidR="00CE45AD" w:rsidRPr="00CE45AD">
              <w:rPr>
                <w:rFonts w:eastAsia="Calibri" w:cs="Times New Roman"/>
                <w:sz w:val="20"/>
                <w:szCs w:val="20"/>
                <w:lang w:eastAsia="en-US"/>
              </w:rPr>
              <w:t>2</w:t>
            </w:r>
          </w:p>
        </w:tc>
      </w:tr>
      <w:tr w:rsidR="00CE45AD" w:rsidRPr="00CE45AD" w14:paraId="5E12F39E" w14:textId="77777777" w:rsidTr="001F2FB5">
        <w:trPr>
          <w:trHeight w:val="20"/>
          <w:jc w:val="center"/>
        </w:trPr>
        <w:tc>
          <w:tcPr>
            <w:tcW w:w="1905" w:type="pct"/>
            <w:shd w:val="clear" w:color="auto" w:fill="FFFFFF" w:themeFill="background1"/>
            <w:noWrap/>
            <w:vAlign w:val="center"/>
          </w:tcPr>
          <w:p w14:paraId="033DF423"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Преки чуждестранни инвестиции (% от БВП)</w:t>
            </w:r>
          </w:p>
        </w:tc>
        <w:tc>
          <w:tcPr>
            <w:tcW w:w="499" w:type="pct"/>
            <w:tcBorders>
              <w:top w:val="nil"/>
              <w:left w:val="nil"/>
              <w:bottom w:val="nil"/>
              <w:right w:val="nil"/>
            </w:tcBorders>
            <w:shd w:val="clear" w:color="auto" w:fill="FFFFFF" w:themeFill="background1"/>
            <w:noWrap/>
            <w:vAlign w:val="center"/>
          </w:tcPr>
          <w:p w14:paraId="7ACBA2D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5,</w:t>
            </w:r>
            <w:r w:rsidR="00CE45AD" w:rsidRPr="00CE45AD">
              <w:rPr>
                <w:rFonts w:eastAsia="Calibri" w:cs="Times New Roman"/>
                <w:sz w:val="20"/>
                <w:szCs w:val="20"/>
                <w:lang w:eastAsia="en-US"/>
              </w:rPr>
              <w:t>5</w:t>
            </w:r>
          </w:p>
        </w:tc>
        <w:tc>
          <w:tcPr>
            <w:tcW w:w="575" w:type="pct"/>
            <w:tcBorders>
              <w:top w:val="nil"/>
              <w:left w:val="nil"/>
              <w:bottom w:val="nil"/>
              <w:right w:val="nil"/>
            </w:tcBorders>
            <w:shd w:val="clear" w:color="auto" w:fill="FFFFFF" w:themeFill="background1"/>
            <w:noWrap/>
            <w:vAlign w:val="center"/>
          </w:tcPr>
          <w:p w14:paraId="7133719E"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5D9AA4D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c>
          <w:tcPr>
            <w:tcW w:w="507" w:type="pct"/>
            <w:tcBorders>
              <w:top w:val="nil"/>
              <w:left w:val="nil"/>
              <w:bottom w:val="nil"/>
              <w:right w:val="nil"/>
            </w:tcBorders>
            <w:shd w:val="clear" w:color="auto" w:fill="F2F2F2" w:themeFill="background1" w:themeFillShade="F2"/>
            <w:noWrap/>
            <w:vAlign w:val="center"/>
          </w:tcPr>
          <w:p w14:paraId="10B3DD33"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2</w:t>
            </w:r>
          </w:p>
        </w:tc>
        <w:tc>
          <w:tcPr>
            <w:tcW w:w="498" w:type="pct"/>
            <w:tcBorders>
              <w:top w:val="nil"/>
              <w:left w:val="nil"/>
              <w:bottom w:val="nil"/>
              <w:right w:val="nil"/>
            </w:tcBorders>
            <w:shd w:val="clear" w:color="auto" w:fill="F2F2F2" w:themeFill="background1" w:themeFillShade="F2"/>
            <w:noWrap/>
            <w:vAlign w:val="center"/>
          </w:tcPr>
          <w:p w14:paraId="5F39AD5D"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3</w:t>
            </w:r>
          </w:p>
        </w:tc>
        <w:tc>
          <w:tcPr>
            <w:tcW w:w="509" w:type="pct"/>
            <w:tcBorders>
              <w:top w:val="nil"/>
              <w:left w:val="nil"/>
              <w:bottom w:val="nil"/>
              <w:right w:val="nil"/>
            </w:tcBorders>
            <w:shd w:val="clear" w:color="auto" w:fill="F2F2F2" w:themeFill="background1" w:themeFillShade="F2"/>
            <w:noWrap/>
            <w:vAlign w:val="center"/>
          </w:tcPr>
          <w:p w14:paraId="42BCBFB2"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3,</w:t>
            </w:r>
            <w:r w:rsidR="00CE45AD" w:rsidRPr="00CE45AD">
              <w:rPr>
                <w:rFonts w:eastAsia="Calibri" w:cs="Times New Roman"/>
                <w:sz w:val="20"/>
                <w:szCs w:val="20"/>
                <w:lang w:eastAsia="en-US"/>
              </w:rPr>
              <w:t>3</w:t>
            </w:r>
          </w:p>
        </w:tc>
      </w:tr>
      <w:tr w:rsidR="00CE45AD" w:rsidRPr="00CE45AD" w14:paraId="0C72F767" w14:textId="77777777" w:rsidTr="008C0F1F">
        <w:trPr>
          <w:trHeight w:val="20"/>
          <w:jc w:val="center"/>
        </w:trPr>
        <w:tc>
          <w:tcPr>
            <w:tcW w:w="5000" w:type="pct"/>
            <w:gridSpan w:val="7"/>
            <w:tcBorders>
              <w:top w:val="nil"/>
              <w:bottom w:val="nil"/>
            </w:tcBorders>
            <w:shd w:val="clear" w:color="auto" w:fill="F2F2F2" w:themeFill="background1" w:themeFillShade="F2"/>
            <w:noWrap/>
            <w:vAlign w:val="center"/>
          </w:tcPr>
          <w:p w14:paraId="1818DA14" w14:textId="77777777" w:rsidR="00CE45AD" w:rsidRPr="00CE45AD" w:rsidRDefault="00CE45AD" w:rsidP="00CE45AD">
            <w:pPr>
              <w:spacing w:after="0" w:line="259" w:lineRule="auto"/>
              <w:jc w:val="left"/>
              <w:rPr>
                <w:rFonts w:eastAsia="Calibri" w:cs="Times New Roman"/>
                <w:b/>
                <w:bCs/>
                <w:sz w:val="20"/>
                <w:szCs w:val="20"/>
                <w:lang w:eastAsia="en-GB"/>
              </w:rPr>
            </w:pPr>
            <w:r w:rsidRPr="00CE45AD">
              <w:rPr>
                <w:rFonts w:eastAsia="Calibri" w:cs="Times New Roman"/>
                <w:b/>
                <w:bCs/>
                <w:sz w:val="20"/>
                <w:szCs w:val="20"/>
                <w:lang w:eastAsia="en-GB"/>
              </w:rPr>
              <w:t>Паричен сектор</w:t>
            </w:r>
          </w:p>
        </w:tc>
      </w:tr>
      <w:tr w:rsidR="00CE45AD" w:rsidRPr="00CE45AD" w14:paraId="6DB67393" w14:textId="77777777" w:rsidTr="001F2FB5">
        <w:trPr>
          <w:trHeight w:val="20"/>
          <w:jc w:val="center"/>
        </w:trPr>
        <w:tc>
          <w:tcPr>
            <w:tcW w:w="1905" w:type="pct"/>
            <w:shd w:val="clear" w:color="auto" w:fill="FFFFFF" w:themeFill="background1"/>
            <w:noWrap/>
            <w:vAlign w:val="center"/>
          </w:tcPr>
          <w:p w14:paraId="3189DE7F"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М3 (%)</w:t>
            </w:r>
          </w:p>
        </w:tc>
        <w:tc>
          <w:tcPr>
            <w:tcW w:w="499" w:type="pct"/>
            <w:tcBorders>
              <w:top w:val="nil"/>
              <w:left w:val="nil"/>
              <w:bottom w:val="nil"/>
              <w:right w:val="nil"/>
            </w:tcBorders>
            <w:shd w:val="clear" w:color="auto" w:fill="FFFFFF" w:themeFill="background1"/>
            <w:noWrap/>
            <w:vAlign w:val="center"/>
          </w:tcPr>
          <w:p w14:paraId="11296AD5"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7</w:t>
            </w:r>
          </w:p>
        </w:tc>
        <w:tc>
          <w:tcPr>
            <w:tcW w:w="575" w:type="pct"/>
            <w:tcBorders>
              <w:top w:val="nil"/>
              <w:left w:val="nil"/>
              <w:bottom w:val="nil"/>
              <w:right w:val="nil"/>
            </w:tcBorders>
            <w:shd w:val="clear" w:color="auto" w:fill="FFFFFF" w:themeFill="background1"/>
            <w:noWrap/>
            <w:vAlign w:val="center"/>
          </w:tcPr>
          <w:p w14:paraId="7CF425CC"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7</w:t>
            </w:r>
          </w:p>
        </w:tc>
        <w:tc>
          <w:tcPr>
            <w:tcW w:w="507" w:type="pct"/>
            <w:tcBorders>
              <w:top w:val="nil"/>
              <w:left w:val="nil"/>
              <w:bottom w:val="nil"/>
              <w:right w:val="nil"/>
            </w:tcBorders>
            <w:shd w:val="clear" w:color="auto" w:fill="F2F2F2" w:themeFill="background1" w:themeFillShade="F2"/>
            <w:noWrap/>
            <w:vAlign w:val="center"/>
          </w:tcPr>
          <w:p w14:paraId="3D5AFAB2"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3</w:t>
            </w:r>
          </w:p>
        </w:tc>
        <w:tc>
          <w:tcPr>
            <w:tcW w:w="507" w:type="pct"/>
            <w:tcBorders>
              <w:top w:val="nil"/>
              <w:left w:val="nil"/>
              <w:bottom w:val="nil"/>
              <w:right w:val="nil"/>
            </w:tcBorders>
            <w:shd w:val="clear" w:color="auto" w:fill="F2F2F2" w:themeFill="background1" w:themeFillShade="F2"/>
            <w:noWrap/>
            <w:vAlign w:val="center"/>
          </w:tcPr>
          <w:p w14:paraId="6650549B"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1</w:t>
            </w:r>
          </w:p>
        </w:tc>
        <w:tc>
          <w:tcPr>
            <w:tcW w:w="498" w:type="pct"/>
            <w:tcBorders>
              <w:top w:val="nil"/>
              <w:left w:val="nil"/>
              <w:bottom w:val="nil"/>
              <w:right w:val="nil"/>
            </w:tcBorders>
            <w:shd w:val="clear" w:color="auto" w:fill="F2F2F2" w:themeFill="background1" w:themeFillShade="F2"/>
            <w:noWrap/>
            <w:vAlign w:val="center"/>
          </w:tcPr>
          <w:p w14:paraId="32CAA543"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7</w:t>
            </w:r>
          </w:p>
        </w:tc>
        <w:tc>
          <w:tcPr>
            <w:tcW w:w="509" w:type="pct"/>
            <w:tcBorders>
              <w:top w:val="nil"/>
              <w:left w:val="nil"/>
              <w:bottom w:val="nil"/>
              <w:right w:val="nil"/>
            </w:tcBorders>
            <w:shd w:val="clear" w:color="auto" w:fill="F2F2F2" w:themeFill="background1" w:themeFillShade="F2"/>
            <w:noWrap/>
            <w:vAlign w:val="center"/>
          </w:tcPr>
          <w:p w14:paraId="2332C4D9"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2</w:t>
            </w:r>
          </w:p>
        </w:tc>
      </w:tr>
      <w:tr w:rsidR="00CE45AD" w:rsidRPr="00CE45AD" w14:paraId="47E65CCD" w14:textId="77777777" w:rsidTr="001F2FB5">
        <w:trPr>
          <w:trHeight w:val="20"/>
          <w:jc w:val="center"/>
        </w:trPr>
        <w:tc>
          <w:tcPr>
            <w:tcW w:w="1905" w:type="pct"/>
            <w:tcBorders>
              <w:bottom w:val="nil"/>
            </w:tcBorders>
            <w:shd w:val="clear" w:color="auto" w:fill="FFFFFF" w:themeFill="background1"/>
            <w:noWrap/>
            <w:vAlign w:val="center"/>
          </w:tcPr>
          <w:p w14:paraId="0B7CB7D4"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Вземания от фирми (%)</w:t>
            </w:r>
          </w:p>
        </w:tc>
        <w:tc>
          <w:tcPr>
            <w:tcW w:w="499" w:type="pct"/>
            <w:tcBorders>
              <w:top w:val="nil"/>
              <w:left w:val="nil"/>
              <w:bottom w:val="nil"/>
              <w:right w:val="nil"/>
            </w:tcBorders>
            <w:shd w:val="clear" w:color="auto" w:fill="FFFFFF" w:themeFill="background1"/>
            <w:noWrap/>
            <w:vAlign w:val="center"/>
          </w:tcPr>
          <w:p w14:paraId="4AA5095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9,</w:t>
            </w:r>
            <w:r w:rsidR="00CE45AD" w:rsidRPr="00CE45AD">
              <w:rPr>
                <w:rFonts w:eastAsia="Calibri" w:cs="Times New Roman"/>
                <w:sz w:val="20"/>
                <w:szCs w:val="20"/>
                <w:lang w:eastAsia="en-US"/>
              </w:rPr>
              <w:t>7</w:t>
            </w:r>
          </w:p>
        </w:tc>
        <w:tc>
          <w:tcPr>
            <w:tcW w:w="575" w:type="pct"/>
            <w:tcBorders>
              <w:top w:val="nil"/>
              <w:left w:val="nil"/>
              <w:bottom w:val="nil"/>
              <w:right w:val="nil"/>
            </w:tcBorders>
            <w:shd w:val="clear" w:color="auto" w:fill="FFFFFF" w:themeFill="background1"/>
            <w:noWrap/>
            <w:vAlign w:val="center"/>
          </w:tcPr>
          <w:p w14:paraId="386554AF"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1</w:t>
            </w:r>
          </w:p>
        </w:tc>
        <w:tc>
          <w:tcPr>
            <w:tcW w:w="507" w:type="pct"/>
            <w:tcBorders>
              <w:top w:val="nil"/>
              <w:left w:val="nil"/>
              <w:bottom w:val="nil"/>
              <w:right w:val="nil"/>
            </w:tcBorders>
            <w:shd w:val="clear" w:color="auto" w:fill="F2F2F2" w:themeFill="background1" w:themeFillShade="F2"/>
            <w:noWrap/>
            <w:vAlign w:val="center"/>
          </w:tcPr>
          <w:p w14:paraId="226E88E1"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5</w:t>
            </w:r>
          </w:p>
        </w:tc>
        <w:tc>
          <w:tcPr>
            <w:tcW w:w="507" w:type="pct"/>
            <w:tcBorders>
              <w:top w:val="nil"/>
              <w:left w:val="nil"/>
              <w:bottom w:val="nil"/>
              <w:right w:val="nil"/>
            </w:tcBorders>
            <w:shd w:val="clear" w:color="auto" w:fill="F2F2F2" w:themeFill="background1" w:themeFillShade="F2"/>
            <w:noWrap/>
            <w:vAlign w:val="center"/>
          </w:tcPr>
          <w:p w14:paraId="0585E846"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3</w:t>
            </w:r>
          </w:p>
        </w:tc>
        <w:tc>
          <w:tcPr>
            <w:tcW w:w="498" w:type="pct"/>
            <w:tcBorders>
              <w:top w:val="nil"/>
              <w:left w:val="nil"/>
              <w:bottom w:val="nil"/>
              <w:right w:val="nil"/>
            </w:tcBorders>
            <w:shd w:val="clear" w:color="auto" w:fill="F2F2F2" w:themeFill="background1" w:themeFillShade="F2"/>
            <w:noWrap/>
            <w:vAlign w:val="center"/>
          </w:tcPr>
          <w:p w14:paraId="7D2C724F"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6</w:t>
            </w:r>
          </w:p>
        </w:tc>
        <w:tc>
          <w:tcPr>
            <w:tcW w:w="509" w:type="pct"/>
            <w:tcBorders>
              <w:top w:val="nil"/>
              <w:left w:val="nil"/>
              <w:bottom w:val="nil"/>
              <w:right w:val="nil"/>
            </w:tcBorders>
            <w:shd w:val="clear" w:color="auto" w:fill="F2F2F2" w:themeFill="background1" w:themeFillShade="F2"/>
            <w:noWrap/>
            <w:vAlign w:val="center"/>
          </w:tcPr>
          <w:p w14:paraId="2D2A3956"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8,</w:t>
            </w:r>
            <w:r w:rsidR="00CE45AD" w:rsidRPr="00CE45AD">
              <w:rPr>
                <w:rFonts w:eastAsia="Calibri" w:cs="Times New Roman"/>
                <w:sz w:val="20"/>
                <w:szCs w:val="20"/>
                <w:lang w:eastAsia="en-US"/>
              </w:rPr>
              <w:t>2</w:t>
            </w:r>
          </w:p>
        </w:tc>
      </w:tr>
      <w:tr w:rsidR="00CE45AD" w:rsidRPr="00CE45AD" w14:paraId="7A24F9D8" w14:textId="77777777" w:rsidTr="001F2FB5">
        <w:trPr>
          <w:trHeight w:val="20"/>
          <w:jc w:val="center"/>
        </w:trPr>
        <w:tc>
          <w:tcPr>
            <w:tcW w:w="1905" w:type="pct"/>
            <w:tcBorders>
              <w:top w:val="nil"/>
              <w:bottom w:val="single" w:sz="4" w:space="0" w:color="auto"/>
            </w:tcBorders>
            <w:shd w:val="clear" w:color="auto" w:fill="FFFFFF" w:themeFill="background1"/>
            <w:noWrap/>
            <w:vAlign w:val="center"/>
          </w:tcPr>
          <w:p w14:paraId="6B830607" w14:textId="77777777" w:rsidR="00CE45AD" w:rsidRPr="00CE45AD" w:rsidRDefault="00CE45AD" w:rsidP="00CE45AD">
            <w:pPr>
              <w:spacing w:after="0" w:line="259" w:lineRule="auto"/>
              <w:ind w:left="283"/>
              <w:jc w:val="left"/>
              <w:rPr>
                <w:rFonts w:eastAsia="Calibri" w:cs="Times New Roman"/>
                <w:bCs/>
                <w:sz w:val="20"/>
                <w:szCs w:val="20"/>
                <w:lang w:eastAsia="en-GB"/>
              </w:rPr>
            </w:pPr>
            <w:r w:rsidRPr="00CE45AD">
              <w:rPr>
                <w:rFonts w:eastAsia="Calibri" w:cs="Times New Roman"/>
                <w:bCs/>
                <w:sz w:val="20"/>
                <w:szCs w:val="20"/>
                <w:lang w:eastAsia="en-GB"/>
              </w:rPr>
              <w:t>Вземания от домакинства (%)</w:t>
            </w:r>
          </w:p>
        </w:tc>
        <w:tc>
          <w:tcPr>
            <w:tcW w:w="499" w:type="pct"/>
            <w:tcBorders>
              <w:top w:val="nil"/>
              <w:left w:val="nil"/>
              <w:bottom w:val="single" w:sz="4" w:space="0" w:color="auto"/>
              <w:right w:val="nil"/>
            </w:tcBorders>
            <w:shd w:val="clear" w:color="auto" w:fill="FFFFFF" w:themeFill="background1"/>
            <w:noWrap/>
            <w:vAlign w:val="center"/>
          </w:tcPr>
          <w:p w14:paraId="1C8B276B"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15,</w:t>
            </w:r>
            <w:r w:rsidR="00CE45AD" w:rsidRPr="00CE45AD">
              <w:rPr>
                <w:rFonts w:eastAsia="Calibri" w:cs="Times New Roman"/>
                <w:sz w:val="20"/>
                <w:szCs w:val="20"/>
                <w:lang w:eastAsia="en-US"/>
              </w:rPr>
              <w:t>9</w:t>
            </w:r>
          </w:p>
        </w:tc>
        <w:tc>
          <w:tcPr>
            <w:tcW w:w="575" w:type="pct"/>
            <w:tcBorders>
              <w:top w:val="nil"/>
              <w:left w:val="nil"/>
              <w:bottom w:val="single" w:sz="4" w:space="0" w:color="auto"/>
              <w:right w:val="nil"/>
            </w:tcBorders>
            <w:shd w:val="clear" w:color="auto" w:fill="FFFFFF" w:themeFill="background1"/>
            <w:noWrap/>
            <w:vAlign w:val="center"/>
          </w:tcPr>
          <w:p w14:paraId="2173E480"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20,</w:t>
            </w:r>
            <w:r w:rsidR="00CE45AD" w:rsidRPr="00CE45AD">
              <w:rPr>
                <w:rFonts w:eastAsia="Calibri" w:cs="Times New Roman"/>
                <w:sz w:val="20"/>
                <w:szCs w:val="20"/>
                <w:lang w:eastAsia="en-US"/>
              </w:rPr>
              <w:t>8</w:t>
            </w:r>
          </w:p>
        </w:tc>
        <w:tc>
          <w:tcPr>
            <w:tcW w:w="507" w:type="pct"/>
            <w:tcBorders>
              <w:top w:val="nil"/>
              <w:left w:val="nil"/>
              <w:bottom w:val="single" w:sz="4" w:space="0" w:color="auto"/>
              <w:right w:val="nil"/>
            </w:tcBorders>
            <w:shd w:val="clear" w:color="auto" w:fill="F2F2F2" w:themeFill="background1" w:themeFillShade="F2"/>
            <w:noWrap/>
            <w:vAlign w:val="center"/>
          </w:tcPr>
          <w:p w14:paraId="7611D7EA" w14:textId="77777777" w:rsidR="00CE45AD" w:rsidRPr="00CE45AD" w:rsidRDefault="00A70EB0"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20,</w:t>
            </w:r>
            <w:r w:rsidR="00CE45AD" w:rsidRPr="00CE45AD">
              <w:rPr>
                <w:rFonts w:eastAsia="Calibri" w:cs="Times New Roman"/>
                <w:sz w:val="20"/>
                <w:szCs w:val="20"/>
                <w:lang w:eastAsia="en-US"/>
              </w:rPr>
              <w:t>9</w:t>
            </w:r>
          </w:p>
        </w:tc>
        <w:tc>
          <w:tcPr>
            <w:tcW w:w="507" w:type="pct"/>
            <w:tcBorders>
              <w:top w:val="nil"/>
              <w:left w:val="nil"/>
              <w:bottom w:val="single" w:sz="4" w:space="0" w:color="auto"/>
              <w:right w:val="nil"/>
            </w:tcBorders>
            <w:shd w:val="clear" w:color="auto" w:fill="F2F2F2" w:themeFill="background1" w:themeFillShade="F2"/>
            <w:noWrap/>
            <w:vAlign w:val="center"/>
          </w:tcPr>
          <w:p w14:paraId="25952EE9"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17,</w:t>
            </w:r>
            <w:r w:rsidR="00CE45AD" w:rsidRPr="00CE45AD">
              <w:rPr>
                <w:rFonts w:eastAsia="Calibri" w:cs="Times New Roman"/>
                <w:sz w:val="20"/>
                <w:szCs w:val="20"/>
                <w:lang w:eastAsia="en-US"/>
              </w:rPr>
              <w:t>5</w:t>
            </w:r>
          </w:p>
        </w:tc>
        <w:tc>
          <w:tcPr>
            <w:tcW w:w="498" w:type="pct"/>
            <w:tcBorders>
              <w:top w:val="nil"/>
              <w:left w:val="nil"/>
              <w:bottom w:val="single" w:sz="4" w:space="0" w:color="auto"/>
              <w:right w:val="nil"/>
            </w:tcBorders>
            <w:shd w:val="clear" w:color="auto" w:fill="F2F2F2" w:themeFill="background1" w:themeFillShade="F2"/>
            <w:noWrap/>
            <w:vAlign w:val="center"/>
          </w:tcPr>
          <w:p w14:paraId="673560B5" w14:textId="77777777" w:rsidR="00CE45AD" w:rsidRPr="00CE45AD" w:rsidRDefault="00FE1E75"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13,</w:t>
            </w:r>
            <w:r w:rsidR="00CE45AD" w:rsidRPr="00CE45AD">
              <w:rPr>
                <w:rFonts w:eastAsia="Calibri" w:cs="Times New Roman"/>
                <w:sz w:val="20"/>
                <w:szCs w:val="20"/>
                <w:lang w:eastAsia="en-US"/>
              </w:rPr>
              <w:t>3</w:t>
            </w:r>
          </w:p>
        </w:tc>
        <w:tc>
          <w:tcPr>
            <w:tcW w:w="509" w:type="pct"/>
            <w:tcBorders>
              <w:top w:val="nil"/>
              <w:left w:val="nil"/>
              <w:bottom w:val="single" w:sz="4" w:space="0" w:color="auto"/>
              <w:right w:val="nil"/>
            </w:tcBorders>
            <w:shd w:val="clear" w:color="auto" w:fill="F2F2F2" w:themeFill="background1" w:themeFillShade="F2"/>
            <w:noWrap/>
            <w:vAlign w:val="center"/>
          </w:tcPr>
          <w:p w14:paraId="05CBE536" w14:textId="77777777" w:rsidR="00CE45AD" w:rsidRPr="00CE45AD" w:rsidRDefault="00637543" w:rsidP="00CE45AD">
            <w:pPr>
              <w:spacing w:after="0" w:line="259" w:lineRule="auto"/>
              <w:ind w:firstLineChars="100" w:firstLine="200"/>
              <w:jc w:val="right"/>
              <w:rPr>
                <w:rFonts w:eastAsia="Calibri" w:cs="Times New Roman"/>
                <w:sz w:val="20"/>
                <w:szCs w:val="20"/>
                <w:lang w:eastAsia="en-US"/>
              </w:rPr>
            </w:pPr>
            <w:r>
              <w:rPr>
                <w:rFonts w:eastAsia="Calibri" w:cs="Times New Roman"/>
                <w:sz w:val="20"/>
                <w:szCs w:val="20"/>
                <w:lang w:eastAsia="en-US"/>
              </w:rPr>
              <w:t>10,</w:t>
            </w:r>
            <w:r w:rsidR="00CE45AD" w:rsidRPr="00CE45AD">
              <w:rPr>
                <w:rFonts w:eastAsia="Calibri" w:cs="Times New Roman"/>
                <w:sz w:val="20"/>
                <w:szCs w:val="20"/>
                <w:lang w:eastAsia="en-US"/>
              </w:rPr>
              <w:t>7</w:t>
            </w:r>
          </w:p>
        </w:tc>
      </w:tr>
    </w:tbl>
    <w:bookmarkEnd w:id="142"/>
    <w:bookmarkEnd w:id="143"/>
    <w:bookmarkEnd w:id="144"/>
    <w:bookmarkEnd w:id="145"/>
    <w:p w14:paraId="7791BA44" w14:textId="77777777" w:rsidR="00204DDA" w:rsidRPr="00204DDA" w:rsidRDefault="00AB7CDA" w:rsidP="00204DDA">
      <w:pPr>
        <w:spacing w:before="120"/>
        <w:jc w:val="right"/>
        <w:rPr>
          <w:b/>
          <w:bCs/>
          <w:sz w:val="18"/>
          <w:szCs w:val="18"/>
        </w:rPr>
      </w:pPr>
      <w:r w:rsidRPr="00CE45AD">
        <w:rPr>
          <w:sz w:val="18"/>
          <w:szCs w:val="18"/>
        </w:rPr>
        <w:t xml:space="preserve">Източник: </w:t>
      </w:r>
      <w:r w:rsidR="00204DDA" w:rsidRPr="00CE45AD">
        <w:rPr>
          <w:sz w:val="18"/>
          <w:szCs w:val="18"/>
        </w:rPr>
        <w:t>МФ, НСИ</w:t>
      </w:r>
      <w:r w:rsidR="00AA2630" w:rsidRPr="00CE45AD">
        <w:rPr>
          <w:rStyle w:val="FootnoteReference"/>
          <w:szCs w:val="18"/>
        </w:rPr>
        <w:footnoteReference w:id="11"/>
      </w:r>
      <w:r w:rsidR="00204DDA" w:rsidRPr="00CE45AD">
        <w:rPr>
          <w:sz w:val="18"/>
          <w:szCs w:val="18"/>
        </w:rPr>
        <w:t>, БНБ</w:t>
      </w:r>
      <w:r w:rsidR="00AA2630" w:rsidRPr="00CE45AD">
        <w:rPr>
          <w:rStyle w:val="FootnoteReference"/>
          <w:szCs w:val="18"/>
        </w:rPr>
        <w:footnoteReference w:id="12"/>
      </w:r>
    </w:p>
    <w:p w14:paraId="2CA3CB00" w14:textId="77777777" w:rsidR="00AB7CDA" w:rsidRPr="00FB3B52" w:rsidRDefault="00AB7CDA" w:rsidP="00FB3B52">
      <w:pPr>
        <w:pStyle w:val="Heading3"/>
        <w:spacing w:before="0" w:after="200"/>
        <w:ind w:left="0"/>
      </w:pPr>
      <w:r w:rsidRPr="00FB3B52">
        <w:t xml:space="preserve">Брутен вътрешен продукт </w:t>
      </w:r>
    </w:p>
    <w:p w14:paraId="22AF8210" w14:textId="77777777" w:rsidR="00CE45AD" w:rsidRPr="00CE45AD" w:rsidRDefault="00CE45AD" w:rsidP="00FB3B52">
      <w:pPr>
        <w:rPr>
          <w:bCs/>
          <w:szCs w:val="24"/>
        </w:rPr>
      </w:pPr>
      <w:r w:rsidRPr="00CE45AD">
        <w:rPr>
          <w:bCs/>
          <w:szCs w:val="24"/>
        </w:rPr>
        <w:t xml:space="preserve">За цялата </w:t>
      </w:r>
      <w:r w:rsidRPr="00AF72DC">
        <w:rPr>
          <w:bCs/>
          <w:szCs w:val="24"/>
        </w:rPr>
        <w:t xml:space="preserve">2025 </w:t>
      </w:r>
      <w:r w:rsidRPr="00CE45AD">
        <w:rPr>
          <w:bCs/>
          <w:szCs w:val="24"/>
        </w:rPr>
        <w:t>г. се очаква реален растеж на БВП от 3%. До края на годината се очаква леко забавяне в растежа на потреблението. В същото време ще има малко по-добро представяне на износа, но за годината се очаква отрицателен принос на нетния износ към изменението на БВП. Растежът на икономиката ще се забави до 2,7% през 2026 г. Очакваното забавяне в растежа на доходите ще доведе до по-слабо нарастване на потреблението на домакинствата. Прогнозира се умерен растеж на износа и забавяне на нарастването на вноса спрямо 2025 г., като нетният износ ще има леко положителен принос за растежа на БВП. В периода 2027-2028 г. растежът на БВП ще бъде в рамките на 2,5-2,4</w:t>
      </w:r>
      <w:r w:rsidRPr="00F27839">
        <w:rPr>
          <w:bCs/>
          <w:szCs w:val="24"/>
        </w:rPr>
        <w:t xml:space="preserve">%. </w:t>
      </w:r>
      <w:r w:rsidRPr="00CE45AD">
        <w:rPr>
          <w:bCs/>
          <w:szCs w:val="24"/>
        </w:rPr>
        <w:t>Растежът на износа ще следва динамиката на външното търсене. Ръстът на вноса ще бъде предопределян от постепенното забавяне на потреблението, нуждите на експортно-ориентираните сектори и планираното придобиване на военна</w:t>
      </w:r>
      <w:r>
        <w:rPr>
          <w:bCs/>
          <w:szCs w:val="24"/>
        </w:rPr>
        <w:t xml:space="preserve"> техника (основно през 2027 г).</w:t>
      </w:r>
    </w:p>
    <w:p w14:paraId="421D6918" w14:textId="77777777" w:rsidR="00AB7CDA" w:rsidRPr="008200BE" w:rsidRDefault="00AB7CDA" w:rsidP="00FB3B52">
      <w:pPr>
        <w:pStyle w:val="Heading3"/>
        <w:spacing w:before="0" w:after="200"/>
        <w:ind w:left="0"/>
      </w:pPr>
      <w:r w:rsidRPr="008200BE">
        <w:lastRenderedPageBreak/>
        <w:t>Пазар на труда</w:t>
      </w:r>
      <w:r w:rsidR="00E069E4" w:rsidRPr="008200BE">
        <w:t xml:space="preserve"> и доходи</w:t>
      </w:r>
    </w:p>
    <w:p w14:paraId="7D5589EB" w14:textId="77777777" w:rsidR="00A1581C" w:rsidRPr="00A1581C" w:rsidRDefault="00A1581C" w:rsidP="00FB3B52">
      <w:r w:rsidRPr="00A1581C">
        <w:t>През 2025 г. се очаква броят на заетите лица да се повиши с 1,6% спрямо 2024 г., а коефициентът на безработи</w:t>
      </w:r>
      <w:r w:rsidR="00585A11">
        <w:t>ца да намалее до 3,6</w:t>
      </w:r>
      <w:r w:rsidRPr="00A1581C">
        <w:t xml:space="preserve">% </w:t>
      </w:r>
      <w:r w:rsidR="001D64C1">
        <w:t>средно за цялата година или с 0,</w:t>
      </w:r>
      <w:r w:rsidRPr="00A1581C">
        <w:t xml:space="preserve">5 </w:t>
      </w:r>
      <w:proofErr w:type="spellStart"/>
      <w:r w:rsidRPr="00A1581C">
        <w:t>пр.п</w:t>
      </w:r>
      <w:proofErr w:type="spellEnd"/>
      <w:r w:rsidRPr="00A1581C">
        <w:t>. в сравнение с предходната година.</w:t>
      </w:r>
    </w:p>
    <w:p w14:paraId="5598F228" w14:textId="77777777" w:rsidR="00A1581C" w:rsidRPr="00A1581C" w:rsidRDefault="00A1581C" w:rsidP="00FB3B52">
      <w:r w:rsidRPr="00A1581C">
        <w:t>За 2026 г. прогнозата е заетостта да продължи да се</w:t>
      </w:r>
      <w:r w:rsidR="001D64C1">
        <w:t xml:space="preserve"> увеличава (с 0,</w:t>
      </w:r>
      <w:r w:rsidRPr="00A1581C">
        <w:t>8%), но темпът на растеж да се забавя. Негативното демографско развитие в страната и изчерпващите се възможности за увеличаване на предлагането на труд не позволяват трайното поддържане на високия ръст на заетостта, наблюдаван през 2025 година. Все по-ограничени са възможностите за преход от безработица към заетост и затова основното допускане е, че през 2026 г. увеличаването на заетостта ще се случва преимуществено чрез привличане на част от неактивните лица обратно в работната сила или чрез привличането на работна сила от други държави. Поради това през 2026 г. коефициентът на безработи</w:t>
      </w:r>
      <w:r w:rsidR="00933BA1">
        <w:t>ца се запазва на същото ниво (3,</w:t>
      </w:r>
      <w:r w:rsidRPr="00A1581C">
        <w:t>6%) както и през 2025 г., въпреки прогнозирания ръст на заетите.</w:t>
      </w:r>
    </w:p>
    <w:p w14:paraId="678ED70C" w14:textId="77777777" w:rsidR="00A1581C" w:rsidRPr="00A1581C" w:rsidRDefault="00A1581C" w:rsidP="00FB3B52">
      <w:r w:rsidRPr="00A1581C">
        <w:t xml:space="preserve">Неблагоприятната демографска динамика в страната и все по-ограничените възможности за увеличаване на предлагането на труд предопределят по-нататъшното забавяне на ръста на заетостта през 2027-2028 г. През 2027 </w:t>
      </w:r>
      <w:r w:rsidR="00C6272B">
        <w:t xml:space="preserve">г. </w:t>
      </w:r>
      <w:r w:rsidRPr="00A1581C">
        <w:t xml:space="preserve">прогнозата е заетите да се увеличат годишно с 0,3%, а през 2028 г. техният брой се очаква практически да се запази непроменен. Поради относително ниските равнища на безработица в страната през </w:t>
      </w:r>
      <w:r w:rsidR="00933BA1">
        <w:t xml:space="preserve">                   2027 </w:t>
      </w:r>
      <w:r w:rsidR="00513F9B">
        <w:t xml:space="preserve">г. </w:t>
      </w:r>
      <w:r w:rsidR="00933BA1">
        <w:t xml:space="preserve">и </w:t>
      </w:r>
      <w:r w:rsidRPr="00A1581C">
        <w:t xml:space="preserve">2028 г. коефициентът на безработица </w:t>
      </w:r>
      <w:r w:rsidR="00933BA1">
        <w:t>се очаква</w:t>
      </w:r>
      <w:r w:rsidR="00933BA1" w:rsidRPr="00A1581C">
        <w:t xml:space="preserve"> </w:t>
      </w:r>
      <w:r w:rsidRPr="00A1581C">
        <w:t>да се запази постоянен и да се колебае ок</w:t>
      </w:r>
      <w:r w:rsidR="00C6272B">
        <w:t>оло достигнатото равнище от 3,6</w:t>
      </w:r>
      <w:r w:rsidRPr="00A1581C">
        <w:t>%.Търсенето на труд се очаква да се запази високо, но до голяма степен задоволяването на неговото нарастване се очаква да зависи от успеха на правителствените политики и на усилията на бизнеса да привлекат лица, които са извън работната сила или от чужбина.</w:t>
      </w:r>
    </w:p>
    <w:p w14:paraId="6DDCE47D" w14:textId="77777777" w:rsidR="00A1581C" w:rsidRPr="00A1581C" w:rsidRDefault="00A1581C" w:rsidP="00FB3B52">
      <w:r w:rsidRPr="00A1581C">
        <w:t>Очаква се през втората половина на 2025 г. нарастването на компенсацията на един нает леко да се забави и за г</w:t>
      </w:r>
      <w:r w:rsidR="00933BA1">
        <w:t>одината да достигне растеж от 9,</w:t>
      </w:r>
      <w:r w:rsidRPr="00A1581C">
        <w:t>9%. Забавянето на растежа на доходите от труд и увеличението на производителността на труда ще доведат до ограничаване на растежа на номиналните разходи за труд на единица продукция (НРТЕП), които се очаква да се ув</w:t>
      </w:r>
      <w:r w:rsidR="00933BA1">
        <w:t>еличат с темп 8,</w:t>
      </w:r>
      <w:r w:rsidRPr="00A1581C">
        <w:t>4% през 2025 г., който е по-нисък от този през 2024 г. През 2026 г. растеж</w:t>
      </w:r>
      <w:r w:rsidR="00C75AA1">
        <w:t>ът</w:t>
      </w:r>
      <w:r w:rsidRPr="00A1581C">
        <w:t xml:space="preserve"> на доходите от труд</w:t>
      </w:r>
      <w:r w:rsidR="00933BA1">
        <w:t xml:space="preserve"> е оценен на 5,</w:t>
      </w:r>
      <w:r w:rsidRPr="00A1581C">
        <w:t xml:space="preserve">4%. Актуализирането на минималната работна заплата ще допринесе за общото увеличение на доходите от труд </w:t>
      </w:r>
      <w:r w:rsidR="00513F9B">
        <w:t xml:space="preserve">през годината. През </w:t>
      </w:r>
      <w:r w:rsidRPr="00A1581C">
        <w:t xml:space="preserve">2027 </w:t>
      </w:r>
      <w:r w:rsidR="00513F9B">
        <w:t xml:space="preserve">г. </w:t>
      </w:r>
      <w:r w:rsidRPr="00A1581C">
        <w:t>и 2028 г. номиналният растеж на компенсацията на един нает се очак</w:t>
      </w:r>
      <w:r w:rsidR="00933BA1">
        <w:t xml:space="preserve">ва да </w:t>
      </w:r>
      <w:r w:rsidR="004A3FE9">
        <w:t>бъде съответно</w:t>
      </w:r>
      <w:r w:rsidR="00933BA1">
        <w:t xml:space="preserve"> 4,4% и 4,</w:t>
      </w:r>
      <w:r w:rsidRPr="00A1581C">
        <w:t>1%.</w:t>
      </w:r>
    </w:p>
    <w:p w14:paraId="4E367649" w14:textId="77777777" w:rsidR="00A1581C" w:rsidRPr="00A1581C" w:rsidRDefault="00A1581C" w:rsidP="00FB3B52">
      <w:r w:rsidRPr="00A1581C">
        <w:t xml:space="preserve">През 2026 г. се очаква по-чувствително забавяне на растежа на заетостта, което ще доведе до леко ускорение на растежа на производителността на труда въпреки забавянето на  реалния растеж на БВП. През 2027 </w:t>
      </w:r>
      <w:r w:rsidR="00513F9B">
        <w:t xml:space="preserve">г. </w:t>
      </w:r>
      <w:r w:rsidRPr="00A1581C">
        <w:t xml:space="preserve">и 2028 г. се очаква растежът на реалната производителност на труда да продължи да се ускорява. Забавянето на растежа на доходите от труд и увеличението на производителността на труда ще доведат до забавяне на растежа на </w:t>
      </w:r>
      <w:r w:rsidR="00933BA1">
        <w:t>НРТЕП до около 1,</w:t>
      </w:r>
      <w:r w:rsidRPr="00A1581C">
        <w:t>5% през 2028 г. В реално изражение РТЕП се очаква леко да н</w:t>
      </w:r>
      <w:r>
        <w:t>амаляват в периода 2026-2028 г.</w:t>
      </w:r>
    </w:p>
    <w:p w14:paraId="1A64B77F" w14:textId="77777777" w:rsidR="00AB7CDA" w:rsidRPr="008200BE" w:rsidRDefault="00AB7CDA" w:rsidP="00FB3B52">
      <w:pPr>
        <w:pStyle w:val="Heading3"/>
        <w:spacing w:before="0" w:after="200"/>
        <w:ind w:left="0"/>
      </w:pPr>
      <w:r w:rsidRPr="008200BE">
        <w:t>Инфлация</w:t>
      </w:r>
    </w:p>
    <w:p w14:paraId="24E048F9" w14:textId="77777777" w:rsidR="00A1581C" w:rsidRPr="00A1581C" w:rsidRDefault="00A1581C" w:rsidP="00FB3B52">
      <w:pPr>
        <w:rPr>
          <w:bCs/>
          <w:szCs w:val="24"/>
        </w:rPr>
      </w:pPr>
      <w:r w:rsidRPr="00A1581C">
        <w:rPr>
          <w:bCs/>
          <w:szCs w:val="24"/>
        </w:rPr>
        <w:t>Средногодишната инфлация п</w:t>
      </w:r>
      <w:r w:rsidR="00C862CF">
        <w:rPr>
          <w:bCs/>
          <w:szCs w:val="24"/>
        </w:rPr>
        <w:t>рез 2025 г. се очаква да бъде 3,</w:t>
      </w:r>
      <w:r w:rsidRPr="00A1581C">
        <w:rPr>
          <w:bCs/>
          <w:szCs w:val="24"/>
        </w:rPr>
        <w:t>6%, колкото беше и според пролетната прогноза. В есенната прогноза обаче е заложено по-високо нарастване на потребителски</w:t>
      </w:r>
      <w:r w:rsidR="00C862CF">
        <w:rPr>
          <w:bCs/>
          <w:szCs w:val="24"/>
        </w:rPr>
        <w:t>те цени в края на годината от 3,9% (спрямо 2,</w:t>
      </w:r>
      <w:r w:rsidRPr="00A1581C">
        <w:rPr>
          <w:bCs/>
          <w:szCs w:val="24"/>
        </w:rPr>
        <w:t xml:space="preserve">8% през пролетта). Това се дължи на по-високо очаквано поскъпване най-вече при храните, и в по-малка степен при услугите. Приносът на енергийните стоки е по-силно отрицателен, във връзка с </w:t>
      </w:r>
      <w:r w:rsidRPr="00A1581C">
        <w:rPr>
          <w:bCs/>
          <w:szCs w:val="24"/>
        </w:rPr>
        <w:lastRenderedPageBreak/>
        <w:t>актуалните допускания за динамиката на международните цени. Актуализирани са и оценките за влиянието на акцизните ставки върху цигарите, предвид промяната в акцизния календар, която засяга целия прогнозен хоризонт.</w:t>
      </w:r>
    </w:p>
    <w:p w14:paraId="4B5C3706" w14:textId="77777777" w:rsidR="00A1581C" w:rsidRPr="00A1581C" w:rsidRDefault="00A1581C" w:rsidP="00FB3B52">
      <w:pPr>
        <w:rPr>
          <w:bCs/>
          <w:szCs w:val="24"/>
        </w:rPr>
      </w:pPr>
      <w:r w:rsidRPr="00A1581C">
        <w:rPr>
          <w:bCs/>
          <w:szCs w:val="24"/>
        </w:rPr>
        <w:t>Средногодишната инфлация за 2026 г. се очаква да бъде близка до тази п</w:t>
      </w:r>
      <w:r w:rsidR="00C862CF">
        <w:rPr>
          <w:bCs/>
          <w:szCs w:val="24"/>
        </w:rPr>
        <w:t>рез 2025 г., като ще достигне 3,</w:t>
      </w:r>
      <w:r w:rsidRPr="00A1581C">
        <w:rPr>
          <w:bCs/>
          <w:szCs w:val="24"/>
        </w:rPr>
        <w:t>5%. Нарастването на потребителските цени в кра</w:t>
      </w:r>
      <w:r w:rsidR="00C862CF">
        <w:rPr>
          <w:bCs/>
          <w:szCs w:val="24"/>
        </w:rPr>
        <w:t>я на годината ще се забави до 3,</w:t>
      </w:r>
      <w:r w:rsidRPr="00A1581C">
        <w:rPr>
          <w:bCs/>
          <w:szCs w:val="24"/>
        </w:rPr>
        <w:t xml:space="preserve">3%, в съответствие с очакваното по-слабо нарастване на доходите от труд и съответно забавяне на растежа на потреблението. Компонентите на базисната инфлация и в частност услугите ще запазят водещия си принос за формиране на общия индекс. Инфлацията при храните ще се забави във връзка с очакванията за международните цени на храните и засилването на европейската валута спрямо долара. </w:t>
      </w:r>
    </w:p>
    <w:p w14:paraId="2BB7AE5B" w14:textId="77777777" w:rsidR="00A1581C" w:rsidRPr="00A1581C" w:rsidRDefault="00A1581C" w:rsidP="00FB3B52">
      <w:pPr>
        <w:rPr>
          <w:bCs/>
          <w:szCs w:val="24"/>
        </w:rPr>
      </w:pPr>
      <w:r w:rsidRPr="00A1581C">
        <w:rPr>
          <w:bCs/>
          <w:szCs w:val="24"/>
        </w:rPr>
        <w:t>Средногодиш</w:t>
      </w:r>
      <w:r w:rsidR="00C862CF">
        <w:rPr>
          <w:bCs/>
          <w:szCs w:val="24"/>
        </w:rPr>
        <w:t xml:space="preserve">ната инфлация ще се забави до 2,9% през 2027 г. и </w:t>
      </w:r>
      <w:r w:rsidR="00D20B98">
        <w:rPr>
          <w:bCs/>
          <w:szCs w:val="24"/>
        </w:rPr>
        <w:t xml:space="preserve">до </w:t>
      </w:r>
      <w:r w:rsidR="00C862CF">
        <w:rPr>
          <w:bCs/>
          <w:szCs w:val="24"/>
        </w:rPr>
        <w:t>2,</w:t>
      </w:r>
      <w:r w:rsidRPr="00A1581C">
        <w:rPr>
          <w:bCs/>
          <w:szCs w:val="24"/>
        </w:rPr>
        <w:t xml:space="preserve">5% през 2028 г. Услугите ще запазят водещия си принос, следвани от храните, като </w:t>
      </w:r>
      <w:r w:rsidR="00C862CF">
        <w:rPr>
          <w:bCs/>
          <w:szCs w:val="24"/>
        </w:rPr>
        <w:t>се очаква</w:t>
      </w:r>
      <w:r w:rsidRPr="00A1581C">
        <w:rPr>
          <w:bCs/>
          <w:szCs w:val="24"/>
        </w:rPr>
        <w:t xml:space="preserve"> нарастването на относителните цени при тези компоненти на ХИПЦ да се забавя в годините до края на прогнозния хоризонт.</w:t>
      </w:r>
    </w:p>
    <w:p w14:paraId="40A8B658" w14:textId="77777777" w:rsidR="00AB7CDA" w:rsidRPr="008200BE" w:rsidRDefault="00AB7CDA" w:rsidP="00FB3B52">
      <w:pPr>
        <w:pStyle w:val="Heading3"/>
        <w:spacing w:before="0" w:after="200"/>
        <w:ind w:left="0"/>
      </w:pPr>
      <w:r w:rsidRPr="008200BE">
        <w:t>Платежен баланс</w:t>
      </w:r>
    </w:p>
    <w:p w14:paraId="23682D48" w14:textId="77777777" w:rsidR="00A1581C" w:rsidRPr="00A1581C" w:rsidRDefault="00A1581C" w:rsidP="00FB3B52">
      <w:pPr>
        <w:rPr>
          <w:szCs w:val="24"/>
        </w:rPr>
      </w:pPr>
      <w:r w:rsidRPr="00A1581C">
        <w:rPr>
          <w:szCs w:val="24"/>
        </w:rPr>
        <w:t>През 2025 г. се очаква дефицитът по тек</w:t>
      </w:r>
      <w:r w:rsidR="00C862CF">
        <w:rPr>
          <w:szCs w:val="24"/>
        </w:rPr>
        <w:t>ущата сметка да се увеличи до 3,</w:t>
      </w:r>
      <w:r w:rsidRPr="00A1581C">
        <w:rPr>
          <w:szCs w:val="24"/>
        </w:rPr>
        <w:t>3% от прогнозния БВП. Стабилното вътрешно търсене (вкл. придобиване на военна техника</w:t>
      </w:r>
      <w:r w:rsidRPr="00A1581C">
        <w:rPr>
          <w:szCs w:val="24"/>
          <w:vertAlign w:val="superscript"/>
        </w:rPr>
        <w:footnoteReference w:id="13"/>
      </w:r>
      <w:r w:rsidRPr="00A1581C">
        <w:rPr>
          <w:szCs w:val="24"/>
        </w:rPr>
        <w:t>) ще продължи да подкрепя нарастването на вноса на стоки. Въпреки очаквано подобрение в динамиката на износа в края на годината, поради отчетения към момента спад, средно за годината също се прогнозира понижение. Търговс</w:t>
      </w:r>
      <w:r w:rsidR="00C862CF">
        <w:rPr>
          <w:szCs w:val="24"/>
        </w:rPr>
        <w:t>кият дефицит ще се увеличи до 6,</w:t>
      </w:r>
      <w:r w:rsidRPr="00A1581C">
        <w:rPr>
          <w:szCs w:val="24"/>
        </w:rPr>
        <w:t>9% от БВП. Салдата при търговията с услуги и първичен доход ще са съизмерими с 2024 г. Прогнозата е за леко увеличение на излишъка по статия вторичен доход поради входящите средства от ЕС от П</w:t>
      </w:r>
      <w:r w:rsidR="00BC4ADC">
        <w:rPr>
          <w:szCs w:val="24"/>
        </w:rPr>
        <w:t>ВУ</w:t>
      </w:r>
      <w:r w:rsidRPr="00A1581C">
        <w:rPr>
          <w:szCs w:val="24"/>
        </w:rPr>
        <w:t>.</w:t>
      </w:r>
    </w:p>
    <w:p w14:paraId="6E9DD86E" w14:textId="77777777" w:rsidR="00A1581C" w:rsidRPr="00A1581C" w:rsidRDefault="00A1581C" w:rsidP="00FB3B52">
      <w:pPr>
        <w:rPr>
          <w:szCs w:val="24"/>
        </w:rPr>
      </w:pPr>
      <w:r w:rsidRPr="00A1581C">
        <w:rPr>
          <w:szCs w:val="24"/>
        </w:rPr>
        <w:t>През 2026 г. се очаква подобрени</w:t>
      </w:r>
      <w:r w:rsidR="00C862CF">
        <w:rPr>
          <w:szCs w:val="24"/>
        </w:rPr>
        <w:t>е на баланса по текущата сметка</w:t>
      </w:r>
      <w:r w:rsidRPr="00A1581C">
        <w:rPr>
          <w:szCs w:val="24"/>
        </w:rPr>
        <w:t xml:space="preserve"> в отговор на свиване на дефицита при търговията със стоки. Прогнозата е за номинален растеж на износа в синхрон с очакваното умерено повишение на външното търсене, съчетано с повишение на цените на износ. Вносът също ще  нараства, но със забавящ се темп спрямо 2025 г., повлиян от по-умерения растеж на потреблението и отрицателен базов ефект от липсата на  доставки на военна техника. Очаква се леко повишение на излишъка при услугите и по-съществено при вторичния доход поради изплащането на оставащите траншове от ПВУ.</w:t>
      </w:r>
    </w:p>
    <w:p w14:paraId="3884D36C" w14:textId="77777777" w:rsidR="00A1581C" w:rsidRPr="00A1581C" w:rsidRDefault="00A1581C" w:rsidP="00FB3B52">
      <w:pPr>
        <w:rPr>
          <w:szCs w:val="24"/>
        </w:rPr>
      </w:pPr>
      <w:r w:rsidRPr="00A1581C">
        <w:rPr>
          <w:szCs w:val="24"/>
        </w:rPr>
        <w:t xml:space="preserve">Очакванията са дефицитът по </w:t>
      </w:r>
      <w:r w:rsidR="00C862CF">
        <w:rPr>
          <w:szCs w:val="24"/>
        </w:rPr>
        <w:t>текущата сметка да възлезе на 3,</w:t>
      </w:r>
      <w:r w:rsidRPr="00A1581C">
        <w:rPr>
          <w:szCs w:val="24"/>
        </w:rPr>
        <w:t>9%</w:t>
      </w:r>
      <w:r w:rsidR="00C862CF">
        <w:rPr>
          <w:szCs w:val="24"/>
        </w:rPr>
        <w:t xml:space="preserve"> през 2027 г. и да се свие до 3,</w:t>
      </w:r>
      <w:r w:rsidRPr="00A1581C">
        <w:rPr>
          <w:szCs w:val="24"/>
        </w:rPr>
        <w:t>4% от БВП в края на периода. Изменението ще продължи да се предопределя от търговията със стоки. Условията на търговия ще бъдат положителни, но номиналните растежи ще зависят в основна степен от очакваното изменение на търгуваните количества. Вносът ще има изпреварващ растеж през 2027 г</w:t>
      </w:r>
      <w:r w:rsidR="00C862CF">
        <w:rPr>
          <w:szCs w:val="24"/>
        </w:rPr>
        <w:t>. поради</w:t>
      </w:r>
      <w:r w:rsidRPr="00A1581C">
        <w:rPr>
          <w:szCs w:val="24"/>
        </w:rPr>
        <w:t xml:space="preserve"> доставката на военна техника. Динамиката при останалите статии ще бъде слаба. Потокът от входящи П</w:t>
      </w:r>
      <w:r w:rsidR="00C862CF">
        <w:rPr>
          <w:szCs w:val="24"/>
        </w:rPr>
        <w:t>ЧИ ще се задържи в рамките на 3,2-3,</w:t>
      </w:r>
      <w:r w:rsidRPr="00A1581C">
        <w:rPr>
          <w:szCs w:val="24"/>
        </w:rPr>
        <w:t>3% от БВП през целия прогнозен период.</w:t>
      </w:r>
    </w:p>
    <w:p w14:paraId="5AAF9998" w14:textId="77777777" w:rsidR="00A1581C" w:rsidRPr="00A1581C" w:rsidRDefault="00A1581C" w:rsidP="00FB3B52">
      <w:pPr>
        <w:rPr>
          <w:szCs w:val="24"/>
        </w:rPr>
      </w:pPr>
      <w:r w:rsidRPr="00A1581C">
        <w:rPr>
          <w:szCs w:val="24"/>
        </w:rPr>
        <w:t>Общата динамика на платежния баланс предполага запазване на устойчива външна позиция на страната и стабилно ниво на международните резерви.</w:t>
      </w:r>
    </w:p>
    <w:p w14:paraId="1DA44160" w14:textId="77777777" w:rsidR="00AB7CDA" w:rsidRPr="008200BE" w:rsidRDefault="00AB7CDA" w:rsidP="00FB3B52">
      <w:pPr>
        <w:pStyle w:val="Heading3"/>
        <w:spacing w:before="0" w:after="200"/>
        <w:ind w:left="0"/>
      </w:pPr>
      <w:r w:rsidRPr="008200BE">
        <w:lastRenderedPageBreak/>
        <w:t>Паричен сектор</w:t>
      </w:r>
    </w:p>
    <w:p w14:paraId="416CBB98" w14:textId="77777777" w:rsidR="00A1581C" w:rsidRPr="00A1581C" w:rsidRDefault="00A1581C" w:rsidP="00FB3B52">
      <w:pPr>
        <w:rPr>
          <w:szCs w:val="24"/>
        </w:rPr>
      </w:pPr>
      <w:r w:rsidRPr="00A1581C">
        <w:rPr>
          <w:szCs w:val="24"/>
        </w:rPr>
        <w:t>В края на 2025 г. общо вземанията от частния сектор ще нараснат с 13,9% и ще се забавят леко спрямо края на предходната година. Вземанията от предприятия ще се увеличат с 8,5%, а тези от домакинства с 20,9%.</w:t>
      </w:r>
    </w:p>
    <w:p w14:paraId="03658725" w14:textId="77777777" w:rsidR="00A1581C" w:rsidRPr="00A1581C" w:rsidRDefault="00A1581C" w:rsidP="00FB3B52">
      <w:pPr>
        <w:rPr>
          <w:szCs w:val="24"/>
        </w:rPr>
      </w:pPr>
      <w:r w:rsidRPr="00A1581C">
        <w:rPr>
          <w:szCs w:val="24"/>
        </w:rPr>
        <w:t xml:space="preserve">През 2026 г. плавното забавяне на темпа на кредитиране ще продължи, този път основно чрез очакваното понижение на вземанията от домакинства, а вземанията от частния сектор ще нараснат общо с 12,6%. По-слабото нарастване на вземанията от домакинства ще се изрази основно в по-нисък растеж на жилищните кредити и в по-малка степен на забавяне на ръста на потребителските кредити. Това развитие ще съответства на очакваното забавяне на растежа на потреблението, заетостта и компенсациите на наетите. Въпреки това, жилищните кредити ще продължат да нарастват с относително високи темпове поради очакваното запазване на благоприятните условия за финансиране. Растежът на вземанията от предприятия ще остане близък до този от 2025 г. (8,3% в края на 2026 г.), като минималното забавяне ще дойде по линия на малко по-нисък ръст на редовните кредити за нефинансови предприятия. </w:t>
      </w:r>
    </w:p>
    <w:p w14:paraId="68FE5082" w14:textId="77777777" w:rsidR="00A1581C" w:rsidRPr="00A1581C" w:rsidRDefault="00A1581C" w:rsidP="00FB3B52">
      <w:pPr>
        <w:rPr>
          <w:szCs w:val="24"/>
        </w:rPr>
      </w:pPr>
      <w:r w:rsidRPr="00A1581C">
        <w:rPr>
          <w:szCs w:val="24"/>
        </w:rPr>
        <w:t xml:space="preserve">През 2027 </w:t>
      </w:r>
      <w:r w:rsidR="00513F9B">
        <w:rPr>
          <w:szCs w:val="24"/>
        </w:rPr>
        <w:t xml:space="preserve">г. </w:t>
      </w:r>
      <w:r w:rsidRPr="00A1581C">
        <w:rPr>
          <w:szCs w:val="24"/>
        </w:rPr>
        <w:t xml:space="preserve">и 2028 г. вземанията от частния сектор ще продължат да се забавят и в края на </w:t>
      </w:r>
      <w:r w:rsidR="00585A11">
        <w:rPr>
          <w:szCs w:val="24"/>
        </w:rPr>
        <w:t>периода ще нарастват общо с 9,4</w:t>
      </w:r>
      <w:r w:rsidRPr="00A1581C">
        <w:rPr>
          <w:szCs w:val="24"/>
        </w:rPr>
        <w:t xml:space="preserve">%. Това ще се случи основно поради по-слабите темпове на растеж на вземанията от домакинства </w:t>
      </w:r>
      <w:r w:rsidR="001B4E70" w:rsidRPr="001B4E70">
        <w:rPr>
          <w:szCs w:val="24"/>
        </w:rPr>
        <w:t>успоредно с</w:t>
      </w:r>
      <w:r w:rsidRPr="00A1581C">
        <w:rPr>
          <w:szCs w:val="24"/>
        </w:rPr>
        <w:t xml:space="preserve"> очакваното продължаващо понижение на ръста на доходите и потреблението. В по-голяма степен отслабване на растежа ще се наблюдава при жилищните кредити в резултат и от очаквано постепенно охлаждане на пазара на недвижими имоти. В края на 2028 г. вземанията от домакинства ще нарастват с 10,7%. Вземанията от предприятия ще нарастват с относително постоянен темп, който в края на периода ще </w:t>
      </w:r>
      <w:r>
        <w:rPr>
          <w:szCs w:val="24"/>
        </w:rPr>
        <w:t>достигне 8,2%.</w:t>
      </w:r>
    </w:p>
    <w:p w14:paraId="7F6382A9" w14:textId="77777777" w:rsidR="00424142" w:rsidRPr="008200BE" w:rsidRDefault="00424142" w:rsidP="00FB3B52">
      <w:pPr>
        <w:pStyle w:val="Heading3"/>
        <w:spacing w:before="0" w:after="200"/>
        <w:ind w:left="0"/>
      </w:pPr>
      <w:r w:rsidRPr="008200BE">
        <w:t>Рискове пред прогнозата</w:t>
      </w:r>
    </w:p>
    <w:p w14:paraId="27987BC4" w14:textId="77777777" w:rsidR="007D3C51" w:rsidRPr="007D3C51" w:rsidRDefault="007D3C51" w:rsidP="00FB3B52">
      <w:pPr>
        <w:rPr>
          <w:rFonts w:eastAsia="Batang"/>
        </w:rPr>
      </w:pPr>
      <w:r w:rsidRPr="007D3C51">
        <w:rPr>
          <w:rFonts w:eastAsia="Batang"/>
        </w:rPr>
        <w:t>Запазват се рисковете, свързани с международната икономическа обстановка, и все още високата степен на несигурност, произтичаща от възможностите за промяна на съществуващия ред в международната търговия. Очаква се прякото въздействие на тези промени върху българската икономика да бъде ограничено, но са възможни вторични ефекти, идващи от държави, които са основни търговски партньори на България, по линия на ограничено външно търсене и, съответно, забавен растеж на износа.</w:t>
      </w:r>
    </w:p>
    <w:p w14:paraId="1FD0D71C" w14:textId="77777777" w:rsidR="00A1581C" w:rsidRPr="00A1581C" w:rsidRDefault="00A1581C" w:rsidP="00FB3B52">
      <w:pPr>
        <w:rPr>
          <w:rFonts w:eastAsia="Batang"/>
        </w:rPr>
      </w:pPr>
      <w:r w:rsidRPr="00A1581C">
        <w:rPr>
          <w:rFonts w:eastAsia="Batang"/>
        </w:rPr>
        <w:t>Пред прогнозата съществуват и рискове в положителна посока. Предвижда се забавяне в растежа на потреблението на домакинствата през втората половина на 2025 г. и през 2026 г., но ако растежът се задържи висок това може да доведе до по-голямо нарастване на БВП.</w:t>
      </w:r>
    </w:p>
    <w:p w14:paraId="29D91CE6" w14:textId="77777777" w:rsidR="00EB0967" w:rsidRPr="00A1581C" w:rsidRDefault="00A1581C" w:rsidP="00FB3B52">
      <w:pPr>
        <w:rPr>
          <w:rFonts w:eastAsia="Batang"/>
        </w:rPr>
      </w:pPr>
      <w:r w:rsidRPr="00A1581C">
        <w:rPr>
          <w:rFonts w:eastAsia="Batang"/>
        </w:rPr>
        <w:t>Рисковете по отношение на инфлацията, от гледна точка на международната среда, са преобладаващо във възходяща посока и се свързват най-вече с повишената несигурност и геополитическо напрежение, които биха могли да доведат до поскъпване на основните суровини и съответно до по</w:t>
      </w:r>
      <w:r>
        <w:rPr>
          <w:rFonts w:eastAsia="Batang"/>
        </w:rPr>
        <w:t>-висока от очакваната инфлация.</w:t>
      </w:r>
    </w:p>
    <w:p w14:paraId="09366139" w14:textId="77777777" w:rsidR="00AB7CDA" w:rsidRPr="008200BE" w:rsidRDefault="00AB7CDA" w:rsidP="00FB3B52">
      <w:pPr>
        <w:pStyle w:val="Heading3"/>
        <w:spacing w:before="0" w:after="200"/>
        <w:ind w:left="0"/>
      </w:pPr>
      <w:r w:rsidRPr="008200BE">
        <w:t>Потенциален рас</w:t>
      </w:r>
      <w:r w:rsidR="0058553F" w:rsidRPr="008200BE">
        <w:t>теж</w:t>
      </w:r>
    </w:p>
    <w:p w14:paraId="063C8DFE" w14:textId="77777777" w:rsidR="00EF5785" w:rsidRPr="00EF5785" w:rsidRDefault="00EF5785" w:rsidP="00FB3B52">
      <w:pPr>
        <w:rPr>
          <w:bCs/>
          <w:szCs w:val="24"/>
        </w:rPr>
      </w:pPr>
      <w:r w:rsidRPr="00EF5785">
        <w:rPr>
          <w:bCs/>
          <w:szCs w:val="24"/>
        </w:rPr>
        <w:t>Потенциалният растеж на БВП е изчислен по методологията на ЕК (EUCAM)</w:t>
      </w:r>
      <w:r w:rsidRPr="00EF5785">
        <w:rPr>
          <w:bCs/>
          <w:szCs w:val="24"/>
          <w:vertAlign w:val="superscript"/>
        </w:rPr>
        <w:footnoteReference w:id="14"/>
      </w:r>
      <w:r w:rsidRPr="00EF5785">
        <w:rPr>
          <w:bCs/>
          <w:szCs w:val="24"/>
        </w:rPr>
        <w:t xml:space="preserve"> и с прогнозата на МФ. Потенциалният растеж за 2025 г. е оценен на 3,2%. Очаква се той да </w:t>
      </w:r>
      <w:r w:rsidRPr="00EF5785">
        <w:rPr>
          <w:bCs/>
          <w:szCs w:val="24"/>
        </w:rPr>
        <w:lastRenderedPageBreak/>
        <w:t xml:space="preserve">се забави до 2,9% през 2026 г. За 2027 г. и </w:t>
      </w:r>
      <w:r w:rsidR="00AF72DC">
        <w:rPr>
          <w:bCs/>
          <w:szCs w:val="24"/>
        </w:rPr>
        <w:t>2028 г. е оценен съответно на 3% и 2,7</w:t>
      </w:r>
      <w:r w:rsidRPr="00EF5785">
        <w:rPr>
          <w:bCs/>
          <w:szCs w:val="24"/>
        </w:rPr>
        <w:t xml:space="preserve">%. С основен принос за растежа ще бъде общата </w:t>
      </w:r>
      <w:proofErr w:type="spellStart"/>
      <w:r w:rsidRPr="00EF5785">
        <w:rPr>
          <w:bCs/>
          <w:szCs w:val="24"/>
        </w:rPr>
        <w:t>факторна</w:t>
      </w:r>
      <w:proofErr w:type="spellEnd"/>
      <w:r w:rsidRPr="00EF5785">
        <w:rPr>
          <w:bCs/>
          <w:szCs w:val="24"/>
        </w:rPr>
        <w:t xml:space="preserve"> производителност. Приносът на труда постепенно ще намалява, но ще остане положителен, тъй като увеличението на коефициента на икономическа активност ще компенсира намалението на населението в трудоспособна възраст. </w:t>
      </w:r>
    </w:p>
    <w:p w14:paraId="5C200B49" w14:textId="77777777" w:rsidR="00435EC3" w:rsidRPr="001D64C1" w:rsidRDefault="00435EC3" w:rsidP="00FB3B52">
      <w:pPr>
        <w:rPr>
          <w:bCs/>
          <w:szCs w:val="24"/>
        </w:rPr>
      </w:pPr>
      <w:r w:rsidRPr="00435EC3">
        <w:rPr>
          <w:bCs/>
          <w:szCs w:val="24"/>
        </w:rPr>
        <w:t xml:space="preserve">За 2026 г. се очаква положително отклонение от потенциала от 0,2%, след което отклонението ще се затвори </w:t>
      </w:r>
      <w:r w:rsidR="001D64C1">
        <w:rPr>
          <w:bCs/>
          <w:szCs w:val="24"/>
        </w:rPr>
        <w:t xml:space="preserve">и </w:t>
      </w:r>
      <w:r w:rsidRPr="00435EC3">
        <w:rPr>
          <w:bCs/>
          <w:szCs w:val="24"/>
        </w:rPr>
        <w:t xml:space="preserve">ще премине на отрицателна територия. </w:t>
      </w:r>
    </w:p>
    <w:p w14:paraId="545DCA55" w14:textId="77777777" w:rsidR="00435EC3" w:rsidRPr="00435EC3" w:rsidRDefault="00133400" w:rsidP="00435EC3">
      <w:pPr>
        <w:pStyle w:val="Caption"/>
        <w:rPr>
          <w:rFonts w:eastAsia="Times New Roman" w:cs="Times New Roman"/>
          <w:sz w:val="22"/>
          <w:szCs w:val="22"/>
          <w:lang w:eastAsia="en-US"/>
        </w:rPr>
      </w:pPr>
      <w:bookmarkStart w:id="146" w:name="_Toc213229051"/>
      <w:r w:rsidRPr="008200BE">
        <w:t xml:space="preserve">Табл. </w:t>
      </w:r>
      <w:r w:rsidR="00974F02">
        <w:fldChar w:fldCharType="begin"/>
      </w:r>
      <w:r w:rsidR="00974F02">
        <w:instrText xml:space="preserve"> STYLEREF 1 \s </w:instrText>
      </w:r>
      <w:r w:rsidR="00974F02">
        <w:fldChar w:fldCharType="separate"/>
      </w:r>
      <w:r w:rsidR="00841DFA">
        <w:rPr>
          <w:noProof/>
        </w:rPr>
        <w:t>I</w:t>
      </w:r>
      <w:r w:rsidR="00974F02">
        <w:rPr>
          <w:noProof/>
        </w:rPr>
        <w:fldChar w:fldCharType="end"/>
      </w:r>
      <w:r w:rsidRPr="008200BE">
        <w:noBreakHyphen/>
      </w:r>
      <w:r w:rsidR="00974F02">
        <w:fldChar w:fldCharType="begin"/>
      </w:r>
      <w:r w:rsidR="00974F02">
        <w:instrText xml:space="preserve"> SEQ Табл. \* ARABIC \s 1 </w:instrText>
      </w:r>
      <w:r w:rsidR="00974F02">
        <w:fldChar w:fldCharType="separate"/>
      </w:r>
      <w:r w:rsidR="00841DFA">
        <w:rPr>
          <w:noProof/>
        </w:rPr>
        <w:t>3</w:t>
      </w:r>
      <w:r w:rsidR="00974F02">
        <w:rPr>
          <w:noProof/>
        </w:rPr>
        <w:fldChar w:fldCharType="end"/>
      </w:r>
      <w:r w:rsidRPr="008200BE">
        <w:t>:</w:t>
      </w:r>
      <w:r w:rsidRPr="008200BE">
        <w:tab/>
      </w:r>
      <w:r w:rsidRPr="008200BE">
        <w:rPr>
          <w:rFonts w:eastAsia="Times New Roman" w:cs="Times New Roman"/>
          <w:sz w:val="22"/>
          <w:szCs w:val="22"/>
          <w:lang w:eastAsia="en-US"/>
        </w:rPr>
        <w:t>Стойности на потенциалния растеж и на отклонението от потенциалния БВП</w:t>
      </w:r>
      <w:bookmarkEnd w:id="146"/>
    </w:p>
    <w:tbl>
      <w:tblPr>
        <w:tblW w:w="4849" w:type="pct"/>
        <w:tblCellMar>
          <w:left w:w="70" w:type="dxa"/>
          <w:right w:w="70" w:type="dxa"/>
        </w:tblCellMar>
        <w:tblLook w:val="04A0" w:firstRow="1" w:lastRow="0" w:firstColumn="1" w:lastColumn="0" w:noHBand="0" w:noVBand="1"/>
      </w:tblPr>
      <w:tblGrid>
        <w:gridCol w:w="3632"/>
        <w:gridCol w:w="1091"/>
        <w:gridCol w:w="1019"/>
        <w:gridCol w:w="1020"/>
        <w:gridCol w:w="1019"/>
        <w:gridCol w:w="1015"/>
      </w:tblGrid>
      <w:tr w:rsidR="00435EC3" w:rsidRPr="00802C71" w14:paraId="73DD2E27" w14:textId="77777777" w:rsidTr="00FC71FA">
        <w:trPr>
          <w:trHeight w:val="255"/>
        </w:trPr>
        <w:tc>
          <w:tcPr>
            <w:tcW w:w="2065" w:type="pct"/>
            <w:tcBorders>
              <w:top w:val="single" w:sz="4" w:space="0" w:color="auto"/>
              <w:left w:val="nil"/>
              <w:bottom w:val="single" w:sz="4" w:space="0" w:color="auto"/>
              <w:right w:val="nil"/>
            </w:tcBorders>
            <w:shd w:val="clear" w:color="auto" w:fill="auto"/>
            <w:noWrap/>
            <w:vAlign w:val="center"/>
            <w:hideMark/>
          </w:tcPr>
          <w:p w14:paraId="2D27FE6A" w14:textId="77777777" w:rsidR="00435EC3" w:rsidRPr="00802C71" w:rsidRDefault="00435EC3" w:rsidP="001D64C1">
            <w:pPr>
              <w:spacing w:after="0"/>
              <w:jc w:val="center"/>
              <w:rPr>
                <w:b/>
                <w:bCs/>
                <w:sz w:val="20"/>
                <w:szCs w:val="20"/>
              </w:rPr>
            </w:pPr>
          </w:p>
        </w:tc>
        <w:tc>
          <w:tcPr>
            <w:tcW w:w="620" w:type="pct"/>
            <w:tcBorders>
              <w:top w:val="single" w:sz="4" w:space="0" w:color="auto"/>
              <w:left w:val="nil"/>
              <w:bottom w:val="single" w:sz="4" w:space="0" w:color="auto"/>
              <w:right w:val="nil"/>
            </w:tcBorders>
            <w:shd w:val="clear" w:color="auto" w:fill="auto"/>
            <w:vAlign w:val="center"/>
          </w:tcPr>
          <w:p w14:paraId="7257F2AF" w14:textId="77777777" w:rsidR="00435EC3" w:rsidRPr="00802C71" w:rsidRDefault="00435EC3" w:rsidP="001D64C1">
            <w:pPr>
              <w:spacing w:after="0"/>
              <w:jc w:val="center"/>
              <w:rPr>
                <w:b/>
                <w:bCs/>
                <w:sz w:val="20"/>
                <w:szCs w:val="20"/>
              </w:rPr>
            </w:pPr>
            <w:r w:rsidRPr="00802C71">
              <w:rPr>
                <w:b/>
                <w:bCs/>
                <w:sz w:val="20"/>
                <w:szCs w:val="20"/>
              </w:rPr>
              <w:t>2024</w:t>
            </w:r>
          </w:p>
        </w:tc>
        <w:tc>
          <w:tcPr>
            <w:tcW w:w="579" w:type="pct"/>
            <w:tcBorders>
              <w:top w:val="single" w:sz="4" w:space="0" w:color="auto"/>
              <w:left w:val="nil"/>
              <w:bottom w:val="single" w:sz="4" w:space="0" w:color="auto"/>
              <w:right w:val="nil"/>
            </w:tcBorders>
          </w:tcPr>
          <w:p w14:paraId="33061D09" w14:textId="77777777" w:rsidR="00435EC3" w:rsidRPr="00802C71" w:rsidRDefault="00435EC3" w:rsidP="001D64C1">
            <w:pPr>
              <w:spacing w:after="0"/>
              <w:jc w:val="center"/>
              <w:rPr>
                <w:b/>
                <w:bCs/>
                <w:sz w:val="20"/>
                <w:szCs w:val="20"/>
              </w:rPr>
            </w:pPr>
            <w:r w:rsidRPr="00802C71">
              <w:rPr>
                <w:b/>
                <w:bCs/>
                <w:sz w:val="20"/>
                <w:szCs w:val="20"/>
              </w:rPr>
              <w:t>2025</w:t>
            </w:r>
          </w:p>
        </w:tc>
        <w:tc>
          <w:tcPr>
            <w:tcW w:w="580" w:type="pct"/>
            <w:tcBorders>
              <w:top w:val="single" w:sz="4" w:space="0" w:color="auto"/>
              <w:left w:val="nil"/>
              <w:bottom w:val="single" w:sz="4" w:space="0" w:color="auto"/>
              <w:right w:val="nil"/>
            </w:tcBorders>
          </w:tcPr>
          <w:p w14:paraId="0C94A6AF" w14:textId="77777777" w:rsidR="00435EC3" w:rsidRPr="00802C71" w:rsidRDefault="00435EC3" w:rsidP="001D64C1">
            <w:pPr>
              <w:spacing w:after="0"/>
              <w:jc w:val="center"/>
              <w:rPr>
                <w:b/>
                <w:bCs/>
                <w:sz w:val="20"/>
                <w:szCs w:val="20"/>
              </w:rPr>
            </w:pPr>
            <w:r w:rsidRPr="00802C71">
              <w:rPr>
                <w:b/>
                <w:bCs/>
                <w:sz w:val="20"/>
                <w:szCs w:val="20"/>
              </w:rPr>
              <w:t>2026</w:t>
            </w:r>
          </w:p>
        </w:tc>
        <w:tc>
          <w:tcPr>
            <w:tcW w:w="579" w:type="pct"/>
            <w:tcBorders>
              <w:top w:val="single" w:sz="4" w:space="0" w:color="auto"/>
              <w:left w:val="nil"/>
              <w:bottom w:val="single" w:sz="4" w:space="0" w:color="auto"/>
              <w:right w:val="nil"/>
            </w:tcBorders>
          </w:tcPr>
          <w:p w14:paraId="3DCB34D5" w14:textId="77777777" w:rsidR="00435EC3" w:rsidRPr="00802C71" w:rsidRDefault="00435EC3" w:rsidP="001D64C1">
            <w:pPr>
              <w:spacing w:after="0"/>
              <w:jc w:val="center"/>
              <w:rPr>
                <w:b/>
                <w:bCs/>
                <w:sz w:val="20"/>
                <w:szCs w:val="20"/>
              </w:rPr>
            </w:pPr>
            <w:r w:rsidRPr="00802C71">
              <w:rPr>
                <w:b/>
                <w:bCs/>
                <w:sz w:val="20"/>
                <w:szCs w:val="20"/>
              </w:rPr>
              <w:t>2027</w:t>
            </w:r>
          </w:p>
        </w:tc>
        <w:tc>
          <w:tcPr>
            <w:tcW w:w="577" w:type="pct"/>
            <w:tcBorders>
              <w:top w:val="single" w:sz="4" w:space="0" w:color="auto"/>
              <w:left w:val="nil"/>
              <w:bottom w:val="single" w:sz="4" w:space="0" w:color="auto"/>
              <w:right w:val="nil"/>
            </w:tcBorders>
          </w:tcPr>
          <w:p w14:paraId="37B69E21" w14:textId="77777777" w:rsidR="00435EC3" w:rsidRPr="00802C71" w:rsidRDefault="00435EC3" w:rsidP="001D64C1">
            <w:pPr>
              <w:spacing w:after="0"/>
              <w:jc w:val="center"/>
              <w:rPr>
                <w:b/>
                <w:bCs/>
                <w:sz w:val="20"/>
                <w:szCs w:val="20"/>
              </w:rPr>
            </w:pPr>
            <w:r w:rsidRPr="00802C71">
              <w:rPr>
                <w:b/>
                <w:bCs/>
                <w:sz w:val="20"/>
                <w:szCs w:val="20"/>
              </w:rPr>
              <w:t>2028</w:t>
            </w:r>
          </w:p>
        </w:tc>
      </w:tr>
      <w:tr w:rsidR="00435EC3" w:rsidRPr="00802C71" w14:paraId="65DBD98B" w14:textId="77777777" w:rsidTr="007F14A3">
        <w:trPr>
          <w:trHeight w:val="269"/>
        </w:trPr>
        <w:tc>
          <w:tcPr>
            <w:tcW w:w="2065" w:type="pct"/>
            <w:tcBorders>
              <w:top w:val="single" w:sz="4" w:space="0" w:color="auto"/>
              <w:left w:val="nil"/>
              <w:right w:val="nil"/>
            </w:tcBorders>
            <w:shd w:val="clear" w:color="auto" w:fill="auto"/>
            <w:noWrap/>
            <w:vAlign w:val="center"/>
          </w:tcPr>
          <w:p w14:paraId="07408A07" w14:textId="77777777" w:rsidR="00435EC3" w:rsidRPr="00802C71" w:rsidRDefault="00435EC3" w:rsidP="001D64C1">
            <w:pPr>
              <w:spacing w:after="0" w:line="276" w:lineRule="auto"/>
              <w:rPr>
                <w:bCs/>
                <w:sz w:val="20"/>
                <w:szCs w:val="20"/>
              </w:rPr>
            </w:pPr>
            <w:r w:rsidRPr="00802C71">
              <w:rPr>
                <w:bCs/>
                <w:sz w:val="20"/>
                <w:szCs w:val="20"/>
              </w:rPr>
              <w:t>Потенциален растеж, %</w:t>
            </w:r>
          </w:p>
        </w:tc>
        <w:tc>
          <w:tcPr>
            <w:tcW w:w="620" w:type="pct"/>
            <w:tcBorders>
              <w:top w:val="single" w:sz="4" w:space="0" w:color="auto"/>
              <w:left w:val="nil"/>
              <w:right w:val="nil"/>
            </w:tcBorders>
            <w:shd w:val="clear" w:color="auto" w:fill="auto"/>
            <w:noWrap/>
            <w:vAlign w:val="bottom"/>
          </w:tcPr>
          <w:p w14:paraId="51FBEBC2" w14:textId="77777777" w:rsidR="00435EC3" w:rsidRPr="00802C71" w:rsidRDefault="00435EC3" w:rsidP="001D64C1">
            <w:pPr>
              <w:spacing w:after="0"/>
              <w:jc w:val="center"/>
              <w:rPr>
                <w:rFonts w:cs="Times New Roman"/>
                <w:sz w:val="20"/>
                <w:szCs w:val="20"/>
              </w:rPr>
            </w:pPr>
            <w:r>
              <w:rPr>
                <w:rFonts w:cs="Times New Roman"/>
                <w:sz w:val="20"/>
                <w:szCs w:val="20"/>
              </w:rPr>
              <w:t>3,</w:t>
            </w:r>
            <w:r w:rsidRPr="00802C71">
              <w:rPr>
                <w:rFonts w:cs="Times New Roman"/>
                <w:sz w:val="20"/>
                <w:szCs w:val="20"/>
              </w:rPr>
              <w:t>1</w:t>
            </w:r>
          </w:p>
        </w:tc>
        <w:tc>
          <w:tcPr>
            <w:tcW w:w="579" w:type="pct"/>
            <w:tcBorders>
              <w:top w:val="single" w:sz="4" w:space="0" w:color="auto"/>
              <w:left w:val="nil"/>
              <w:right w:val="nil"/>
            </w:tcBorders>
            <w:shd w:val="clear" w:color="auto" w:fill="auto"/>
            <w:vAlign w:val="bottom"/>
          </w:tcPr>
          <w:p w14:paraId="48905AAD" w14:textId="77777777" w:rsidR="00435EC3" w:rsidRPr="00802C71" w:rsidRDefault="00435EC3" w:rsidP="001D64C1">
            <w:pPr>
              <w:spacing w:after="0"/>
              <w:jc w:val="center"/>
              <w:rPr>
                <w:rFonts w:cs="Times New Roman"/>
                <w:sz w:val="20"/>
                <w:szCs w:val="20"/>
              </w:rPr>
            </w:pPr>
            <w:r>
              <w:rPr>
                <w:rFonts w:cs="Times New Roman"/>
                <w:sz w:val="20"/>
                <w:szCs w:val="20"/>
              </w:rPr>
              <w:t>3,</w:t>
            </w:r>
            <w:r w:rsidRPr="00802C71">
              <w:rPr>
                <w:rFonts w:cs="Times New Roman"/>
                <w:sz w:val="20"/>
                <w:szCs w:val="20"/>
              </w:rPr>
              <w:t>2</w:t>
            </w:r>
          </w:p>
        </w:tc>
        <w:tc>
          <w:tcPr>
            <w:tcW w:w="580" w:type="pct"/>
            <w:tcBorders>
              <w:top w:val="single" w:sz="4" w:space="0" w:color="auto"/>
              <w:left w:val="nil"/>
              <w:right w:val="nil"/>
            </w:tcBorders>
            <w:shd w:val="clear" w:color="auto" w:fill="auto"/>
            <w:vAlign w:val="bottom"/>
          </w:tcPr>
          <w:p w14:paraId="64F37995" w14:textId="77777777" w:rsidR="00435EC3" w:rsidRPr="00802C71" w:rsidRDefault="00435EC3" w:rsidP="001D64C1">
            <w:pPr>
              <w:spacing w:after="0"/>
              <w:jc w:val="center"/>
              <w:rPr>
                <w:rFonts w:cs="Times New Roman"/>
                <w:sz w:val="20"/>
                <w:szCs w:val="20"/>
              </w:rPr>
            </w:pPr>
            <w:r>
              <w:rPr>
                <w:rFonts w:cs="Times New Roman"/>
                <w:sz w:val="20"/>
                <w:szCs w:val="20"/>
              </w:rPr>
              <w:t>2,</w:t>
            </w:r>
            <w:r w:rsidRPr="00802C71">
              <w:rPr>
                <w:rFonts w:cs="Times New Roman"/>
                <w:sz w:val="20"/>
                <w:szCs w:val="20"/>
              </w:rPr>
              <w:t>9</w:t>
            </w:r>
          </w:p>
        </w:tc>
        <w:tc>
          <w:tcPr>
            <w:tcW w:w="579" w:type="pct"/>
            <w:tcBorders>
              <w:top w:val="single" w:sz="4" w:space="0" w:color="auto"/>
              <w:left w:val="nil"/>
              <w:right w:val="nil"/>
            </w:tcBorders>
            <w:shd w:val="clear" w:color="auto" w:fill="auto"/>
            <w:vAlign w:val="bottom"/>
          </w:tcPr>
          <w:p w14:paraId="6B8C480E" w14:textId="77777777" w:rsidR="00435EC3" w:rsidRPr="00802C71" w:rsidRDefault="00435EC3" w:rsidP="001D64C1">
            <w:pPr>
              <w:spacing w:after="0"/>
              <w:jc w:val="center"/>
              <w:rPr>
                <w:rFonts w:cs="Times New Roman"/>
                <w:sz w:val="20"/>
                <w:szCs w:val="20"/>
              </w:rPr>
            </w:pPr>
            <w:r>
              <w:rPr>
                <w:rFonts w:cs="Times New Roman"/>
                <w:sz w:val="20"/>
                <w:szCs w:val="20"/>
              </w:rPr>
              <w:t>3,</w:t>
            </w:r>
            <w:r w:rsidRPr="00802C71">
              <w:rPr>
                <w:rFonts w:cs="Times New Roman"/>
                <w:sz w:val="20"/>
                <w:szCs w:val="20"/>
              </w:rPr>
              <w:t>0</w:t>
            </w:r>
          </w:p>
        </w:tc>
        <w:tc>
          <w:tcPr>
            <w:tcW w:w="577" w:type="pct"/>
            <w:tcBorders>
              <w:top w:val="single" w:sz="4" w:space="0" w:color="auto"/>
              <w:left w:val="nil"/>
              <w:right w:val="nil"/>
            </w:tcBorders>
            <w:shd w:val="clear" w:color="auto" w:fill="auto"/>
            <w:vAlign w:val="bottom"/>
          </w:tcPr>
          <w:p w14:paraId="7FB535BF" w14:textId="77777777" w:rsidR="00435EC3" w:rsidRPr="00802C71" w:rsidRDefault="00435EC3" w:rsidP="001D64C1">
            <w:pPr>
              <w:spacing w:after="0"/>
              <w:jc w:val="center"/>
              <w:rPr>
                <w:rFonts w:cs="Times New Roman"/>
                <w:sz w:val="20"/>
                <w:szCs w:val="20"/>
              </w:rPr>
            </w:pPr>
            <w:r>
              <w:rPr>
                <w:rFonts w:cs="Times New Roman"/>
                <w:sz w:val="20"/>
                <w:szCs w:val="20"/>
              </w:rPr>
              <w:t>2,</w:t>
            </w:r>
            <w:r w:rsidRPr="00802C71">
              <w:rPr>
                <w:rFonts w:cs="Times New Roman"/>
                <w:sz w:val="20"/>
                <w:szCs w:val="20"/>
              </w:rPr>
              <w:t>7</w:t>
            </w:r>
          </w:p>
        </w:tc>
      </w:tr>
      <w:tr w:rsidR="00435EC3" w:rsidRPr="00802C71" w14:paraId="751B742C" w14:textId="77777777" w:rsidTr="007F14A3">
        <w:trPr>
          <w:trHeight w:val="300"/>
        </w:trPr>
        <w:tc>
          <w:tcPr>
            <w:tcW w:w="2065" w:type="pct"/>
            <w:tcBorders>
              <w:top w:val="nil"/>
              <w:left w:val="nil"/>
              <w:bottom w:val="single" w:sz="4" w:space="0" w:color="auto"/>
              <w:right w:val="nil"/>
            </w:tcBorders>
            <w:shd w:val="clear" w:color="auto" w:fill="auto"/>
            <w:noWrap/>
            <w:vAlign w:val="center"/>
          </w:tcPr>
          <w:p w14:paraId="3E359EC2" w14:textId="77777777" w:rsidR="00435EC3" w:rsidRPr="00802C71" w:rsidRDefault="00435EC3" w:rsidP="001D64C1">
            <w:pPr>
              <w:spacing w:after="0" w:line="276" w:lineRule="auto"/>
              <w:rPr>
                <w:bCs/>
                <w:sz w:val="20"/>
                <w:szCs w:val="20"/>
              </w:rPr>
            </w:pPr>
            <w:r w:rsidRPr="00802C71">
              <w:rPr>
                <w:bCs/>
                <w:sz w:val="20"/>
                <w:szCs w:val="20"/>
              </w:rPr>
              <w:t>Отклонение от потенциалния БВП, %</w:t>
            </w:r>
          </w:p>
        </w:tc>
        <w:tc>
          <w:tcPr>
            <w:tcW w:w="620" w:type="pct"/>
            <w:tcBorders>
              <w:top w:val="nil"/>
              <w:left w:val="nil"/>
              <w:bottom w:val="single" w:sz="4" w:space="0" w:color="auto"/>
              <w:right w:val="nil"/>
            </w:tcBorders>
            <w:shd w:val="clear" w:color="auto" w:fill="auto"/>
            <w:noWrap/>
            <w:vAlign w:val="bottom"/>
          </w:tcPr>
          <w:p w14:paraId="2A185C95"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6</w:t>
            </w:r>
          </w:p>
        </w:tc>
        <w:tc>
          <w:tcPr>
            <w:tcW w:w="579" w:type="pct"/>
            <w:tcBorders>
              <w:top w:val="nil"/>
              <w:left w:val="nil"/>
              <w:bottom w:val="single" w:sz="4" w:space="0" w:color="auto"/>
              <w:right w:val="nil"/>
            </w:tcBorders>
            <w:shd w:val="clear" w:color="auto" w:fill="auto"/>
            <w:vAlign w:val="bottom"/>
          </w:tcPr>
          <w:p w14:paraId="03A48D62"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4</w:t>
            </w:r>
          </w:p>
        </w:tc>
        <w:tc>
          <w:tcPr>
            <w:tcW w:w="580" w:type="pct"/>
            <w:tcBorders>
              <w:top w:val="nil"/>
              <w:left w:val="nil"/>
              <w:bottom w:val="single" w:sz="4" w:space="0" w:color="auto"/>
              <w:right w:val="nil"/>
            </w:tcBorders>
            <w:shd w:val="clear" w:color="auto" w:fill="auto"/>
            <w:vAlign w:val="bottom"/>
          </w:tcPr>
          <w:p w14:paraId="5AD0A67E"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2</w:t>
            </w:r>
          </w:p>
        </w:tc>
        <w:tc>
          <w:tcPr>
            <w:tcW w:w="579" w:type="pct"/>
            <w:tcBorders>
              <w:top w:val="nil"/>
              <w:left w:val="nil"/>
              <w:bottom w:val="single" w:sz="4" w:space="0" w:color="auto"/>
              <w:right w:val="nil"/>
            </w:tcBorders>
            <w:shd w:val="clear" w:color="auto" w:fill="auto"/>
            <w:vAlign w:val="bottom"/>
          </w:tcPr>
          <w:p w14:paraId="11900AF7"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2</w:t>
            </w:r>
          </w:p>
        </w:tc>
        <w:tc>
          <w:tcPr>
            <w:tcW w:w="577" w:type="pct"/>
            <w:tcBorders>
              <w:top w:val="nil"/>
              <w:left w:val="nil"/>
              <w:bottom w:val="single" w:sz="4" w:space="0" w:color="auto"/>
              <w:right w:val="nil"/>
            </w:tcBorders>
            <w:shd w:val="clear" w:color="auto" w:fill="auto"/>
            <w:vAlign w:val="bottom"/>
          </w:tcPr>
          <w:p w14:paraId="5E015B61" w14:textId="77777777" w:rsidR="00435EC3" w:rsidRPr="00802C71" w:rsidRDefault="00435EC3" w:rsidP="001D64C1">
            <w:pPr>
              <w:spacing w:after="0"/>
              <w:jc w:val="center"/>
              <w:rPr>
                <w:rFonts w:cs="Times New Roman"/>
                <w:sz w:val="20"/>
                <w:szCs w:val="20"/>
              </w:rPr>
            </w:pPr>
            <w:r>
              <w:rPr>
                <w:rFonts w:cs="Times New Roman"/>
                <w:sz w:val="20"/>
                <w:szCs w:val="20"/>
              </w:rPr>
              <w:t>-0,</w:t>
            </w:r>
            <w:r w:rsidRPr="00802C71">
              <w:rPr>
                <w:rFonts w:cs="Times New Roman"/>
                <w:sz w:val="20"/>
                <w:szCs w:val="20"/>
              </w:rPr>
              <w:t>5</w:t>
            </w:r>
          </w:p>
        </w:tc>
      </w:tr>
    </w:tbl>
    <w:p w14:paraId="3944B751" w14:textId="77777777" w:rsidR="00C601A9" w:rsidRPr="008200BE" w:rsidRDefault="00A57BCD" w:rsidP="00BE1B37">
      <w:pPr>
        <w:spacing w:before="120"/>
        <w:jc w:val="right"/>
        <w:rPr>
          <w:rFonts w:eastAsia="Batang" w:cs="Times New Roman"/>
          <w:sz w:val="18"/>
          <w:szCs w:val="18"/>
        </w:rPr>
      </w:pPr>
      <w:bookmarkStart w:id="147" w:name="_Hlk92879592"/>
      <w:bookmarkStart w:id="148" w:name="_Toc22660372"/>
      <w:r>
        <w:rPr>
          <w:rFonts w:eastAsia="Batang" w:cs="Times New Roman"/>
          <w:sz w:val="18"/>
          <w:szCs w:val="18"/>
        </w:rPr>
        <w:t>Източник: МФ</w:t>
      </w:r>
    </w:p>
    <w:bookmarkEnd w:id="147"/>
    <w:bookmarkEnd w:id="148"/>
    <w:p w14:paraId="1C3977AB" w14:textId="77777777" w:rsidR="00424142" w:rsidRPr="008200BE" w:rsidRDefault="00424142" w:rsidP="00FB3B52">
      <w:pPr>
        <w:pStyle w:val="Heading3"/>
        <w:spacing w:before="0" w:after="200"/>
        <w:ind w:left="0"/>
      </w:pPr>
      <w:r w:rsidRPr="008200BE">
        <w:t>Съпоставка на макроикономическата прогноза с тази на ЕК</w:t>
      </w:r>
    </w:p>
    <w:p w14:paraId="63B09B68" w14:textId="77777777" w:rsidR="001D64C1" w:rsidRPr="001D64C1" w:rsidRDefault="001D64C1" w:rsidP="00FB3B52">
      <w:pPr>
        <w:rPr>
          <w:szCs w:val="24"/>
        </w:rPr>
      </w:pPr>
      <w:r w:rsidRPr="001D64C1">
        <w:rPr>
          <w:szCs w:val="24"/>
        </w:rPr>
        <w:t>Направено е сравнение на прогнозата на МФ с пролетната макроикономическа прогноза на ЕК, публикувана на 19 май 2025 г. Различният период на изготвяне на двете прогнози предопределя използването на различни редове от отчетни статистически данни и различни допускания.</w:t>
      </w:r>
    </w:p>
    <w:p w14:paraId="0946DF25" w14:textId="77777777" w:rsidR="001D64C1" w:rsidRPr="001D64C1" w:rsidRDefault="001D64C1" w:rsidP="00FB3B52">
      <w:pPr>
        <w:rPr>
          <w:szCs w:val="24"/>
        </w:rPr>
      </w:pPr>
      <w:r w:rsidRPr="001D64C1">
        <w:rPr>
          <w:szCs w:val="24"/>
        </w:rPr>
        <w:t xml:space="preserve">Очакванията за растежа на БВП в периода на 2025-2026 г. са по високи в прогнозата на МФ в сравнение с тази на ЕК. МФ в своята прогноза за 2025 г. използва данните за полугодието, които предполагат по-силно нарастване на вътрешното търсене спрямо очакванията от пролетта на ЕК. По отношение на 2026 г. МФ очаква по-висок растеж на потреблението на домакинствата и на износа. </w:t>
      </w:r>
    </w:p>
    <w:p w14:paraId="7EEB334D" w14:textId="77777777" w:rsidR="001D64C1" w:rsidRPr="001D64C1" w:rsidRDefault="001D64C1" w:rsidP="00FB3B52">
      <w:pPr>
        <w:rPr>
          <w:szCs w:val="24"/>
        </w:rPr>
      </w:pPr>
      <w:r w:rsidRPr="001D64C1">
        <w:rPr>
          <w:szCs w:val="24"/>
        </w:rPr>
        <w:t>Двете институции имат една и съща прогноза за средногодишната инфлация през 2025 г., докато за 2026 г. има по-съществена разлика, която произтича най-вече от различния период на изготвяне на двете прогнози и свързаните с тях различни допускания.</w:t>
      </w:r>
    </w:p>
    <w:p w14:paraId="201C1F44" w14:textId="77777777" w:rsidR="001D64C1" w:rsidRPr="001D64C1" w:rsidRDefault="001D64C1" w:rsidP="00FB3B52">
      <w:pPr>
        <w:rPr>
          <w:szCs w:val="24"/>
        </w:rPr>
      </w:pPr>
      <w:r w:rsidRPr="001D64C1">
        <w:rPr>
          <w:szCs w:val="24"/>
        </w:rPr>
        <w:t>Разликите в прогнозите на двете институции за нарастването на заетостта също са предопределени в голяма степен от използването на налична статистическа информация. Силното нарастване на заетостта през първото полугодие на 2025 г. е отразено в прогнозата на МФ, докато поради по-ранния етап на разработване, прогнозата на ЕК не използва тази отчетна информация.</w:t>
      </w:r>
    </w:p>
    <w:p w14:paraId="71E824C7" w14:textId="77777777" w:rsidR="00E42DD1" w:rsidRDefault="00C601A9" w:rsidP="00645C6D">
      <w:pPr>
        <w:pStyle w:val="Caption"/>
        <w:keepNext/>
      </w:pPr>
      <w:bookmarkStart w:id="149" w:name="_Toc22660373"/>
      <w:bookmarkStart w:id="150" w:name="_Toc213229052"/>
      <w:r w:rsidRPr="008200BE">
        <w:t xml:space="preserve">Табл. </w:t>
      </w:r>
      <w:r w:rsidR="00974F02">
        <w:fldChar w:fldCharType="begin"/>
      </w:r>
      <w:r w:rsidR="00974F02">
        <w:instrText xml:space="preserve"> STYLEREF 1 \s </w:instrText>
      </w:r>
      <w:r w:rsidR="00974F02">
        <w:fldChar w:fldCharType="separate"/>
      </w:r>
      <w:r w:rsidR="00841DFA">
        <w:rPr>
          <w:noProof/>
        </w:rPr>
        <w:t>I</w:t>
      </w:r>
      <w:r w:rsidR="00974F02">
        <w:rPr>
          <w:noProof/>
        </w:rPr>
        <w:fldChar w:fldCharType="end"/>
      </w:r>
      <w:r w:rsidRPr="008200BE">
        <w:noBreakHyphen/>
      </w:r>
      <w:r w:rsidR="00974F02">
        <w:fldChar w:fldCharType="begin"/>
      </w:r>
      <w:r w:rsidR="00974F02">
        <w:instrText xml:space="preserve"> SEQ Табл. \* ARABIC \s 1 </w:instrText>
      </w:r>
      <w:r w:rsidR="00974F02">
        <w:fldChar w:fldCharType="separate"/>
      </w:r>
      <w:r w:rsidR="00841DFA">
        <w:rPr>
          <w:noProof/>
        </w:rPr>
        <w:t>4</w:t>
      </w:r>
      <w:r w:rsidR="00974F02">
        <w:rPr>
          <w:noProof/>
        </w:rPr>
        <w:fldChar w:fldCharType="end"/>
      </w:r>
      <w:r w:rsidRPr="008200BE">
        <w:t>:</w:t>
      </w:r>
      <w:r w:rsidR="00AB7CDA" w:rsidRPr="008200BE">
        <w:tab/>
        <w:t>Сравнение на макроикономическата прогноза на МФ с прогнозата на ЕК</w:t>
      </w:r>
      <w:bookmarkEnd w:id="149"/>
      <w:bookmarkEnd w:id="150"/>
    </w:p>
    <w:tbl>
      <w:tblPr>
        <w:tblW w:w="5000" w:type="pct"/>
        <w:tblCellMar>
          <w:left w:w="70" w:type="dxa"/>
          <w:right w:w="70" w:type="dxa"/>
        </w:tblCellMar>
        <w:tblLook w:val="04A0" w:firstRow="1" w:lastRow="0" w:firstColumn="1" w:lastColumn="0" w:noHBand="0" w:noVBand="1"/>
      </w:tblPr>
      <w:tblGrid>
        <w:gridCol w:w="4424"/>
        <w:gridCol w:w="822"/>
        <w:gridCol w:w="954"/>
        <w:gridCol w:w="958"/>
        <w:gridCol w:w="956"/>
        <w:gridCol w:w="956"/>
      </w:tblGrid>
      <w:tr w:rsidR="001D64C1" w:rsidRPr="00D1424E" w14:paraId="0568C6F6" w14:textId="77777777" w:rsidTr="001D64C1">
        <w:trPr>
          <w:trHeight w:val="212"/>
        </w:trPr>
        <w:tc>
          <w:tcPr>
            <w:tcW w:w="2439" w:type="pct"/>
            <w:vMerge w:val="restart"/>
            <w:tcBorders>
              <w:top w:val="single" w:sz="4" w:space="0" w:color="auto"/>
              <w:left w:val="nil"/>
            </w:tcBorders>
            <w:shd w:val="clear" w:color="auto" w:fill="auto"/>
            <w:noWrap/>
            <w:vAlign w:val="center"/>
            <w:hideMark/>
          </w:tcPr>
          <w:p w14:paraId="71D7E585"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Основни макроикономически показатели</w:t>
            </w:r>
          </w:p>
        </w:tc>
        <w:tc>
          <w:tcPr>
            <w:tcW w:w="453" w:type="pct"/>
            <w:tcBorders>
              <w:top w:val="single" w:sz="4" w:space="0" w:color="auto"/>
              <w:left w:val="nil"/>
            </w:tcBorders>
          </w:tcPr>
          <w:p w14:paraId="028D09A5"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2024</w:t>
            </w:r>
          </w:p>
        </w:tc>
        <w:tc>
          <w:tcPr>
            <w:tcW w:w="1054" w:type="pct"/>
            <w:gridSpan w:val="2"/>
            <w:tcBorders>
              <w:top w:val="single" w:sz="4" w:space="0" w:color="auto"/>
              <w:left w:val="nil"/>
              <w:bottom w:val="single" w:sz="4" w:space="0" w:color="auto"/>
              <w:right w:val="nil"/>
            </w:tcBorders>
            <w:shd w:val="clear" w:color="auto" w:fill="auto"/>
            <w:noWrap/>
            <w:vAlign w:val="center"/>
            <w:hideMark/>
          </w:tcPr>
          <w:p w14:paraId="77B7A8D3"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2025</w:t>
            </w:r>
          </w:p>
        </w:tc>
        <w:tc>
          <w:tcPr>
            <w:tcW w:w="1055" w:type="pct"/>
            <w:gridSpan w:val="2"/>
            <w:tcBorders>
              <w:top w:val="single" w:sz="4" w:space="0" w:color="auto"/>
              <w:left w:val="nil"/>
              <w:bottom w:val="single" w:sz="4" w:space="0" w:color="auto"/>
              <w:right w:val="nil"/>
            </w:tcBorders>
          </w:tcPr>
          <w:p w14:paraId="5BD49519" w14:textId="77777777" w:rsidR="001D64C1" w:rsidRPr="00D1424E" w:rsidRDefault="001D64C1" w:rsidP="001D64C1">
            <w:pPr>
              <w:spacing w:after="0"/>
              <w:jc w:val="center"/>
              <w:rPr>
                <w:rFonts w:eastAsia="Times New Roman" w:cs="Times New Roman"/>
                <w:b/>
                <w:sz w:val="20"/>
                <w:szCs w:val="20"/>
              </w:rPr>
            </w:pPr>
            <w:r w:rsidRPr="00D1424E">
              <w:rPr>
                <w:rFonts w:eastAsia="Times New Roman" w:cs="Times New Roman"/>
                <w:b/>
                <w:sz w:val="20"/>
                <w:szCs w:val="20"/>
              </w:rPr>
              <w:t>2026</w:t>
            </w:r>
          </w:p>
        </w:tc>
      </w:tr>
      <w:tr w:rsidR="001D64C1" w:rsidRPr="00D1424E" w14:paraId="19D38B2C" w14:textId="77777777" w:rsidTr="001D64C1">
        <w:trPr>
          <w:trHeight w:val="386"/>
        </w:trPr>
        <w:tc>
          <w:tcPr>
            <w:tcW w:w="2439" w:type="pct"/>
            <w:vMerge/>
            <w:tcBorders>
              <w:left w:val="nil"/>
              <w:bottom w:val="single" w:sz="4" w:space="0" w:color="auto"/>
            </w:tcBorders>
            <w:shd w:val="clear" w:color="auto" w:fill="auto"/>
            <w:vAlign w:val="center"/>
            <w:hideMark/>
          </w:tcPr>
          <w:p w14:paraId="1FA58DE8" w14:textId="77777777" w:rsidR="001D64C1" w:rsidRPr="00D1424E" w:rsidRDefault="001D64C1" w:rsidP="001D64C1">
            <w:pPr>
              <w:spacing w:after="0"/>
              <w:rPr>
                <w:rFonts w:eastAsia="Times New Roman" w:cs="Times New Roman"/>
                <w:sz w:val="20"/>
                <w:szCs w:val="20"/>
              </w:rPr>
            </w:pPr>
          </w:p>
        </w:tc>
        <w:tc>
          <w:tcPr>
            <w:tcW w:w="453" w:type="pct"/>
            <w:tcBorders>
              <w:left w:val="nil"/>
              <w:bottom w:val="single" w:sz="4" w:space="0" w:color="auto"/>
            </w:tcBorders>
          </w:tcPr>
          <w:p w14:paraId="2D41BC26" w14:textId="77777777" w:rsidR="001D64C1" w:rsidRPr="00D1424E" w:rsidRDefault="001D64C1" w:rsidP="001D64C1">
            <w:pPr>
              <w:spacing w:after="0"/>
              <w:jc w:val="center"/>
              <w:rPr>
                <w:rFonts w:eastAsia="Times New Roman" w:cs="Times New Roman"/>
                <w:b/>
                <w:bCs/>
                <w:sz w:val="20"/>
                <w:szCs w:val="20"/>
              </w:rPr>
            </w:pPr>
          </w:p>
        </w:tc>
        <w:tc>
          <w:tcPr>
            <w:tcW w:w="526" w:type="pct"/>
            <w:tcBorders>
              <w:top w:val="single" w:sz="4" w:space="0" w:color="auto"/>
              <w:left w:val="nil"/>
              <w:bottom w:val="single" w:sz="4" w:space="0" w:color="auto"/>
              <w:right w:val="nil"/>
            </w:tcBorders>
            <w:shd w:val="clear" w:color="auto" w:fill="auto"/>
            <w:noWrap/>
            <w:vAlign w:val="center"/>
            <w:hideMark/>
          </w:tcPr>
          <w:p w14:paraId="4DDBC07E" w14:textId="77777777" w:rsidR="001D64C1" w:rsidRPr="00D1424E" w:rsidRDefault="001D64C1" w:rsidP="001D64C1">
            <w:pPr>
              <w:spacing w:after="0"/>
              <w:jc w:val="center"/>
              <w:rPr>
                <w:rFonts w:eastAsia="Times New Roman" w:cs="Times New Roman"/>
                <w:b/>
                <w:bCs/>
                <w:sz w:val="20"/>
                <w:szCs w:val="20"/>
              </w:rPr>
            </w:pPr>
            <w:r w:rsidRPr="00D1424E">
              <w:rPr>
                <w:rFonts w:eastAsia="Times New Roman" w:cs="Times New Roman"/>
                <w:b/>
                <w:bCs/>
                <w:sz w:val="20"/>
                <w:szCs w:val="20"/>
              </w:rPr>
              <w:t>МФ</w:t>
            </w:r>
          </w:p>
        </w:tc>
        <w:tc>
          <w:tcPr>
            <w:tcW w:w="528" w:type="pct"/>
            <w:tcBorders>
              <w:top w:val="single" w:sz="4" w:space="0" w:color="auto"/>
              <w:left w:val="nil"/>
              <w:bottom w:val="single" w:sz="4" w:space="0" w:color="auto"/>
              <w:right w:val="nil"/>
            </w:tcBorders>
            <w:shd w:val="clear" w:color="auto" w:fill="auto"/>
            <w:noWrap/>
            <w:vAlign w:val="center"/>
            <w:hideMark/>
          </w:tcPr>
          <w:p w14:paraId="02746E94" w14:textId="77777777" w:rsidR="001D64C1" w:rsidRPr="00D1424E" w:rsidRDefault="001D64C1" w:rsidP="001D64C1">
            <w:pPr>
              <w:spacing w:after="0"/>
              <w:jc w:val="center"/>
              <w:rPr>
                <w:rFonts w:eastAsia="Times New Roman" w:cs="Times New Roman"/>
                <w:b/>
                <w:bCs/>
                <w:sz w:val="20"/>
                <w:szCs w:val="20"/>
              </w:rPr>
            </w:pPr>
            <w:r w:rsidRPr="00D1424E">
              <w:rPr>
                <w:rFonts w:eastAsia="Times New Roman" w:cs="Times New Roman"/>
                <w:b/>
                <w:bCs/>
                <w:sz w:val="20"/>
                <w:szCs w:val="20"/>
              </w:rPr>
              <w:t>ЕК</w:t>
            </w:r>
          </w:p>
        </w:tc>
        <w:tc>
          <w:tcPr>
            <w:tcW w:w="1055" w:type="pct"/>
            <w:gridSpan w:val="2"/>
            <w:tcBorders>
              <w:top w:val="single" w:sz="4" w:space="0" w:color="auto"/>
              <w:left w:val="nil"/>
              <w:bottom w:val="single" w:sz="4" w:space="0" w:color="auto"/>
              <w:right w:val="nil"/>
            </w:tcBorders>
            <w:vAlign w:val="center"/>
          </w:tcPr>
          <w:p w14:paraId="47C2DE36" w14:textId="77777777" w:rsidR="001D64C1" w:rsidRPr="00D1424E" w:rsidRDefault="001D64C1" w:rsidP="001D64C1">
            <w:pPr>
              <w:spacing w:after="0"/>
              <w:jc w:val="center"/>
              <w:rPr>
                <w:rFonts w:eastAsia="Times New Roman" w:cs="Times New Roman"/>
                <w:b/>
                <w:bCs/>
                <w:sz w:val="20"/>
                <w:szCs w:val="20"/>
              </w:rPr>
            </w:pPr>
            <w:r w:rsidRPr="00D1424E">
              <w:rPr>
                <w:rFonts w:eastAsia="Times New Roman" w:cs="Times New Roman"/>
                <w:b/>
                <w:bCs/>
                <w:sz w:val="20"/>
                <w:szCs w:val="20"/>
              </w:rPr>
              <w:t>МФ</w:t>
            </w:r>
            <w:r w:rsidRPr="00D1424E">
              <w:rPr>
                <w:rFonts w:eastAsia="Times New Roman" w:cs="Times New Roman"/>
                <w:b/>
                <w:bCs/>
                <w:sz w:val="20"/>
                <w:szCs w:val="20"/>
              </w:rPr>
              <w:tab/>
              <w:t>ЕК</w:t>
            </w:r>
          </w:p>
        </w:tc>
      </w:tr>
      <w:tr w:rsidR="001D64C1" w:rsidRPr="00D1424E" w14:paraId="42ACAD3C" w14:textId="77777777" w:rsidTr="001D64C1">
        <w:trPr>
          <w:trHeight w:val="243"/>
        </w:trPr>
        <w:tc>
          <w:tcPr>
            <w:tcW w:w="2439" w:type="pct"/>
            <w:tcBorders>
              <w:top w:val="single" w:sz="4" w:space="0" w:color="auto"/>
              <w:left w:val="nil"/>
            </w:tcBorders>
            <w:shd w:val="clear" w:color="auto" w:fill="auto"/>
            <w:noWrap/>
            <w:vAlign w:val="center"/>
            <w:hideMark/>
          </w:tcPr>
          <w:p w14:paraId="638EE163" w14:textId="77777777" w:rsidR="001D64C1" w:rsidRPr="00D1424E" w:rsidRDefault="001D64C1" w:rsidP="001D64C1">
            <w:pPr>
              <w:spacing w:after="0"/>
              <w:ind w:firstLineChars="100" w:firstLine="200"/>
              <w:rPr>
                <w:rFonts w:eastAsia="Times New Roman" w:cs="Times New Roman"/>
                <w:sz w:val="20"/>
                <w:szCs w:val="20"/>
              </w:rPr>
            </w:pPr>
            <w:r w:rsidRPr="00D1424E">
              <w:rPr>
                <w:rFonts w:eastAsia="Times New Roman" w:cs="Times New Roman"/>
                <w:sz w:val="20"/>
                <w:szCs w:val="20"/>
              </w:rPr>
              <w:t>БВП [реален растеж, %]</w:t>
            </w:r>
          </w:p>
        </w:tc>
        <w:tc>
          <w:tcPr>
            <w:tcW w:w="453" w:type="pct"/>
            <w:tcBorders>
              <w:top w:val="single" w:sz="4" w:space="0" w:color="auto"/>
              <w:left w:val="nil"/>
            </w:tcBorders>
          </w:tcPr>
          <w:p w14:paraId="7B697AF6"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3,4</w:t>
            </w:r>
          </w:p>
        </w:tc>
        <w:tc>
          <w:tcPr>
            <w:tcW w:w="526" w:type="pct"/>
            <w:tcBorders>
              <w:top w:val="single" w:sz="4" w:space="0" w:color="auto"/>
              <w:left w:val="nil"/>
              <w:right w:val="nil"/>
            </w:tcBorders>
            <w:shd w:val="clear" w:color="auto" w:fill="auto"/>
            <w:noWrap/>
            <w:vAlign w:val="center"/>
          </w:tcPr>
          <w:p w14:paraId="189F3411"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3,0</w:t>
            </w:r>
          </w:p>
        </w:tc>
        <w:tc>
          <w:tcPr>
            <w:tcW w:w="528" w:type="pct"/>
            <w:tcBorders>
              <w:top w:val="single" w:sz="4" w:space="0" w:color="auto"/>
              <w:left w:val="nil"/>
              <w:right w:val="nil"/>
            </w:tcBorders>
            <w:shd w:val="clear" w:color="auto" w:fill="auto"/>
            <w:noWrap/>
            <w:vAlign w:val="center"/>
          </w:tcPr>
          <w:p w14:paraId="2E9D3E07"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2,0</w:t>
            </w:r>
          </w:p>
        </w:tc>
        <w:tc>
          <w:tcPr>
            <w:tcW w:w="527" w:type="pct"/>
            <w:tcBorders>
              <w:top w:val="single" w:sz="4" w:space="0" w:color="auto"/>
              <w:left w:val="nil"/>
              <w:right w:val="nil"/>
            </w:tcBorders>
            <w:vAlign w:val="center"/>
          </w:tcPr>
          <w:p w14:paraId="616161D1"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2,7</w:t>
            </w:r>
          </w:p>
        </w:tc>
        <w:tc>
          <w:tcPr>
            <w:tcW w:w="527" w:type="pct"/>
            <w:tcBorders>
              <w:top w:val="single" w:sz="4" w:space="0" w:color="auto"/>
              <w:left w:val="nil"/>
              <w:right w:val="nil"/>
            </w:tcBorders>
            <w:vAlign w:val="center"/>
          </w:tcPr>
          <w:p w14:paraId="6FF26F81"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2,1</w:t>
            </w:r>
          </w:p>
        </w:tc>
      </w:tr>
      <w:tr w:rsidR="001D64C1" w:rsidRPr="00D1424E" w14:paraId="23F5601B" w14:textId="77777777" w:rsidTr="001D64C1">
        <w:trPr>
          <w:trHeight w:val="243"/>
        </w:trPr>
        <w:tc>
          <w:tcPr>
            <w:tcW w:w="2439" w:type="pct"/>
            <w:tcBorders>
              <w:top w:val="nil"/>
              <w:left w:val="nil"/>
            </w:tcBorders>
            <w:shd w:val="clear" w:color="auto" w:fill="auto"/>
            <w:vAlign w:val="center"/>
          </w:tcPr>
          <w:p w14:paraId="757EBCEC" w14:textId="77777777" w:rsidR="001D64C1" w:rsidRPr="00D1424E" w:rsidRDefault="001D64C1" w:rsidP="001D64C1">
            <w:pPr>
              <w:spacing w:after="0"/>
              <w:ind w:firstLineChars="100" w:firstLine="200"/>
              <w:rPr>
                <w:rFonts w:eastAsia="Times New Roman" w:cs="Times New Roman"/>
                <w:sz w:val="20"/>
                <w:szCs w:val="20"/>
              </w:rPr>
            </w:pPr>
            <w:r w:rsidRPr="00D1424E">
              <w:rPr>
                <w:rFonts w:eastAsia="Times New Roman" w:cs="Times New Roman"/>
                <w:sz w:val="20"/>
                <w:szCs w:val="20"/>
              </w:rPr>
              <w:t xml:space="preserve">Заетост </w:t>
            </w:r>
            <w:r w:rsidRPr="00D1424E">
              <w:rPr>
                <w:rFonts w:eastAsia="Times New Roman" w:cs="Times New Roman"/>
                <w:sz w:val="20"/>
                <w:szCs w:val="20"/>
                <w:lang w:val="en-US"/>
              </w:rPr>
              <w:t>(</w:t>
            </w:r>
            <w:r w:rsidRPr="00D1424E">
              <w:rPr>
                <w:rFonts w:eastAsia="Times New Roman" w:cs="Times New Roman"/>
                <w:sz w:val="20"/>
                <w:szCs w:val="20"/>
              </w:rPr>
              <w:t>СНС</w:t>
            </w:r>
            <w:r w:rsidRPr="00D1424E">
              <w:rPr>
                <w:rFonts w:eastAsia="Times New Roman" w:cs="Times New Roman"/>
                <w:sz w:val="20"/>
                <w:szCs w:val="20"/>
                <w:lang w:val="en-US"/>
              </w:rPr>
              <w:t>)</w:t>
            </w:r>
            <w:r w:rsidRPr="00D1424E">
              <w:rPr>
                <w:rFonts w:eastAsia="Times New Roman" w:cs="Times New Roman"/>
                <w:sz w:val="20"/>
                <w:szCs w:val="20"/>
              </w:rPr>
              <w:t xml:space="preserve"> [%]</w:t>
            </w:r>
          </w:p>
        </w:tc>
        <w:tc>
          <w:tcPr>
            <w:tcW w:w="453" w:type="pct"/>
            <w:tcBorders>
              <w:top w:val="nil"/>
              <w:left w:val="nil"/>
            </w:tcBorders>
          </w:tcPr>
          <w:p w14:paraId="1A2299AE"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1,1</w:t>
            </w:r>
          </w:p>
        </w:tc>
        <w:tc>
          <w:tcPr>
            <w:tcW w:w="526" w:type="pct"/>
            <w:tcBorders>
              <w:top w:val="nil"/>
              <w:left w:val="nil"/>
              <w:right w:val="nil"/>
            </w:tcBorders>
            <w:shd w:val="clear" w:color="auto" w:fill="auto"/>
            <w:noWrap/>
            <w:vAlign w:val="center"/>
          </w:tcPr>
          <w:p w14:paraId="3C6E6A13"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1,6</w:t>
            </w:r>
          </w:p>
        </w:tc>
        <w:tc>
          <w:tcPr>
            <w:tcW w:w="528" w:type="pct"/>
            <w:tcBorders>
              <w:top w:val="nil"/>
              <w:left w:val="nil"/>
              <w:right w:val="nil"/>
            </w:tcBorders>
            <w:shd w:val="clear" w:color="auto" w:fill="auto"/>
            <w:noWrap/>
            <w:vAlign w:val="center"/>
          </w:tcPr>
          <w:p w14:paraId="72E827C7"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0,4</w:t>
            </w:r>
          </w:p>
        </w:tc>
        <w:tc>
          <w:tcPr>
            <w:tcW w:w="527" w:type="pct"/>
            <w:tcBorders>
              <w:left w:val="nil"/>
              <w:right w:val="nil"/>
            </w:tcBorders>
            <w:vAlign w:val="center"/>
          </w:tcPr>
          <w:p w14:paraId="4F4AE511"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0,8</w:t>
            </w:r>
          </w:p>
        </w:tc>
        <w:tc>
          <w:tcPr>
            <w:tcW w:w="527" w:type="pct"/>
            <w:tcBorders>
              <w:left w:val="nil"/>
              <w:right w:val="nil"/>
            </w:tcBorders>
            <w:vAlign w:val="center"/>
          </w:tcPr>
          <w:p w14:paraId="0742AD0C"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0,3</w:t>
            </w:r>
          </w:p>
        </w:tc>
      </w:tr>
      <w:tr w:rsidR="001D64C1" w:rsidRPr="00D1424E" w14:paraId="28B756C8" w14:textId="77777777" w:rsidTr="001D64C1">
        <w:trPr>
          <w:trHeight w:val="243"/>
        </w:trPr>
        <w:tc>
          <w:tcPr>
            <w:tcW w:w="2439" w:type="pct"/>
            <w:tcBorders>
              <w:left w:val="nil"/>
              <w:bottom w:val="single" w:sz="4" w:space="0" w:color="auto"/>
            </w:tcBorders>
            <w:shd w:val="clear" w:color="auto" w:fill="auto"/>
            <w:vAlign w:val="center"/>
            <w:hideMark/>
          </w:tcPr>
          <w:p w14:paraId="1774AEDF" w14:textId="77777777" w:rsidR="001D64C1" w:rsidRPr="00D1424E" w:rsidRDefault="001D64C1" w:rsidP="001D64C1">
            <w:pPr>
              <w:spacing w:after="0"/>
              <w:ind w:firstLineChars="100" w:firstLine="200"/>
              <w:rPr>
                <w:rFonts w:eastAsia="Times New Roman" w:cs="Times New Roman"/>
                <w:sz w:val="20"/>
                <w:szCs w:val="20"/>
              </w:rPr>
            </w:pPr>
            <w:r w:rsidRPr="00D1424E">
              <w:rPr>
                <w:rFonts w:eastAsia="Times New Roman" w:cs="Times New Roman"/>
                <w:sz w:val="20"/>
                <w:szCs w:val="20"/>
              </w:rPr>
              <w:t>Средногодишна инфлация (ХИПЦ) [%]</w:t>
            </w:r>
          </w:p>
        </w:tc>
        <w:tc>
          <w:tcPr>
            <w:tcW w:w="453" w:type="pct"/>
            <w:tcBorders>
              <w:left w:val="nil"/>
              <w:bottom w:val="single" w:sz="4" w:space="0" w:color="auto"/>
            </w:tcBorders>
          </w:tcPr>
          <w:p w14:paraId="72656A4A"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2,6</w:t>
            </w:r>
          </w:p>
        </w:tc>
        <w:tc>
          <w:tcPr>
            <w:tcW w:w="526" w:type="pct"/>
            <w:tcBorders>
              <w:left w:val="nil"/>
              <w:bottom w:val="single" w:sz="4" w:space="0" w:color="auto"/>
              <w:right w:val="nil"/>
            </w:tcBorders>
            <w:shd w:val="clear" w:color="auto" w:fill="auto"/>
            <w:noWrap/>
            <w:vAlign w:val="center"/>
          </w:tcPr>
          <w:p w14:paraId="37AB8B73"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3,6</w:t>
            </w:r>
          </w:p>
        </w:tc>
        <w:tc>
          <w:tcPr>
            <w:tcW w:w="528" w:type="pct"/>
            <w:tcBorders>
              <w:left w:val="nil"/>
              <w:bottom w:val="single" w:sz="4" w:space="0" w:color="auto"/>
              <w:right w:val="nil"/>
            </w:tcBorders>
            <w:shd w:val="clear" w:color="auto" w:fill="auto"/>
            <w:noWrap/>
            <w:vAlign w:val="center"/>
          </w:tcPr>
          <w:p w14:paraId="4B118A47"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3,6</w:t>
            </w:r>
          </w:p>
        </w:tc>
        <w:tc>
          <w:tcPr>
            <w:tcW w:w="527" w:type="pct"/>
            <w:tcBorders>
              <w:left w:val="nil"/>
              <w:bottom w:val="single" w:sz="4" w:space="0" w:color="auto"/>
              <w:right w:val="nil"/>
            </w:tcBorders>
            <w:vAlign w:val="center"/>
          </w:tcPr>
          <w:p w14:paraId="7AF294EA"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3,5</w:t>
            </w:r>
          </w:p>
        </w:tc>
        <w:tc>
          <w:tcPr>
            <w:tcW w:w="527" w:type="pct"/>
            <w:tcBorders>
              <w:left w:val="nil"/>
              <w:bottom w:val="single" w:sz="4" w:space="0" w:color="auto"/>
              <w:right w:val="nil"/>
            </w:tcBorders>
            <w:vAlign w:val="center"/>
          </w:tcPr>
          <w:p w14:paraId="4747CE04" w14:textId="77777777" w:rsidR="001D64C1" w:rsidRPr="00D1424E" w:rsidRDefault="001D64C1" w:rsidP="001D64C1">
            <w:pPr>
              <w:spacing w:after="0"/>
              <w:ind w:firstLineChars="100" w:firstLine="200"/>
              <w:jc w:val="center"/>
              <w:rPr>
                <w:rFonts w:eastAsia="Times New Roman" w:cs="Times New Roman"/>
                <w:sz w:val="20"/>
                <w:szCs w:val="20"/>
              </w:rPr>
            </w:pPr>
            <w:r w:rsidRPr="00D1424E">
              <w:rPr>
                <w:rFonts w:eastAsia="Times New Roman" w:cs="Times New Roman"/>
                <w:sz w:val="20"/>
                <w:szCs w:val="20"/>
              </w:rPr>
              <w:t>1,8</w:t>
            </w:r>
          </w:p>
        </w:tc>
      </w:tr>
    </w:tbl>
    <w:p w14:paraId="1C88FCA4" w14:textId="77777777" w:rsidR="00AB7CDA" w:rsidRPr="008200BE" w:rsidRDefault="00AB7CDA" w:rsidP="001D64C1">
      <w:pPr>
        <w:spacing w:before="120"/>
        <w:jc w:val="right"/>
        <w:rPr>
          <w:rFonts w:eastAsia="Batang" w:cs="Times New Roman"/>
          <w:sz w:val="18"/>
          <w:szCs w:val="18"/>
        </w:rPr>
      </w:pPr>
      <w:r w:rsidRPr="008200BE">
        <w:rPr>
          <w:rFonts w:eastAsia="Batang" w:cs="Times New Roman"/>
          <w:sz w:val="18"/>
          <w:szCs w:val="18"/>
        </w:rPr>
        <w:t xml:space="preserve">Източник: </w:t>
      </w:r>
      <w:r w:rsidR="00E42DD1">
        <w:rPr>
          <w:rFonts w:eastAsia="Batang" w:cs="Times New Roman"/>
          <w:sz w:val="18"/>
          <w:szCs w:val="18"/>
        </w:rPr>
        <w:t>ЕК, МФ</w:t>
      </w:r>
    </w:p>
    <w:p w14:paraId="4E50EC14" w14:textId="77777777" w:rsidR="001D64C1" w:rsidRPr="003B0536" w:rsidRDefault="001D64C1" w:rsidP="001A6AE9">
      <w:pPr>
        <w:rPr>
          <w:rFonts w:eastAsia="Batang"/>
        </w:rPr>
      </w:pPr>
    </w:p>
    <w:p w14:paraId="117DA691" w14:textId="77777777" w:rsidR="00133661" w:rsidRDefault="00133661" w:rsidP="00AB7CDA">
      <w:pPr>
        <w:spacing w:after="120"/>
        <w:rPr>
          <w:rFonts w:cs="Times New Roman"/>
          <w:szCs w:val="24"/>
        </w:rPr>
        <w:sectPr w:rsidR="00133661" w:rsidSect="00821E98">
          <w:type w:val="oddPage"/>
          <w:pgSz w:w="11906" w:h="16838" w:code="9"/>
          <w:pgMar w:top="1418" w:right="1418" w:bottom="851" w:left="1418" w:header="708" w:footer="708" w:gutter="0"/>
          <w:cols w:space="708"/>
          <w:titlePg/>
          <w:docGrid w:linePitch="360"/>
        </w:sectPr>
      </w:pPr>
    </w:p>
    <w:bookmarkStart w:id="151" w:name="_Toc464458972"/>
    <w:bookmarkStart w:id="152" w:name="_Toc464459718"/>
    <w:bookmarkStart w:id="153" w:name="_Toc464460673"/>
    <w:bookmarkStart w:id="154" w:name="_Toc464463072"/>
    <w:bookmarkStart w:id="155" w:name="_Toc464464899"/>
    <w:bookmarkStart w:id="156" w:name="_Toc464465405"/>
    <w:bookmarkStart w:id="157" w:name="_Toc464465593"/>
    <w:bookmarkStart w:id="158" w:name="_Toc464466418"/>
    <w:bookmarkStart w:id="159" w:name="_Toc464466662"/>
    <w:bookmarkStart w:id="160" w:name="_Toc464466724"/>
    <w:bookmarkStart w:id="161" w:name="_Toc464470222"/>
    <w:bookmarkStart w:id="162" w:name="_Toc464644968"/>
    <w:bookmarkStart w:id="163" w:name="_Toc464646354"/>
    <w:bookmarkStart w:id="164" w:name="_Toc216029347"/>
    <w:bookmarkStart w:id="165" w:name="_Toc464224775"/>
    <w:bookmarkStart w:id="166" w:name="_Toc464225425"/>
    <w:p w14:paraId="1C6BC05A" w14:textId="77777777" w:rsidR="00083361" w:rsidRPr="0047584C" w:rsidRDefault="00710C44" w:rsidP="0047584C">
      <w:pPr>
        <w:pStyle w:val="Heading1"/>
        <w:rPr>
          <w:color w:val="auto"/>
        </w:rPr>
      </w:pPr>
      <w:r w:rsidRPr="00710C44">
        <w:rPr>
          <w:noProof/>
        </w:rPr>
        <w:lastRenderedPageBreak/>
        <mc:AlternateContent>
          <mc:Choice Requires="wps">
            <w:drawing>
              <wp:anchor distT="0" distB="0" distL="114300" distR="114300" simplePos="0" relativeHeight="251649536" behindDoc="0" locked="0" layoutInCell="1" allowOverlap="1" wp14:anchorId="3F04FA19" wp14:editId="3CFB6441">
                <wp:simplePos x="0" y="0"/>
                <wp:positionH relativeFrom="column">
                  <wp:posOffset>-911225</wp:posOffset>
                </wp:positionH>
                <wp:positionV relativeFrom="paragraph">
                  <wp:posOffset>1405255</wp:posOffset>
                </wp:positionV>
                <wp:extent cx="756031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AC5B7" id="Straight Connector 28"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71.75pt,110.65pt" to="523.5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" strokecolor="#b32c16 [3206]"/>
            </w:pict>
          </mc:Fallback>
        </mc:AlternateContent>
      </w:r>
      <w:r w:rsidRPr="00710C44">
        <w:rPr>
          <w:noProof/>
        </w:rPr>
        <mc:AlternateContent>
          <mc:Choice Requires="wps">
            <w:drawing>
              <wp:anchor distT="0" distB="0" distL="114300" distR="114300" simplePos="0" relativeHeight="251646464" behindDoc="1" locked="0" layoutInCell="1" allowOverlap="1" wp14:anchorId="1341DCEB" wp14:editId="60C4EBE6">
                <wp:simplePos x="0" y="0"/>
                <wp:positionH relativeFrom="page">
                  <wp:posOffset>0</wp:posOffset>
                </wp:positionH>
                <wp:positionV relativeFrom="page">
                  <wp:posOffset>0</wp:posOffset>
                </wp:positionV>
                <wp:extent cx="7560000" cy="2304000"/>
                <wp:effectExtent l="0" t="0" r="3175" b="1270"/>
                <wp:wrapNone/>
                <wp:docPr id="21" name="Rectangle 21"/>
                <wp:cNvGraphicFramePr/>
                <a:graphic xmlns:a="http://schemas.openxmlformats.org/drawingml/2006/main">
                  <a:graphicData uri="http://schemas.microsoft.com/office/word/2010/wordprocessingShape">
                    <wps:wsp>
                      <wps:cNvSpPr/>
                      <wps:spPr>
                        <a:xfrm>
                          <a:off x="0" y="0"/>
                          <a:ext cx="756000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C3FD4" id="Rectangle 21" o:spid="_x0000_s1026" style="position:absolute;margin-left:0;margin-top:0;width:595.3pt;height:181.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" fillcolor="#f8cec7 [662]" stroked="f" strokeweight="1pt">
                <w10:wrap anchorx="page" anchory="page"/>
              </v:rect>
            </w:pict>
          </mc:Fallback>
        </mc:AlternateContent>
      </w:r>
      <w:r w:rsidR="00AA3035">
        <w:br/>
      </w:r>
      <w:bookmarkStart w:id="167" w:name="_Toc465205504"/>
      <w:r w:rsidR="00083361" w:rsidRPr="0047584C">
        <w:rPr>
          <w:color w:val="auto"/>
        </w:rPr>
        <w:t xml:space="preserve">Фискална политика и </w:t>
      </w:r>
      <w:r w:rsidR="002A37C0" w:rsidRPr="0047584C">
        <w:rPr>
          <w:color w:val="auto"/>
        </w:rPr>
        <w:t>о</w:t>
      </w:r>
      <w:r w:rsidR="00F54400" w:rsidRPr="0047584C">
        <w:rPr>
          <w:color w:val="auto"/>
        </w:rPr>
        <w:t>сновни параметри за периода 2026</w:t>
      </w:r>
      <w:r w:rsidR="00083361" w:rsidRPr="0047584C">
        <w:rPr>
          <w:color w:val="auto"/>
        </w:rPr>
        <w:t>-20</w:t>
      </w:r>
      <w:r w:rsidR="005D525B" w:rsidRPr="0047584C">
        <w:rPr>
          <w:color w:val="auto"/>
        </w:rPr>
        <w:t>2</w:t>
      </w:r>
      <w:r w:rsidR="00102EAB" w:rsidRPr="0047584C">
        <w:rPr>
          <w:color w:val="auto"/>
        </w:rPr>
        <w:t>8</w:t>
      </w:r>
      <w:r w:rsidR="00AA3035" w:rsidRPr="0047584C">
        <w:rPr>
          <w:color w:val="auto"/>
        </w:rPr>
        <w:t> г.</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7"/>
    </w:p>
    <w:p w14:paraId="6CBEEE98" w14:textId="77777777" w:rsidR="007E4B3A" w:rsidRDefault="00083361" w:rsidP="000B315F">
      <w:pPr>
        <w:pStyle w:val="Heading2"/>
        <w:numPr>
          <w:ilvl w:val="1"/>
          <w:numId w:val="3"/>
        </w:numPr>
        <w:ind w:hanging="270"/>
      </w:pPr>
      <w:bookmarkStart w:id="168" w:name="_Toc216029348"/>
      <w:bookmarkStart w:id="169" w:name="_Toc464224777"/>
      <w:bookmarkStart w:id="170" w:name="_Toc464225427"/>
      <w:bookmarkStart w:id="171" w:name="_Toc464458974"/>
      <w:bookmarkStart w:id="172" w:name="_Toc464459720"/>
      <w:bookmarkStart w:id="173" w:name="_Toc464460675"/>
      <w:bookmarkStart w:id="174" w:name="_Toc464463074"/>
      <w:bookmarkStart w:id="175" w:name="_Toc464464901"/>
      <w:bookmarkStart w:id="176" w:name="_Toc464465407"/>
      <w:bookmarkStart w:id="177" w:name="_Toc464465595"/>
      <w:bookmarkStart w:id="178" w:name="_Toc464466420"/>
      <w:bookmarkStart w:id="179" w:name="_Toc464466664"/>
      <w:bookmarkStart w:id="180" w:name="_Toc464644970"/>
      <w:bookmarkStart w:id="181" w:name="_Toc465205505"/>
      <w:bookmarkEnd w:id="165"/>
      <w:bookmarkEnd w:id="166"/>
      <w:r w:rsidRPr="00001344">
        <w:t>С</w:t>
      </w:r>
      <w:r w:rsidR="007E4B3A">
        <w:t>редносрочни цели на фискалната политика</w:t>
      </w:r>
      <w:bookmarkEnd w:id="168"/>
    </w:p>
    <w:bookmarkEnd w:id="169"/>
    <w:bookmarkEnd w:id="170"/>
    <w:bookmarkEnd w:id="171"/>
    <w:bookmarkEnd w:id="172"/>
    <w:bookmarkEnd w:id="173"/>
    <w:bookmarkEnd w:id="174"/>
    <w:bookmarkEnd w:id="175"/>
    <w:bookmarkEnd w:id="176"/>
    <w:bookmarkEnd w:id="177"/>
    <w:bookmarkEnd w:id="178"/>
    <w:bookmarkEnd w:id="179"/>
    <w:bookmarkEnd w:id="180"/>
    <w:bookmarkEnd w:id="181"/>
    <w:p w14:paraId="73D43C5F" w14:textId="77777777" w:rsidR="00AC3F05" w:rsidRPr="00AC3F05" w:rsidRDefault="00AC3F05" w:rsidP="00825016">
      <w:pPr>
        <w:rPr>
          <w:rFonts w:eastAsia="Times New Roman" w:cs="Times New Roman"/>
          <w:lang w:bidi="bg-BG"/>
        </w:rPr>
      </w:pPr>
      <w:r w:rsidRPr="00AC3F05">
        <w:rPr>
          <w:rFonts w:eastAsia="Times New Roman" w:cs="Times New Roman"/>
          <w:lang w:bidi="bg-BG"/>
        </w:rPr>
        <w:t xml:space="preserve">Целите на фискалната политика и параметрите на бюджетната рамка са съобразени с приоритетите за запазване на фискалната устойчивост в средносрочен план и с необходимостта от реализиране на приходни мерки и осигуряване на разходни политики. При тези параметри на прогнозата беше изпълнен фискалният критерий за приемане на България към еврозоната от 01.01.2026 г. </w:t>
      </w:r>
    </w:p>
    <w:p w14:paraId="301CEBCB" w14:textId="77777777" w:rsidR="00AC3F05" w:rsidRPr="00AC3F05" w:rsidRDefault="00AC3F05" w:rsidP="003A3DDB">
      <w:pPr>
        <w:rPr>
          <w:rFonts w:eastAsia="Times New Roman" w:cs="Times New Roman"/>
          <w:lang w:bidi="bg-BG"/>
        </w:rPr>
      </w:pPr>
      <w:r w:rsidRPr="00AC3F05">
        <w:rPr>
          <w:rFonts w:eastAsia="Times New Roman" w:cs="Times New Roman"/>
          <w:lang w:bidi="bg-BG"/>
        </w:rPr>
        <w:t>За осигуряване реалистичността на бюджетните прогнози са взети предвид отчетните данни за параметрите на показателите по КФП за 2024 г., както и за програмата и предварителен отчет за 2025 г.</w:t>
      </w:r>
    </w:p>
    <w:p w14:paraId="608E9825" w14:textId="77777777" w:rsidR="00B74041" w:rsidRDefault="00B74041" w:rsidP="00B74041">
      <w:pPr>
        <w:pStyle w:val="Caption"/>
        <w:rPr>
          <w:vertAlign w:val="superscript"/>
        </w:rPr>
      </w:pPr>
      <w:bookmarkStart w:id="182" w:name="_Toc213229053"/>
      <w:r w:rsidRPr="00006A45">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Табл. \* ARABIC \s 1 </w:instrText>
      </w:r>
      <w:r w:rsidR="00974F02">
        <w:fldChar w:fldCharType="separate"/>
      </w:r>
      <w:r w:rsidR="00841DFA">
        <w:rPr>
          <w:noProof/>
        </w:rPr>
        <w:t>1</w:t>
      </w:r>
      <w:r w:rsidR="00974F02">
        <w:rPr>
          <w:noProof/>
        </w:rPr>
        <w:fldChar w:fldCharType="end"/>
      </w:r>
      <w:r w:rsidRPr="00006A45">
        <w:t>:</w:t>
      </w:r>
      <w:r w:rsidRPr="00006A45">
        <w:tab/>
      </w:r>
      <w:r w:rsidRPr="00B74041">
        <w:t>Основни показатели на КФП (касова основа)</w:t>
      </w:r>
      <w:r w:rsidRPr="00B74041">
        <w:rPr>
          <w:vertAlign w:val="superscript"/>
        </w:rPr>
        <w:t xml:space="preserve"> </w:t>
      </w:r>
      <w:r w:rsidRPr="00B74041">
        <w:rPr>
          <w:vertAlign w:val="superscript"/>
        </w:rPr>
        <w:footnoteReference w:id="15"/>
      </w:r>
      <w:bookmarkEnd w:id="182"/>
    </w:p>
    <w:p w14:paraId="596FB5A2" w14:textId="77777777" w:rsidR="00DE12A7" w:rsidRPr="00DE12A7" w:rsidRDefault="00DE12A7" w:rsidP="00DE12A7">
      <w:pPr>
        <w:rPr>
          <w:sz w:val="16"/>
          <w:szCs w:val="16"/>
        </w:rPr>
      </w:pPr>
    </w:p>
    <w:tbl>
      <w:tblPr>
        <w:tblW w:w="9639" w:type="dxa"/>
        <w:tblCellMar>
          <w:left w:w="70" w:type="dxa"/>
          <w:right w:w="70" w:type="dxa"/>
        </w:tblCellMar>
        <w:tblLook w:val="04A0" w:firstRow="1" w:lastRow="0" w:firstColumn="1" w:lastColumn="0" w:noHBand="0" w:noVBand="1"/>
      </w:tblPr>
      <w:tblGrid>
        <w:gridCol w:w="1560"/>
        <w:gridCol w:w="708"/>
        <w:gridCol w:w="580"/>
        <w:gridCol w:w="838"/>
        <w:gridCol w:w="580"/>
        <w:gridCol w:w="709"/>
        <w:gridCol w:w="695"/>
        <w:gridCol w:w="709"/>
        <w:gridCol w:w="580"/>
        <w:gridCol w:w="709"/>
        <w:gridCol w:w="580"/>
        <w:gridCol w:w="838"/>
        <w:gridCol w:w="580"/>
      </w:tblGrid>
      <w:tr w:rsidR="00DE12A7" w:rsidRPr="00DE12A7" w14:paraId="2DE92B14" w14:textId="77777777" w:rsidTr="00DE12A7">
        <w:trPr>
          <w:trHeight w:val="517"/>
        </w:trPr>
        <w:tc>
          <w:tcPr>
            <w:tcW w:w="1560" w:type="dxa"/>
            <w:vMerge w:val="restart"/>
            <w:tcBorders>
              <w:top w:val="single" w:sz="4" w:space="0" w:color="auto"/>
              <w:left w:val="nil"/>
              <w:bottom w:val="single" w:sz="4" w:space="0" w:color="000000"/>
              <w:right w:val="nil"/>
            </w:tcBorders>
            <w:shd w:val="clear" w:color="auto" w:fill="auto"/>
            <w:noWrap/>
            <w:vAlign w:val="center"/>
            <w:hideMark/>
          </w:tcPr>
          <w:p w14:paraId="2D97DACC"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Показатели</w:t>
            </w:r>
          </w:p>
        </w:tc>
        <w:tc>
          <w:tcPr>
            <w:tcW w:w="128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5B1A0DF" w14:textId="77777777" w:rsidR="00DE12A7" w:rsidRPr="00DE12A7" w:rsidRDefault="00DE12A7" w:rsidP="00DE12A7">
            <w:pPr>
              <w:spacing w:after="0"/>
              <w:jc w:val="center"/>
              <w:rPr>
                <w:rFonts w:eastAsia="Times New Roman" w:cs="Times New Roman"/>
                <w:b/>
                <w:bCs/>
                <w:sz w:val="16"/>
                <w:szCs w:val="16"/>
              </w:rPr>
            </w:pPr>
            <w:r w:rsidRPr="00DE12A7">
              <w:rPr>
                <w:rFonts w:eastAsia="Times New Roman" w:cs="Times New Roman"/>
                <w:b/>
                <w:bCs/>
                <w:sz w:val="16"/>
                <w:szCs w:val="16"/>
              </w:rPr>
              <w:t>2024</w:t>
            </w:r>
            <w:r w:rsidRPr="00DE12A7">
              <w:rPr>
                <w:rFonts w:eastAsia="Times New Roman" w:cs="Times New Roman"/>
                <w:b/>
                <w:bCs/>
                <w:sz w:val="16"/>
                <w:szCs w:val="16"/>
              </w:rPr>
              <w:br/>
              <w:t>Отчет</w:t>
            </w:r>
          </w:p>
        </w:tc>
        <w:tc>
          <w:tcPr>
            <w:tcW w:w="141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A755FE7"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2025</w:t>
            </w:r>
            <w:r w:rsidRPr="00DE12A7">
              <w:rPr>
                <w:rFonts w:eastAsia="Times New Roman" w:cs="Times New Roman"/>
                <w:b/>
                <w:bCs/>
                <w:color w:val="000000"/>
                <w:sz w:val="16"/>
                <w:szCs w:val="16"/>
              </w:rPr>
              <w:br/>
              <w:t>Програма</w:t>
            </w:r>
          </w:p>
        </w:tc>
        <w:tc>
          <w:tcPr>
            <w:tcW w:w="140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3ED1968"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2025</w:t>
            </w:r>
            <w:r w:rsidRPr="00DE12A7">
              <w:rPr>
                <w:rFonts w:eastAsia="Times New Roman" w:cs="Times New Roman"/>
                <w:b/>
                <w:bCs/>
                <w:color w:val="000000"/>
                <w:sz w:val="16"/>
                <w:szCs w:val="16"/>
              </w:rPr>
              <w:br/>
              <w:t>Очаквано</w:t>
            </w:r>
          </w:p>
        </w:tc>
        <w:tc>
          <w:tcPr>
            <w:tcW w:w="128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9F46141"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2026 г.</w:t>
            </w:r>
            <w:r w:rsidRPr="00DE12A7">
              <w:rPr>
                <w:rFonts w:eastAsia="Times New Roman" w:cs="Times New Roman"/>
                <w:b/>
                <w:bCs/>
                <w:color w:val="000000"/>
                <w:sz w:val="16"/>
                <w:szCs w:val="16"/>
              </w:rPr>
              <w:br/>
              <w:t>Проект</w:t>
            </w:r>
          </w:p>
        </w:tc>
        <w:tc>
          <w:tcPr>
            <w:tcW w:w="128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43D679"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2027 г.</w:t>
            </w:r>
            <w:r w:rsidRPr="00DE12A7">
              <w:rPr>
                <w:rFonts w:eastAsia="Times New Roman" w:cs="Times New Roman"/>
                <w:b/>
                <w:bCs/>
                <w:color w:val="000000"/>
                <w:sz w:val="16"/>
                <w:szCs w:val="16"/>
              </w:rPr>
              <w:br/>
              <w:t>Прогноза</w:t>
            </w:r>
          </w:p>
        </w:tc>
        <w:tc>
          <w:tcPr>
            <w:tcW w:w="1391"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14:paraId="1887D453" w14:textId="77777777" w:rsidR="00DE12A7" w:rsidRPr="00DE12A7" w:rsidRDefault="00DE12A7" w:rsidP="00DE12A7">
            <w:pPr>
              <w:spacing w:after="0"/>
              <w:jc w:val="center"/>
              <w:rPr>
                <w:rFonts w:eastAsia="Times New Roman" w:cs="Times New Roman"/>
                <w:b/>
                <w:bCs/>
                <w:sz w:val="16"/>
                <w:szCs w:val="16"/>
              </w:rPr>
            </w:pPr>
            <w:r w:rsidRPr="00DE12A7">
              <w:rPr>
                <w:rFonts w:eastAsia="Times New Roman" w:cs="Times New Roman"/>
                <w:b/>
                <w:bCs/>
                <w:sz w:val="16"/>
                <w:szCs w:val="16"/>
              </w:rPr>
              <w:t>2028 г.</w:t>
            </w:r>
            <w:r w:rsidRPr="00DE12A7">
              <w:rPr>
                <w:rFonts w:eastAsia="Times New Roman" w:cs="Times New Roman"/>
                <w:b/>
                <w:bCs/>
                <w:sz w:val="16"/>
                <w:szCs w:val="16"/>
              </w:rPr>
              <w:br/>
              <w:t>Прогноза</w:t>
            </w:r>
          </w:p>
        </w:tc>
      </w:tr>
      <w:tr w:rsidR="00DE12A7" w:rsidRPr="00DE12A7" w14:paraId="2DC6D361" w14:textId="77777777" w:rsidTr="00DE12A7">
        <w:trPr>
          <w:trHeight w:val="517"/>
        </w:trPr>
        <w:tc>
          <w:tcPr>
            <w:tcW w:w="1560" w:type="dxa"/>
            <w:vMerge/>
            <w:tcBorders>
              <w:top w:val="single" w:sz="4" w:space="0" w:color="auto"/>
              <w:left w:val="nil"/>
              <w:bottom w:val="single" w:sz="4" w:space="0" w:color="000000"/>
              <w:right w:val="nil"/>
            </w:tcBorders>
            <w:vAlign w:val="center"/>
            <w:hideMark/>
          </w:tcPr>
          <w:p w14:paraId="65265736" w14:textId="77777777" w:rsidR="00DE12A7" w:rsidRPr="00DE12A7" w:rsidRDefault="00DE12A7" w:rsidP="00DE12A7">
            <w:pPr>
              <w:spacing w:after="0"/>
              <w:jc w:val="left"/>
              <w:rPr>
                <w:rFonts w:eastAsia="Times New Roman" w:cs="Times New Roman"/>
                <w:b/>
                <w:bCs/>
                <w:color w:val="000000"/>
                <w:sz w:val="16"/>
                <w:szCs w:val="16"/>
              </w:rPr>
            </w:pPr>
          </w:p>
        </w:tc>
        <w:tc>
          <w:tcPr>
            <w:tcW w:w="1288" w:type="dxa"/>
            <w:gridSpan w:val="2"/>
            <w:vMerge/>
            <w:tcBorders>
              <w:top w:val="single" w:sz="4" w:space="0" w:color="auto"/>
              <w:left w:val="single" w:sz="4" w:space="0" w:color="auto"/>
              <w:bottom w:val="single" w:sz="4" w:space="0" w:color="000000"/>
              <w:right w:val="single" w:sz="4" w:space="0" w:color="000000"/>
            </w:tcBorders>
            <w:vAlign w:val="center"/>
            <w:hideMark/>
          </w:tcPr>
          <w:p w14:paraId="0AEC8E42" w14:textId="77777777" w:rsidR="00DE12A7" w:rsidRPr="00DE12A7" w:rsidRDefault="00DE12A7" w:rsidP="00DE12A7">
            <w:pPr>
              <w:spacing w:after="0"/>
              <w:jc w:val="left"/>
              <w:rPr>
                <w:rFonts w:eastAsia="Times New Roman" w:cs="Times New Roman"/>
                <w:b/>
                <w:bCs/>
                <w:sz w:val="16"/>
                <w:szCs w:val="16"/>
              </w:rPr>
            </w:pPr>
          </w:p>
        </w:tc>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14:paraId="301A3313" w14:textId="77777777" w:rsidR="00DE12A7" w:rsidRPr="00DE12A7" w:rsidRDefault="00DE12A7" w:rsidP="00DE12A7">
            <w:pPr>
              <w:spacing w:after="0"/>
              <w:jc w:val="left"/>
              <w:rPr>
                <w:rFonts w:eastAsia="Times New Roman" w:cs="Times New Roman"/>
                <w:b/>
                <w:bCs/>
                <w:color w:val="000000"/>
                <w:sz w:val="16"/>
                <w:szCs w:val="16"/>
              </w:rPr>
            </w:pPr>
          </w:p>
        </w:tc>
        <w:tc>
          <w:tcPr>
            <w:tcW w:w="1404" w:type="dxa"/>
            <w:gridSpan w:val="2"/>
            <w:vMerge/>
            <w:tcBorders>
              <w:top w:val="single" w:sz="4" w:space="0" w:color="auto"/>
              <w:left w:val="single" w:sz="4" w:space="0" w:color="auto"/>
              <w:bottom w:val="single" w:sz="4" w:space="0" w:color="000000"/>
              <w:right w:val="single" w:sz="4" w:space="0" w:color="000000"/>
            </w:tcBorders>
            <w:vAlign w:val="center"/>
            <w:hideMark/>
          </w:tcPr>
          <w:p w14:paraId="7826231C" w14:textId="77777777" w:rsidR="00DE12A7" w:rsidRPr="00DE12A7" w:rsidRDefault="00DE12A7" w:rsidP="00DE12A7">
            <w:pPr>
              <w:spacing w:after="0"/>
              <w:jc w:val="left"/>
              <w:rPr>
                <w:rFonts w:eastAsia="Times New Roman" w:cs="Times New Roman"/>
                <w:b/>
                <w:bCs/>
                <w:color w:val="000000"/>
                <w:sz w:val="16"/>
                <w:szCs w:val="16"/>
              </w:rPr>
            </w:pPr>
          </w:p>
        </w:tc>
        <w:tc>
          <w:tcPr>
            <w:tcW w:w="1289" w:type="dxa"/>
            <w:gridSpan w:val="2"/>
            <w:vMerge/>
            <w:tcBorders>
              <w:top w:val="single" w:sz="4" w:space="0" w:color="auto"/>
              <w:left w:val="single" w:sz="4" w:space="0" w:color="auto"/>
              <w:bottom w:val="single" w:sz="4" w:space="0" w:color="000000"/>
              <w:right w:val="single" w:sz="4" w:space="0" w:color="000000"/>
            </w:tcBorders>
            <w:vAlign w:val="center"/>
            <w:hideMark/>
          </w:tcPr>
          <w:p w14:paraId="6A1DE6C0" w14:textId="77777777" w:rsidR="00DE12A7" w:rsidRPr="00DE12A7" w:rsidRDefault="00DE12A7" w:rsidP="00DE12A7">
            <w:pPr>
              <w:spacing w:after="0"/>
              <w:jc w:val="left"/>
              <w:rPr>
                <w:rFonts w:eastAsia="Times New Roman" w:cs="Times New Roman"/>
                <w:b/>
                <w:bCs/>
                <w:color w:val="000000"/>
                <w:sz w:val="16"/>
                <w:szCs w:val="16"/>
              </w:rPr>
            </w:pPr>
          </w:p>
        </w:tc>
        <w:tc>
          <w:tcPr>
            <w:tcW w:w="1289" w:type="dxa"/>
            <w:gridSpan w:val="2"/>
            <w:vMerge/>
            <w:tcBorders>
              <w:top w:val="single" w:sz="4" w:space="0" w:color="auto"/>
              <w:left w:val="single" w:sz="4" w:space="0" w:color="auto"/>
              <w:bottom w:val="single" w:sz="4" w:space="0" w:color="000000"/>
              <w:right w:val="single" w:sz="4" w:space="0" w:color="000000"/>
            </w:tcBorders>
            <w:vAlign w:val="center"/>
            <w:hideMark/>
          </w:tcPr>
          <w:p w14:paraId="182A3E13" w14:textId="77777777" w:rsidR="00DE12A7" w:rsidRPr="00DE12A7" w:rsidRDefault="00DE12A7" w:rsidP="00DE12A7">
            <w:pPr>
              <w:spacing w:after="0"/>
              <w:jc w:val="left"/>
              <w:rPr>
                <w:rFonts w:eastAsia="Times New Roman" w:cs="Times New Roman"/>
                <w:b/>
                <w:bCs/>
                <w:color w:val="000000"/>
                <w:sz w:val="16"/>
                <w:szCs w:val="16"/>
              </w:rPr>
            </w:pPr>
          </w:p>
        </w:tc>
        <w:tc>
          <w:tcPr>
            <w:tcW w:w="1391" w:type="dxa"/>
            <w:gridSpan w:val="2"/>
            <w:vMerge/>
            <w:tcBorders>
              <w:top w:val="single" w:sz="4" w:space="0" w:color="auto"/>
              <w:left w:val="single" w:sz="4" w:space="0" w:color="auto"/>
              <w:bottom w:val="single" w:sz="4" w:space="0" w:color="000000"/>
              <w:right w:val="nil"/>
            </w:tcBorders>
            <w:vAlign w:val="center"/>
            <w:hideMark/>
          </w:tcPr>
          <w:p w14:paraId="279C2F14" w14:textId="77777777" w:rsidR="00DE12A7" w:rsidRPr="00DE12A7" w:rsidRDefault="00DE12A7" w:rsidP="00DE12A7">
            <w:pPr>
              <w:spacing w:after="0"/>
              <w:jc w:val="left"/>
              <w:rPr>
                <w:rFonts w:eastAsia="Times New Roman" w:cs="Times New Roman"/>
                <w:b/>
                <w:bCs/>
                <w:sz w:val="16"/>
                <w:szCs w:val="16"/>
              </w:rPr>
            </w:pPr>
          </w:p>
        </w:tc>
      </w:tr>
      <w:tr w:rsidR="00DE12A7" w:rsidRPr="00DE12A7" w14:paraId="01FED020" w14:textId="77777777" w:rsidTr="00DE12A7">
        <w:trPr>
          <w:trHeight w:val="517"/>
        </w:trPr>
        <w:tc>
          <w:tcPr>
            <w:tcW w:w="1560" w:type="dxa"/>
            <w:vMerge/>
            <w:tcBorders>
              <w:top w:val="single" w:sz="4" w:space="0" w:color="auto"/>
              <w:left w:val="nil"/>
              <w:bottom w:val="single" w:sz="4" w:space="0" w:color="000000"/>
              <w:right w:val="nil"/>
            </w:tcBorders>
            <w:vAlign w:val="center"/>
            <w:hideMark/>
          </w:tcPr>
          <w:p w14:paraId="3FA80429" w14:textId="77777777" w:rsidR="00DE12A7" w:rsidRPr="00DE12A7" w:rsidRDefault="00DE12A7" w:rsidP="00DE12A7">
            <w:pPr>
              <w:spacing w:after="0"/>
              <w:jc w:val="left"/>
              <w:rPr>
                <w:rFonts w:eastAsia="Times New Roman" w:cs="Times New Roman"/>
                <w:b/>
                <w:bCs/>
                <w:color w:val="000000"/>
                <w:sz w:val="16"/>
                <w:szCs w:val="16"/>
              </w:rPr>
            </w:pPr>
          </w:p>
        </w:tc>
        <w:tc>
          <w:tcPr>
            <w:tcW w:w="1288" w:type="dxa"/>
            <w:gridSpan w:val="2"/>
            <w:vMerge/>
            <w:tcBorders>
              <w:top w:val="single" w:sz="4" w:space="0" w:color="auto"/>
              <w:left w:val="single" w:sz="4" w:space="0" w:color="auto"/>
              <w:bottom w:val="single" w:sz="4" w:space="0" w:color="000000"/>
              <w:right w:val="single" w:sz="4" w:space="0" w:color="000000"/>
            </w:tcBorders>
            <w:vAlign w:val="center"/>
            <w:hideMark/>
          </w:tcPr>
          <w:p w14:paraId="2BB45D28" w14:textId="77777777" w:rsidR="00DE12A7" w:rsidRPr="00DE12A7" w:rsidRDefault="00DE12A7" w:rsidP="00DE12A7">
            <w:pPr>
              <w:spacing w:after="0"/>
              <w:jc w:val="left"/>
              <w:rPr>
                <w:rFonts w:eastAsia="Times New Roman" w:cs="Times New Roman"/>
                <w:b/>
                <w:bCs/>
                <w:sz w:val="16"/>
                <w:szCs w:val="16"/>
              </w:rPr>
            </w:pPr>
          </w:p>
        </w:tc>
        <w:tc>
          <w:tcPr>
            <w:tcW w:w="1418" w:type="dxa"/>
            <w:gridSpan w:val="2"/>
            <w:vMerge/>
            <w:tcBorders>
              <w:top w:val="single" w:sz="4" w:space="0" w:color="auto"/>
              <w:left w:val="single" w:sz="4" w:space="0" w:color="auto"/>
              <w:bottom w:val="single" w:sz="4" w:space="0" w:color="000000"/>
              <w:right w:val="single" w:sz="4" w:space="0" w:color="000000"/>
            </w:tcBorders>
            <w:vAlign w:val="center"/>
            <w:hideMark/>
          </w:tcPr>
          <w:p w14:paraId="41668D37" w14:textId="77777777" w:rsidR="00DE12A7" w:rsidRPr="00DE12A7" w:rsidRDefault="00DE12A7" w:rsidP="00DE12A7">
            <w:pPr>
              <w:spacing w:after="0"/>
              <w:jc w:val="left"/>
              <w:rPr>
                <w:rFonts w:eastAsia="Times New Roman" w:cs="Times New Roman"/>
                <w:b/>
                <w:bCs/>
                <w:color w:val="000000"/>
                <w:sz w:val="16"/>
                <w:szCs w:val="16"/>
              </w:rPr>
            </w:pPr>
          </w:p>
        </w:tc>
        <w:tc>
          <w:tcPr>
            <w:tcW w:w="1404" w:type="dxa"/>
            <w:gridSpan w:val="2"/>
            <w:vMerge/>
            <w:tcBorders>
              <w:top w:val="single" w:sz="4" w:space="0" w:color="auto"/>
              <w:left w:val="single" w:sz="4" w:space="0" w:color="auto"/>
              <w:bottom w:val="single" w:sz="4" w:space="0" w:color="000000"/>
              <w:right w:val="single" w:sz="4" w:space="0" w:color="000000"/>
            </w:tcBorders>
            <w:vAlign w:val="center"/>
            <w:hideMark/>
          </w:tcPr>
          <w:p w14:paraId="16444DFA" w14:textId="77777777" w:rsidR="00DE12A7" w:rsidRPr="00DE12A7" w:rsidRDefault="00DE12A7" w:rsidP="00DE12A7">
            <w:pPr>
              <w:spacing w:after="0"/>
              <w:jc w:val="left"/>
              <w:rPr>
                <w:rFonts w:eastAsia="Times New Roman" w:cs="Times New Roman"/>
                <w:b/>
                <w:bCs/>
                <w:color w:val="000000"/>
                <w:sz w:val="16"/>
                <w:szCs w:val="16"/>
              </w:rPr>
            </w:pPr>
          </w:p>
        </w:tc>
        <w:tc>
          <w:tcPr>
            <w:tcW w:w="1289" w:type="dxa"/>
            <w:gridSpan w:val="2"/>
            <w:vMerge/>
            <w:tcBorders>
              <w:top w:val="single" w:sz="4" w:space="0" w:color="auto"/>
              <w:left w:val="single" w:sz="4" w:space="0" w:color="auto"/>
              <w:bottom w:val="single" w:sz="4" w:space="0" w:color="000000"/>
              <w:right w:val="single" w:sz="4" w:space="0" w:color="000000"/>
            </w:tcBorders>
            <w:vAlign w:val="center"/>
            <w:hideMark/>
          </w:tcPr>
          <w:p w14:paraId="55701EE0" w14:textId="77777777" w:rsidR="00DE12A7" w:rsidRPr="00DE12A7" w:rsidRDefault="00DE12A7" w:rsidP="00DE12A7">
            <w:pPr>
              <w:spacing w:after="0"/>
              <w:jc w:val="left"/>
              <w:rPr>
                <w:rFonts w:eastAsia="Times New Roman" w:cs="Times New Roman"/>
                <w:b/>
                <w:bCs/>
                <w:color w:val="000000"/>
                <w:sz w:val="16"/>
                <w:szCs w:val="16"/>
              </w:rPr>
            </w:pPr>
          </w:p>
        </w:tc>
        <w:tc>
          <w:tcPr>
            <w:tcW w:w="1289" w:type="dxa"/>
            <w:gridSpan w:val="2"/>
            <w:vMerge/>
            <w:tcBorders>
              <w:top w:val="single" w:sz="4" w:space="0" w:color="auto"/>
              <w:left w:val="single" w:sz="4" w:space="0" w:color="auto"/>
              <w:bottom w:val="single" w:sz="4" w:space="0" w:color="000000"/>
              <w:right w:val="single" w:sz="4" w:space="0" w:color="000000"/>
            </w:tcBorders>
            <w:vAlign w:val="center"/>
            <w:hideMark/>
          </w:tcPr>
          <w:p w14:paraId="495D53E9" w14:textId="77777777" w:rsidR="00DE12A7" w:rsidRPr="00DE12A7" w:rsidRDefault="00DE12A7" w:rsidP="00DE12A7">
            <w:pPr>
              <w:spacing w:after="0"/>
              <w:jc w:val="left"/>
              <w:rPr>
                <w:rFonts w:eastAsia="Times New Roman" w:cs="Times New Roman"/>
                <w:b/>
                <w:bCs/>
                <w:color w:val="000000"/>
                <w:sz w:val="16"/>
                <w:szCs w:val="16"/>
              </w:rPr>
            </w:pPr>
          </w:p>
        </w:tc>
        <w:tc>
          <w:tcPr>
            <w:tcW w:w="1391" w:type="dxa"/>
            <w:gridSpan w:val="2"/>
            <w:vMerge/>
            <w:tcBorders>
              <w:top w:val="single" w:sz="4" w:space="0" w:color="auto"/>
              <w:left w:val="single" w:sz="4" w:space="0" w:color="auto"/>
              <w:bottom w:val="single" w:sz="4" w:space="0" w:color="000000"/>
              <w:right w:val="nil"/>
            </w:tcBorders>
            <w:vAlign w:val="center"/>
            <w:hideMark/>
          </w:tcPr>
          <w:p w14:paraId="1C68F800" w14:textId="77777777" w:rsidR="00DE12A7" w:rsidRPr="00DE12A7" w:rsidRDefault="00DE12A7" w:rsidP="00DE12A7">
            <w:pPr>
              <w:spacing w:after="0"/>
              <w:jc w:val="left"/>
              <w:rPr>
                <w:rFonts w:eastAsia="Times New Roman" w:cs="Times New Roman"/>
                <w:b/>
                <w:bCs/>
                <w:sz w:val="16"/>
                <w:szCs w:val="16"/>
              </w:rPr>
            </w:pPr>
          </w:p>
        </w:tc>
      </w:tr>
      <w:tr w:rsidR="00DE12A7" w:rsidRPr="00DE12A7" w14:paraId="01BC0890" w14:textId="77777777" w:rsidTr="00DE12A7">
        <w:trPr>
          <w:trHeight w:val="450"/>
        </w:trPr>
        <w:tc>
          <w:tcPr>
            <w:tcW w:w="1560" w:type="dxa"/>
            <w:vMerge/>
            <w:tcBorders>
              <w:top w:val="single" w:sz="4" w:space="0" w:color="auto"/>
              <w:left w:val="nil"/>
              <w:bottom w:val="single" w:sz="4" w:space="0" w:color="000000"/>
              <w:right w:val="nil"/>
            </w:tcBorders>
            <w:vAlign w:val="center"/>
            <w:hideMark/>
          </w:tcPr>
          <w:p w14:paraId="278310FA" w14:textId="77777777" w:rsidR="00DE12A7" w:rsidRPr="00DE12A7" w:rsidRDefault="00DE12A7" w:rsidP="00DE12A7">
            <w:pPr>
              <w:spacing w:after="0"/>
              <w:jc w:val="left"/>
              <w:rPr>
                <w:rFonts w:eastAsia="Times New Roman" w:cs="Times New Roman"/>
                <w:b/>
                <w:bCs/>
                <w:color w:val="000000"/>
                <w:sz w:val="16"/>
                <w:szCs w:val="16"/>
              </w:rPr>
            </w:pPr>
          </w:p>
        </w:tc>
        <w:tc>
          <w:tcPr>
            <w:tcW w:w="708" w:type="dxa"/>
            <w:tcBorders>
              <w:top w:val="nil"/>
              <w:left w:val="nil"/>
              <w:bottom w:val="single" w:sz="4" w:space="0" w:color="auto"/>
              <w:right w:val="nil"/>
            </w:tcBorders>
            <w:shd w:val="clear" w:color="auto" w:fill="auto"/>
            <w:vAlign w:val="center"/>
            <w:hideMark/>
          </w:tcPr>
          <w:p w14:paraId="6A2F06E2"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млн. евро</w:t>
            </w:r>
          </w:p>
        </w:tc>
        <w:tc>
          <w:tcPr>
            <w:tcW w:w="580" w:type="dxa"/>
            <w:tcBorders>
              <w:top w:val="nil"/>
              <w:left w:val="nil"/>
              <w:bottom w:val="single" w:sz="4" w:space="0" w:color="auto"/>
              <w:right w:val="nil"/>
            </w:tcBorders>
            <w:shd w:val="clear" w:color="auto" w:fill="auto"/>
            <w:vAlign w:val="center"/>
            <w:hideMark/>
          </w:tcPr>
          <w:p w14:paraId="2928088F"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 от БВП</w:t>
            </w:r>
          </w:p>
        </w:tc>
        <w:tc>
          <w:tcPr>
            <w:tcW w:w="838" w:type="dxa"/>
            <w:tcBorders>
              <w:top w:val="nil"/>
              <w:left w:val="nil"/>
              <w:bottom w:val="single" w:sz="4" w:space="0" w:color="auto"/>
              <w:right w:val="nil"/>
            </w:tcBorders>
            <w:shd w:val="clear" w:color="auto" w:fill="auto"/>
            <w:vAlign w:val="center"/>
            <w:hideMark/>
          </w:tcPr>
          <w:p w14:paraId="7FDD2478"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млн. евро</w:t>
            </w:r>
          </w:p>
        </w:tc>
        <w:tc>
          <w:tcPr>
            <w:tcW w:w="580" w:type="dxa"/>
            <w:tcBorders>
              <w:top w:val="nil"/>
              <w:left w:val="nil"/>
              <w:bottom w:val="single" w:sz="4" w:space="0" w:color="auto"/>
              <w:right w:val="nil"/>
            </w:tcBorders>
            <w:shd w:val="clear" w:color="auto" w:fill="auto"/>
            <w:vAlign w:val="center"/>
            <w:hideMark/>
          </w:tcPr>
          <w:p w14:paraId="61CD1D95"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 от БВП</w:t>
            </w:r>
          </w:p>
        </w:tc>
        <w:tc>
          <w:tcPr>
            <w:tcW w:w="709" w:type="dxa"/>
            <w:tcBorders>
              <w:top w:val="nil"/>
              <w:left w:val="nil"/>
              <w:bottom w:val="single" w:sz="4" w:space="0" w:color="auto"/>
              <w:right w:val="nil"/>
            </w:tcBorders>
            <w:shd w:val="clear" w:color="auto" w:fill="auto"/>
            <w:vAlign w:val="center"/>
            <w:hideMark/>
          </w:tcPr>
          <w:p w14:paraId="14F4BF10"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млн. евро</w:t>
            </w:r>
          </w:p>
        </w:tc>
        <w:tc>
          <w:tcPr>
            <w:tcW w:w="695" w:type="dxa"/>
            <w:tcBorders>
              <w:top w:val="nil"/>
              <w:left w:val="nil"/>
              <w:bottom w:val="single" w:sz="4" w:space="0" w:color="auto"/>
              <w:right w:val="nil"/>
            </w:tcBorders>
            <w:shd w:val="clear" w:color="auto" w:fill="auto"/>
            <w:vAlign w:val="center"/>
            <w:hideMark/>
          </w:tcPr>
          <w:p w14:paraId="0C528BCD"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 от БВП</w:t>
            </w:r>
          </w:p>
        </w:tc>
        <w:tc>
          <w:tcPr>
            <w:tcW w:w="709" w:type="dxa"/>
            <w:tcBorders>
              <w:top w:val="nil"/>
              <w:left w:val="nil"/>
              <w:bottom w:val="single" w:sz="4" w:space="0" w:color="auto"/>
              <w:right w:val="nil"/>
            </w:tcBorders>
            <w:shd w:val="clear" w:color="auto" w:fill="auto"/>
            <w:vAlign w:val="center"/>
            <w:hideMark/>
          </w:tcPr>
          <w:p w14:paraId="55C9F9C8"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млн. евро</w:t>
            </w:r>
          </w:p>
        </w:tc>
        <w:tc>
          <w:tcPr>
            <w:tcW w:w="580" w:type="dxa"/>
            <w:tcBorders>
              <w:top w:val="nil"/>
              <w:left w:val="nil"/>
              <w:bottom w:val="single" w:sz="4" w:space="0" w:color="auto"/>
              <w:right w:val="nil"/>
            </w:tcBorders>
            <w:shd w:val="clear" w:color="auto" w:fill="auto"/>
            <w:vAlign w:val="center"/>
            <w:hideMark/>
          </w:tcPr>
          <w:p w14:paraId="40806458"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 от БВП</w:t>
            </w:r>
          </w:p>
        </w:tc>
        <w:tc>
          <w:tcPr>
            <w:tcW w:w="709" w:type="dxa"/>
            <w:tcBorders>
              <w:top w:val="nil"/>
              <w:left w:val="nil"/>
              <w:bottom w:val="single" w:sz="4" w:space="0" w:color="auto"/>
              <w:right w:val="nil"/>
            </w:tcBorders>
            <w:shd w:val="clear" w:color="auto" w:fill="auto"/>
            <w:vAlign w:val="center"/>
            <w:hideMark/>
          </w:tcPr>
          <w:p w14:paraId="18965305"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млн. евро</w:t>
            </w:r>
          </w:p>
        </w:tc>
        <w:tc>
          <w:tcPr>
            <w:tcW w:w="580" w:type="dxa"/>
            <w:tcBorders>
              <w:top w:val="nil"/>
              <w:left w:val="nil"/>
              <w:bottom w:val="single" w:sz="4" w:space="0" w:color="auto"/>
              <w:right w:val="nil"/>
            </w:tcBorders>
            <w:shd w:val="clear" w:color="auto" w:fill="auto"/>
            <w:vAlign w:val="center"/>
            <w:hideMark/>
          </w:tcPr>
          <w:p w14:paraId="59FBB27E"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 от БВП</w:t>
            </w:r>
          </w:p>
        </w:tc>
        <w:tc>
          <w:tcPr>
            <w:tcW w:w="838" w:type="dxa"/>
            <w:tcBorders>
              <w:top w:val="nil"/>
              <w:left w:val="nil"/>
              <w:bottom w:val="single" w:sz="4" w:space="0" w:color="auto"/>
              <w:right w:val="nil"/>
            </w:tcBorders>
            <w:shd w:val="clear" w:color="auto" w:fill="auto"/>
            <w:vAlign w:val="center"/>
            <w:hideMark/>
          </w:tcPr>
          <w:p w14:paraId="27FB7726" w14:textId="77777777" w:rsidR="00DE12A7" w:rsidRPr="00DE12A7" w:rsidRDefault="00DE12A7" w:rsidP="00DE12A7">
            <w:pPr>
              <w:spacing w:after="0"/>
              <w:jc w:val="center"/>
              <w:rPr>
                <w:rFonts w:eastAsia="Times New Roman" w:cs="Times New Roman"/>
                <w:b/>
                <w:bCs/>
                <w:color w:val="000000"/>
                <w:sz w:val="16"/>
                <w:szCs w:val="16"/>
              </w:rPr>
            </w:pPr>
            <w:r w:rsidRPr="00DE12A7">
              <w:rPr>
                <w:rFonts w:eastAsia="Times New Roman" w:cs="Times New Roman"/>
                <w:b/>
                <w:bCs/>
                <w:color w:val="000000"/>
                <w:sz w:val="16"/>
                <w:szCs w:val="16"/>
              </w:rPr>
              <w:t>млн. евро</w:t>
            </w:r>
          </w:p>
        </w:tc>
        <w:tc>
          <w:tcPr>
            <w:tcW w:w="553" w:type="dxa"/>
            <w:tcBorders>
              <w:top w:val="nil"/>
              <w:left w:val="nil"/>
              <w:bottom w:val="single" w:sz="4" w:space="0" w:color="auto"/>
              <w:right w:val="nil"/>
            </w:tcBorders>
            <w:shd w:val="clear" w:color="auto" w:fill="auto"/>
            <w:vAlign w:val="center"/>
            <w:hideMark/>
          </w:tcPr>
          <w:p w14:paraId="7516AB71" w14:textId="77777777" w:rsidR="00DE12A7" w:rsidRPr="00DE12A7" w:rsidRDefault="00DE12A7" w:rsidP="00DE12A7">
            <w:pPr>
              <w:spacing w:after="0"/>
              <w:jc w:val="center"/>
              <w:rPr>
                <w:rFonts w:eastAsia="Times New Roman" w:cs="Times New Roman"/>
                <w:b/>
                <w:bCs/>
                <w:sz w:val="16"/>
                <w:szCs w:val="16"/>
              </w:rPr>
            </w:pPr>
            <w:r w:rsidRPr="00DE12A7">
              <w:rPr>
                <w:rFonts w:eastAsia="Times New Roman" w:cs="Times New Roman"/>
                <w:b/>
                <w:bCs/>
                <w:sz w:val="16"/>
                <w:szCs w:val="16"/>
              </w:rPr>
              <w:t>% от БВП</w:t>
            </w:r>
          </w:p>
        </w:tc>
      </w:tr>
      <w:tr w:rsidR="00DE12A7" w:rsidRPr="00DE12A7" w14:paraId="147EF06A" w14:textId="77777777" w:rsidTr="00DE12A7">
        <w:trPr>
          <w:trHeight w:val="255"/>
        </w:trPr>
        <w:tc>
          <w:tcPr>
            <w:tcW w:w="1560" w:type="dxa"/>
            <w:tcBorders>
              <w:top w:val="nil"/>
              <w:left w:val="nil"/>
              <w:bottom w:val="nil"/>
              <w:right w:val="nil"/>
            </w:tcBorders>
            <w:shd w:val="clear" w:color="auto" w:fill="auto"/>
            <w:noWrap/>
            <w:hideMark/>
          </w:tcPr>
          <w:p w14:paraId="25A12F31" w14:textId="77777777" w:rsidR="00DE12A7" w:rsidRPr="00DE12A7" w:rsidRDefault="00DE12A7" w:rsidP="00DE12A7">
            <w:pPr>
              <w:spacing w:after="0"/>
              <w:jc w:val="left"/>
              <w:rPr>
                <w:rFonts w:eastAsia="Times New Roman" w:cs="Times New Roman"/>
                <w:b/>
                <w:bCs/>
                <w:color w:val="000000"/>
                <w:sz w:val="16"/>
                <w:szCs w:val="16"/>
              </w:rPr>
            </w:pPr>
            <w:r w:rsidRPr="00DE12A7">
              <w:rPr>
                <w:rFonts w:eastAsia="Times New Roman" w:cs="Times New Roman"/>
                <w:b/>
                <w:bCs/>
                <w:color w:val="000000"/>
                <w:sz w:val="16"/>
                <w:szCs w:val="16"/>
              </w:rPr>
              <w:t>Приходи, помощи и дарения</w:t>
            </w:r>
          </w:p>
        </w:tc>
        <w:tc>
          <w:tcPr>
            <w:tcW w:w="708" w:type="dxa"/>
            <w:tcBorders>
              <w:top w:val="nil"/>
              <w:left w:val="nil"/>
              <w:bottom w:val="nil"/>
              <w:right w:val="nil"/>
            </w:tcBorders>
            <w:shd w:val="clear" w:color="auto" w:fill="auto"/>
            <w:noWrap/>
            <w:hideMark/>
          </w:tcPr>
          <w:p w14:paraId="339C2B18"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36 820,8</w:t>
            </w:r>
          </w:p>
        </w:tc>
        <w:tc>
          <w:tcPr>
            <w:tcW w:w="580" w:type="dxa"/>
            <w:tcBorders>
              <w:top w:val="nil"/>
              <w:left w:val="nil"/>
              <w:bottom w:val="nil"/>
              <w:right w:val="nil"/>
            </w:tcBorders>
            <w:shd w:val="clear" w:color="auto" w:fill="auto"/>
            <w:noWrap/>
            <w:hideMark/>
          </w:tcPr>
          <w:p w14:paraId="092DFC5B"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35,1%</w:t>
            </w:r>
          </w:p>
        </w:tc>
        <w:tc>
          <w:tcPr>
            <w:tcW w:w="838" w:type="dxa"/>
            <w:tcBorders>
              <w:top w:val="nil"/>
              <w:left w:val="nil"/>
              <w:bottom w:val="nil"/>
              <w:right w:val="nil"/>
            </w:tcBorders>
            <w:shd w:val="clear" w:color="auto" w:fill="auto"/>
            <w:noWrap/>
            <w:hideMark/>
          </w:tcPr>
          <w:p w14:paraId="4436F138"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46 154,7</w:t>
            </w:r>
          </w:p>
        </w:tc>
        <w:tc>
          <w:tcPr>
            <w:tcW w:w="580" w:type="dxa"/>
            <w:tcBorders>
              <w:top w:val="nil"/>
              <w:left w:val="nil"/>
              <w:bottom w:val="nil"/>
              <w:right w:val="nil"/>
            </w:tcBorders>
            <w:shd w:val="clear" w:color="auto" w:fill="auto"/>
            <w:noWrap/>
            <w:hideMark/>
          </w:tcPr>
          <w:p w14:paraId="0AD0DA19"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41,9%</w:t>
            </w:r>
          </w:p>
        </w:tc>
        <w:tc>
          <w:tcPr>
            <w:tcW w:w="709" w:type="dxa"/>
            <w:tcBorders>
              <w:top w:val="nil"/>
              <w:left w:val="nil"/>
              <w:bottom w:val="nil"/>
              <w:right w:val="nil"/>
            </w:tcBorders>
            <w:shd w:val="clear" w:color="auto" w:fill="auto"/>
            <w:noWrap/>
            <w:hideMark/>
          </w:tcPr>
          <w:p w14:paraId="094BA204"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44 499,2</w:t>
            </w:r>
          </w:p>
        </w:tc>
        <w:tc>
          <w:tcPr>
            <w:tcW w:w="695" w:type="dxa"/>
            <w:tcBorders>
              <w:top w:val="nil"/>
              <w:left w:val="nil"/>
              <w:bottom w:val="nil"/>
              <w:right w:val="nil"/>
            </w:tcBorders>
            <w:shd w:val="clear" w:color="auto" w:fill="auto"/>
            <w:noWrap/>
            <w:hideMark/>
          </w:tcPr>
          <w:p w14:paraId="35931805"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39,4%</w:t>
            </w:r>
          </w:p>
        </w:tc>
        <w:tc>
          <w:tcPr>
            <w:tcW w:w="709" w:type="dxa"/>
            <w:tcBorders>
              <w:top w:val="nil"/>
              <w:left w:val="nil"/>
              <w:bottom w:val="nil"/>
              <w:right w:val="nil"/>
            </w:tcBorders>
            <w:shd w:val="clear" w:color="auto" w:fill="auto"/>
            <w:noWrap/>
            <w:hideMark/>
          </w:tcPr>
          <w:p w14:paraId="670D43DE"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50 402,3</w:t>
            </w:r>
          </w:p>
        </w:tc>
        <w:tc>
          <w:tcPr>
            <w:tcW w:w="580" w:type="dxa"/>
            <w:tcBorders>
              <w:top w:val="nil"/>
              <w:left w:val="nil"/>
              <w:bottom w:val="nil"/>
              <w:right w:val="nil"/>
            </w:tcBorders>
            <w:shd w:val="clear" w:color="auto" w:fill="auto"/>
            <w:noWrap/>
            <w:hideMark/>
          </w:tcPr>
          <w:p w14:paraId="02F18381"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41,9%</w:t>
            </w:r>
          </w:p>
        </w:tc>
        <w:tc>
          <w:tcPr>
            <w:tcW w:w="709" w:type="dxa"/>
            <w:tcBorders>
              <w:top w:val="nil"/>
              <w:left w:val="nil"/>
              <w:bottom w:val="nil"/>
              <w:right w:val="nil"/>
            </w:tcBorders>
            <w:shd w:val="clear" w:color="auto" w:fill="auto"/>
            <w:noWrap/>
            <w:hideMark/>
          </w:tcPr>
          <w:p w14:paraId="064E95E7"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51 546,9</w:t>
            </w:r>
          </w:p>
        </w:tc>
        <w:tc>
          <w:tcPr>
            <w:tcW w:w="580" w:type="dxa"/>
            <w:tcBorders>
              <w:top w:val="nil"/>
              <w:left w:val="nil"/>
              <w:bottom w:val="nil"/>
              <w:right w:val="nil"/>
            </w:tcBorders>
            <w:shd w:val="clear" w:color="auto" w:fill="auto"/>
            <w:noWrap/>
            <w:hideMark/>
          </w:tcPr>
          <w:p w14:paraId="0FD96E94"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40,6%</w:t>
            </w:r>
          </w:p>
        </w:tc>
        <w:tc>
          <w:tcPr>
            <w:tcW w:w="838" w:type="dxa"/>
            <w:tcBorders>
              <w:top w:val="nil"/>
              <w:left w:val="nil"/>
              <w:bottom w:val="nil"/>
              <w:right w:val="nil"/>
            </w:tcBorders>
            <w:shd w:val="clear" w:color="auto" w:fill="auto"/>
            <w:noWrap/>
            <w:hideMark/>
          </w:tcPr>
          <w:p w14:paraId="2373DBF4" w14:textId="77777777" w:rsidR="00DE12A7" w:rsidRPr="00DE12A7" w:rsidRDefault="00DE12A7" w:rsidP="00DE12A7">
            <w:pPr>
              <w:spacing w:after="0"/>
              <w:jc w:val="right"/>
              <w:rPr>
                <w:rFonts w:eastAsia="Times New Roman" w:cs="Times New Roman"/>
                <w:b/>
                <w:bCs/>
                <w:sz w:val="16"/>
                <w:szCs w:val="16"/>
              </w:rPr>
            </w:pPr>
            <w:r w:rsidRPr="00DE12A7">
              <w:rPr>
                <w:rFonts w:eastAsia="Times New Roman" w:cs="Times New Roman"/>
                <w:b/>
                <w:bCs/>
                <w:sz w:val="16"/>
                <w:szCs w:val="16"/>
              </w:rPr>
              <w:t>54 745,6</w:t>
            </w:r>
          </w:p>
        </w:tc>
        <w:tc>
          <w:tcPr>
            <w:tcW w:w="553" w:type="dxa"/>
            <w:tcBorders>
              <w:top w:val="nil"/>
              <w:left w:val="nil"/>
              <w:bottom w:val="nil"/>
              <w:right w:val="nil"/>
            </w:tcBorders>
            <w:shd w:val="clear" w:color="auto" w:fill="auto"/>
            <w:noWrap/>
            <w:hideMark/>
          </w:tcPr>
          <w:p w14:paraId="2EC9F313" w14:textId="77777777" w:rsidR="00DE12A7" w:rsidRPr="00DE12A7" w:rsidRDefault="00DE12A7" w:rsidP="00DE12A7">
            <w:pPr>
              <w:spacing w:after="0"/>
              <w:jc w:val="right"/>
              <w:rPr>
                <w:rFonts w:eastAsia="Times New Roman" w:cs="Times New Roman"/>
                <w:b/>
                <w:bCs/>
                <w:sz w:val="16"/>
                <w:szCs w:val="16"/>
              </w:rPr>
            </w:pPr>
            <w:r w:rsidRPr="00DE12A7">
              <w:rPr>
                <w:rFonts w:eastAsia="Times New Roman" w:cs="Times New Roman"/>
                <w:b/>
                <w:bCs/>
                <w:sz w:val="16"/>
                <w:szCs w:val="16"/>
              </w:rPr>
              <w:t>40,9%</w:t>
            </w:r>
          </w:p>
        </w:tc>
      </w:tr>
      <w:tr w:rsidR="00DE12A7" w:rsidRPr="00DE12A7" w14:paraId="715651C5" w14:textId="77777777" w:rsidTr="00DE12A7">
        <w:trPr>
          <w:trHeight w:val="255"/>
        </w:trPr>
        <w:tc>
          <w:tcPr>
            <w:tcW w:w="1560" w:type="dxa"/>
            <w:tcBorders>
              <w:top w:val="nil"/>
              <w:left w:val="nil"/>
              <w:bottom w:val="nil"/>
              <w:right w:val="nil"/>
            </w:tcBorders>
            <w:shd w:val="clear" w:color="auto" w:fill="auto"/>
            <w:noWrap/>
            <w:hideMark/>
          </w:tcPr>
          <w:p w14:paraId="64D9DFCB" w14:textId="77777777" w:rsidR="00DE12A7" w:rsidRPr="00DE12A7" w:rsidRDefault="00DE12A7" w:rsidP="00DE12A7">
            <w:pPr>
              <w:spacing w:after="0"/>
              <w:jc w:val="left"/>
              <w:rPr>
                <w:rFonts w:eastAsia="Times New Roman" w:cs="Times New Roman"/>
                <w:b/>
                <w:bCs/>
                <w:color w:val="000000"/>
                <w:sz w:val="16"/>
                <w:szCs w:val="16"/>
              </w:rPr>
            </w:pPr>
            <w:r w:rsidRPr="00DE12A7">
              <w:rPr>
                <w:rFonts w:eastAsia="Times New Roman" w:cs="Times New Roman"/>
                <w:b/>
                <w:bCs/>
                <w:color w:val="000000"/>
                <w:sz w:val="16"/>
                <w:szCs w:val="16"/>
              </w:rPr>
              <w:t>Общо разходи и Вноска в общия бюджет на ЕС</w:t>
            </w:r>
          </w:p>
        </w:tc>
        <w:tc>
          <w:tcPr>
            <w:tcW w:w="708" w:type="dxa"/>
            <w:tcBorders>
              <w:top w:val="nil"/>
              <w:left w:val="nil"/>
              <w:bottom w:val="nil"/>
              <w:right w:val="nil"/>
            </w:tcBorders>
            <w:shd w:val="clear" w:color="auto" w:fill="auto"/>
            <w:noWrap/>
            <w:hideMark/>
          </w:tcPr>
          <w:p w14:paraId="156B69AB"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39 972,2</w:t>
            </w:r>
          </w:p>
        </w:tc>
        <w:tc>
          <w:tcPr>
            <w:tcW w:w="580" w:type="dxa"/>
            <w:tcBorders>
              <w:top w:val="nil"/>
              <w:left w:val="nil"/>
              <w:bottom w:val="nil"/>
              <w:right w:val="nil"/>
            </w:tcBorders>
            <w:shd w:val="clear" w:color="auto" w:fill="auto"/>
            <w:noWrap/>
            <w:hideMark/>
          </w:tcPr>
          <w:p w14:paraId="54C18B1A"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38,2%</w:t>
            </w:r>
          </w:p>
        </w:tc>
        <w:tc>
          <w:tcPr>
            <w:tcW w:w="838" w:type="dxa"/>
            <w:tcBorders>
              <w:top w:val="nil"/>
              <w:left w:val="nil"/>
              <w:bottom w:val="nil"/>
              <w:right w:val="nil"/>
            </w:tcBorders>
            <w:shd w:val="clear" w:color="auto" w:fill="auto"/>
            <w:noWrap/>
            <w:hideMark/>
          </w:tcPr>
          <w:p w14:paraId="20025750"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49 445,0</w:t>
            </w:r>
          </w:p>
        </w:tc>
        <w:tc>
          <w:tcPr>
            <w:tcW w:w="580" w:type="dxa"/>
            <w:tcBorders>
              <w:top w:val="nil"/>
              <w:left w:val="nil"/>
              <w:bottom w:val="nil"/>
              <w:right w:val="nil"/>
            </w:tcBorders>
            <w:shd w:val="clear" w:color="auto" w:fill="auto"/>
            <w:noWrap/>
            <w:hideMark/>
          </w:tcPr>
          <w:p w14:paraId="14DC5D00"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44,9%</w:t>
            </w:r>
          </w:p>
        </w:tc>
        <w:tc>
          <w:tcPr>
            <w:tcW w:w="709" w:type="dxa"/>
            <w:tcBorders>
              <w:top w:val="nil"/>
              <w:left w:val="nil"/>
              <w:bottom w:val="nil"/>
              <w:right w:val="nil"/>
            </w:tcBorders>
            <w:shd w:val="clear" w:color="auto" w:fill="auto"/>
            <w:noWrap/>
            <w:hideMark/>
          </w:tcPr>
          <w:p w14:paraId="64E880AB"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47 886,3</w:t>
            </w:r>
          </w:p>
        </w:tc>
        <w:tc>
          <w:tcPr>
            <w:tcW w:w="695" w:type="dxa"/>
            <w:tcBorders>
              <w:top w:val="nil"/>
              <w:left w:val="nil"/>
              <w:bottom w:val="nil"/>
              <w:right w:val="nil"/>
            </w:tcBorders>
            <w:shd w:val="clear" w:color="auto" w:fill="auto"/>
            <w:noWrap/>
            <w:hideMark/>
          </w:tcPr>
          <w:p w14:paraId="469D1EC0"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42,4%</w:t>
            </w:r>
          </w:p>
        </w:tc>
        <w:tc>
          <w:tcPr>
            <w:tcW w:w="709" w:type="dxa"/>
            <w:tcBorders>
              <w:top w:val="nil"/>
              <w:left w:val="nil"/>
              <w:bottom w:val="nil"/>
              <w:right w:val="nil"/>
            </w:tcBorders>
            <w:shd w:val="clear" w:color="auto" w:fill="auto"/>
            <w:noWrap/>
            <w:hideMark/>
          </w:tcPr>
          <w:p w14:paraId="14B1848B"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54 051,9</w:t>
            </w:r>
          </w:p>
        </w:tc>
        <w:tc>
          <w:tcPr>
            <w:tcW w:w="580" w:type="dxa"/>
            <w:tcBorders>
              <w:top w:val="nil"/>
              <w:left w:val="nil"/>
              <w:bottom w:val="nil"/>
              <w:right w:val="nil"/>
            </w:tcBorders>
            <w:shd w:val="clear" w:color="auto" w:fill="auto"/>
            <w:noWrap/>
            <w:hideMark/>
          </w:tcPr>
          <w:p w14:paraId="79368556"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45,0%</w:t>
            </w:r>
          </w:p>
        </w:tc>
        <w:tc>
          <w:tcPr>
            <w:tcW w:w="709" w:type="dxa"/>
            <w:tcBorders>
              <w:top w:val="nil"/>
              <w:left w:val="nil"/>
              <w:bottom w:val="nil"/>
              <w:right w:val="nil"/>
            </w:tcBorders>
            <w:shd w:val="clear" w:color="auto" w:fill="auto"/>
            <w:noWrap/>
            <w:hideMark/>
          </w:tcPr>
          <w:p w14:paraId="3BA620F7"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55 091,2</w:t>
            </w:r>
          </w:p>
        </w:tc>
        <w:tc>
          <w:tcPr>
            <w:tcW w:w="580" w:type="dxa"/>
            <w:tcBorders>
              <w:top w:val="nil"/>
              <w:left w:val="nil"/>
              <w:bottom w:val="nil"/>
              <w:right w:val="nil"/>
            </w:tcBorders>
            <w:shd w:val="clear" w:color="auto" w:fill="auto"/>
            <w:noWrap/>
            <w:hideMark/>
          </w:tcPr>
          <w:p w14:paraId="6F4B6CC8"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43,4%</w:t>
            </w:r>
          </w:p>
        </w:tc>
        <w:tc>
          <w:tcPr>
            <w:tcW w:w="838" w:type="dxa"/>
            <w:tcBorders>
              <w:top w:val="nil"/>
              <w:left w:val="nil"/>
              <w:bottom w:val="nil"/>
              <w:right w:val="nil"/>
            </w:tcBorders>
            <w:shd w:val="clear" w:color="auto" w:fill="auto"/>
            <w:noWrap/>
            <w:hideMark/>
          </w:tcPr>
          <w:p w14:paraId="3B9938AE" w14:textId="77777777" w:rsidR="00DE12A7" w:rsidRPr="00DE12A7" w:rsidRDefault="00DE12A7" w:rsidP="00DE12A7">
            <w:pPr>
              <w:spacing w:after="0"/>
              <w:jc w:val="right"/>
              <w:rPr>
                <w:rFonts w:eastAsia="Times New Roman" w:cs="Times New Roman"/>
                <w:b/>
                <w:bCs/>
                <w:sz w:val="16"/>
                <w:szCs w:val="16"/>
              </w:rPr>
            </w:pPr>
            <w:r w:rsidRPr="00DE12A7">
              <w:rPr>
                <w:rFonts w:eastAsia="Times New Roman" w:cs="Times New Roman"/>
                <w:b/>
                <w:bCs/>
                <w:sz w:val="16"/>
                <w:szCs w:val="16"/>
              </w:rPr>
              <w:t>58 007,1</w:t>
            </w:r>
          </w:p>
        </w:tc>
        <w:tc>
          <w:tcPr>
            <w:tcW w:w="553" w:type="dxa"/>
            <w:tcBorders>
              <w:top w:val="nil"/>
              <w:left w:val="nil"/>
              <w:bottom w:val="nil"/>
              <w:right w:val="nil"/>
            </w:tcBorders>
            <w:shd w:val="clear" w:color="auto" w:fill="auto"/>
            <w:noWrap/>
            <w:hideMark/>
          </w:tcPr>
          <w:p w14:paraId="00204727" w14:textId="77777777" w:rsidR="00DE12A7" w:rsidRPr="00DE12A7" w:rsidRDefault="00DE12A7" w:rsidP="00DE12A7">
            <w:pPr>
              <w:spacing w:after="0"/>
              <w:jc w:val="right"/>
              <w:rPr>
                <w:rFonts w:eastAsia="Times New Roman" w:cs="Times New Roman"/>
                <w:b/>
                <w:bCs/>
                <w:sz w:val="16"/>
                <w:szCs w:val="16"/>
              </w:rPr>
            </w:pPr>
            <w:r w:rsidRPr="00DE12A7">
              <w:rPr>
                <w:rFonts w:eastAsia="Times New Roman" w:cs="Times New Roman"/>
                <w:b/>
                <w:bCs/>
                <w:sz w:val="16"/>
                <w:szCs w:val="16"/>
              </w:rPr>
              <w:t>43,4%</w:t>
            </w:r>
          </w:p>
        </w:tc>
      </w:tr>
      <w:tr w:rsidR="00DE12A7" w:rsidRPr="00DE12A7" w14:paraId="3373FC7E" w14:textId="77777777" w:rsidTr="00DE12A7">
        <w:trPr>
          <w:trHeight w:val="270"/>
        </w:trPr>
        <w:tc>
          <w:tcPr>
            <w:tcW w:w="1560" w:type="dxa"/>
            <w:tcBorders>
              <w:top w:val="nil"/>
              <w:left w:val="nil"/>
              <w:bottom w:val="nil"/>
              <w:right w:val="nil"/>
            </w:tcBorders>
            <w:shd w:val="clear" w:color="auto" w:fill="auto"/>
            <w:hideMark/>
          </w:tcPr>
          <w:p w14:paraId="178BF206" w14:textId="77777777" w:rsidR="00DE12A7" w:rsidRPr="00DE12A7" w:rsidRDefault="00DE12A7" w:rsidP="00DE12A7">
            <w:pPr>
              <w:spacing w:after="0"/>
              <w:ind w:firstLineChars="100" w:firstLine="161"/>
              <w:jc w:val="left"/>
              <w:rPr>
                <w:rFonts w:eastAsia="Times New Roman" w:cs="Times New Roman"/>
                <w:b/>
                <w:bCs/>
                <w:color w:val="000099"/>
                <w:sz w:val="16"/>
                <w:szCs w:val="16"/>
              </w:rPr>
            </w:pPr>
            <w:r w:rsidRPr="00DE12A7">
              <w:rPr>
                <w:rFonts w:eastAsia="Times New Roman" w:cs="Times New Roman"/>
                <w:b/>
                <w:bCs/>
                <w:color w:val="000099"/>
                <w:sz w:val="16"/>
                <w:szCs w:val="16"/>
              </w:rPr>
              <w:t>в т.ч. Разходи чл. 28, ал. 1 от ЗПФ</w:t>
            </w:r>
          </w:p>
        </w:tc>
        <w:tc>
          <w:tcPr>
            <w:tcW w:w="708" w:type="dxa"/>
            <w:tcBorders>
              <w:top w:val="nil"/>
              <w:left w:val="nil"/>
              <w:bottom w:val="nil"/>
              <w:right w:val="nil"/>
            </w:tcBorders>
            <w:shd w:val="clear" w:color="auto" w:fill="auto"/>
            <w:noWrap/>
            <w:hideMark/>
          </w:tcPr>
          <w:p w14:paraId="6ED090FD"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37 959,7</w:t>
            </w:r>
          </w:p>
        </w:tc>
        <w:tc>
          <w:tcPr>
            <w:tcW w:w="580" w:type="dxa"/>
            <w:tcBorders>
              <w:top w:val="nil"/>
              <w:left w:val="nil"/>
              <w:bottom w:val="nil"/>
              <w:right w:val="nil"/>
            </w:tcBorders>
            <w:shd w:val="clear" w:color="auto" w:fill="auto"/>
            <w:noWrap/>
            <w:hideMark/>
          </w:tcPr>
          <w:p w14:paraId="52573EAF"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36,2%</w:t>
            </w:r>
          </w:p>
        </w:tc>
        <w:tc>
          <w:tcPr>
            <w:tcW w:w="838" w:type="dxa"/>
            <w:tcBorders>
              <w:top w:val="nil"/>
              <w:left w:val="nil"/>
              <w:bottom w:val="nil"/>
              <w:right w:val="nil"/>
            </w:tcBorders>
            <w:shd w:val="clear" w:color="auto" w:fill="auto"/>
            <w:noWrap/>
            <w:hideMark/>
          </w:tcPr>
          <w:p w14:paraId="780C9451"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44 026,8</w:t>
            </w:r>
          </w:p>
        </w:tc>
        <w:tc>
          <w:tcPr>
            <w:tcW w:w="580" w:type="dxa"/>
            <w:tcBorders>
              <w:top w:val="nil"/>
              <w:left w:val="nil"/>
              <w:bottom w:val="nil"/>
              <w:right w:val="nil"/>
            </w:tcBorders>
            <w:shd w:val="clear" w:color="auto" w:fill="auto"/>
            <w:noWrap/>
            <w:hideMark/>
          </w:tcPr>
          <w:p w14:paraId="15A2D1FA"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40,0%</w:t>
            </w:r>
          </w:p>
        </w:tc>
        <w:tc>
          <w:tcPr>
            <w:tcW w:w="709" w:type="dxa"/>
            <w:tcBorders>
              <w:top w:val="nil"/>
              <w:left w:val="nil"/>
              <w:bottom w:val="nil"/>
              <w:right w:val="nil"/>
            </w:tcBorders>
            <w:shd w:val="clear" w:color="auto" w:fill="auto"/>
            <w:noWrap/>
            <w:hideMark/>
          </w:tcPr>
          <w:p w14:paraId="225E22B0"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43 633,1</w:t>
            </w:r>
          </w:p>
        </w:tc>
        <w:tc>
          <w:tcPr>
            <w:tcW w:w="695" w:type="dxa"/>
            <w:tcBorders>
              <w:top w:val="nil"/>
              <w:left w:val="nil"/>
              <w:bottom w:val="nil"/>
              <w:right w:val="nil"/>
            </w:tcBorders>
            <w:shd w:val="clear" w:color="auto" w:fill="auto"/>
            <w:noWrap/>
            <w:hideMark/>
          </w:tcPr>
          <w:p w14:paraId="10657CA0"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38,6%</w:t>
            </w:r>
          </w:p>
        </w:tc>
        <w:tc>
          <w:tcPr>
            <w:tcW w:w="709" w:type="dxa"/>
            <w:tcBorders>
              <w:top w:val="nil"/>
              <w:left w:val="nil"/>
              <w:bottom w:val="nil"/>
              <w:right w:val="nil"/>
            </w:tcBorders>
            <w:shd w:val="clear" w:color="auto" w:fill="auto"/>
            <w:noWrap/>
            <w:hideMark/>
          </w:tcPr>
          <w:p w14:paraId="206AD2EE"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48 244,8</w:t>
            </w:r>
          </w:p>
        </w:tc>
        <w:tc>
          <w:tcPr>
            <w:tcW w:w="580" w:type="dxa"/>
            <w:tcBorders>
              <w:top w:val="nil"/>
              <w:left w:val="nil"/>
              <w:bottom w:val="nil"/>
              <w:right w:val="nil"/>
            </w:tcBorders>
            <w:shd w:val="clear" w:color="auto" w:fill="auto"/>
            <w:noWrap/>
            <w:hideMark/>
          </w:tcPr>
          <w:p w14:paraId="3D2AAEE8"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40,1%</w:t>
            </w:r>
          </w:p>
        </w:tc>
        <w:tc>
          <w:tcPr>
            <w:tcW w:w="709" w:type="dxa"/>
            <w:tcBorders>
              <w:top w:val="nil"/>
              <w:left w:val="nil"/>
              <w:bottom w:val="nil"/>
              <w:right w:val="nil"/>
            </w:tcBorders>
            <w:shd w:val="clear" w:color="auto" w:fill="auto"/>
            <w:noWrap/>
            <w:hideMark/>
          </w:tcPr>
          <w:p w14:paraId="2984C7D5"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50 743,2</w:t>
            </w:r>
          </w:p>
        </w:tc>
        <w:tc>
          <w:tcPr>
            <w:tcW w:w="580" w:type="dxa"/>
            <w:tcBorders>
              <w:top w:val="nil"/>
              <w:left w:val="nil"/>
              <w:bottom w:val="nil"/>
              <w:right w:val="nil"/>
            </w:tcBorders>
            <w:shd w:val="clear" w:color="auto" w:fill="auto"/>
            <w:noWrap/>
            <w:hideMark/>
          </w:tcPr>
          <w:p w14:paraId="65F31024"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39,9%</w:t>
            </w:r>
          </w:p>
        </w:tc>
        <w:tc>
          <w:tcPr>
            <w:tcW w:w="838" w:type="dxa"/>
            <w:tcBorders>
              <w:top w:val="nil"/>
              <w:left w:val="nil"/>
              <w:bottom w:val="nil"/>
              <w:right w:val="nil"/>
            </w:tcBorders>
            <w:shd w:val="clear" w:color="auto" w:fill="auto"/>
            <w:noWrap/>
            <w:hideMark/>
          </w:tcPr>
          <w:p w14:paraId="38BF2625"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53 489,5</w:t>
            </w:r>
          </w:p>
        </w:tc>
        <w:tc>
          <w:tcPr>
            <w:tcW w:w="553" w:type="dxa"/>
            <w:tcBorders>
              <w:top w:val="nil"/>
              <w:left w:val="nil"/>
              <w:bottom w:val="nil"/>
              <w:right w:val="nil"/>
            </w:tcBorders>
            <w:shd w:val="clear" w:color="auto" w:fill="auto"/>
            <w:noWrap/>
            <w:hideMark/>
          </w:tcPr>
          <w:p w14:paraId="182736F4" w14:textId="77777777" w:rsidR="00DE12A7" w:rsidRPr="00DE12A7" w:rsidRDefault="00DE12A7" w:rsidP="00DE12A7">
            <w:pPr>
              <w:spacing w:after="0"/>
              <w:jc w:val="right"/>
              <w:rPr>
                <w:rFonts w:eastAsia="Times New Roman" w:cs="Times New Roman"/>
                <w:b/>
                <w:bCs/>
                <w:color w:val="000099"/>
                <w:sz w:val="16"/>
                <w:szCs w:val="16"/>
              </w:rPr>
            </w:pPr>
            <w:r w:rsidRPr="00DE12A7">
              <w:rPr>
                <w:rFonts w:eastAsia="Times New Roman" w:cs="Times New Roman"/>
                <w:b/>
                <w:bCs/>
                <w:color w:val="000099"/>
                <w:sz w:val="16"/>
                <w:szCs w:val="16"/>
              </w:rPr>
              <w:t>40,0%</w:t>
            </w:r>
          </w:p>
        </w:tc>
      </w:tr>
      <w:tr w:rsidR="00DE12A7" w:rsidRPr="00DE12A7" w14:paraId="7B72103D" w14:textId="77777777" w:rsidTr="00DE12A7">
        <w:trPr>
          <w:trHeight w:val="255"/>
        </w:trPr>
        <w:tc>
          <w:tcPr>
            <w:tcW w:w="1560" w:type="dxa"/>
            <w:tcBorders>
              <w:top w:val="nil"/>
              <w:left w:val="nil"/>
              <w:bottom w:val="single" w:sz="4" w:space="0" w:color="auto"/>
              <w:right w:val="nil"/>
            </w:tcBorders>
            <w:shd w:val="clear" w:color="auto" w:fill="auto"/>
            <w:noWrap/>
            <w:hideMark/>
          </w:tcPr>
          <w:p w14:paraId="03AA3D0D" w14:textId="77777777" w:rsidR="00DE12A7" w:rsidRPr="00DE12A7" w:rsidRDefault="00DE12A7" w:rsidP="00DE12A7">
            <w:pPr>
              <w:spacing w:after="0"/>
              <w:jc w:val="left"/>
              <w:rPr>
                <w:rFonts w:eastAsia="Times New Roman" w:cs="Times New Roman"/>
                <w:b/>
                <w:bCs/>
                <w:color w:val="000000"/>
                <w:sz w:val="16"/>
                <w:szCs w:val="16"/>
              </w:rPr>
            </w:pPr>
            <w:r w:rsidRPr="00DE12A7">
              <w:rPr>
                <w:rFonts w:eastAsia="Times New Roman" w:cs="Times New Roman"/>
                <w:b/>
                <w:bCs/>
                <w:color w:val="000000"/>
                <w:sz w:val="16"/>
                <w:szCs w:val="16"/>
              </w:rPr>
              <w:t>Бюджетно салдо (+/-)</w:t>
            </w:r>
          </w:p>
        </w:tc>
        <w:tc>
          <w:tcPr>
            <w:tcW w:w="708" w:type="dxa"/>
            <w:tcBorders>
              <w:top w:val="nil"/>
              <w:left w:val="nil"/>
              <w:bottom w:val="single" w:sz="4" w:space="0" w:color="auto"/>
              <w:right w:val="nil"/>
            </w:tcBorders>
            <w:shd w:val="clear" w:color="auto" w:fill="auto"/>
            <w:noWrap/>
            <w:hideMark/>
          </w:tcPr>
          <w:p w14:paraId="34F4D5F1"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-3 151,4</w:t>
            </w:r>
          </w:p>
        </w:tc>
        <w:tc>
          <w:tcPr>
            <w:tcW w:w="580" w:type="dxa"/>
            <w:tcBorders>
              <w:top w:val="nil"/>
              <w:left w:val="nil"/>
              <w:bottom w:val="single" w:sz="4" w:space="0" w:color="auto"/>
              <w:right w:val="nil"/>
            </w:tcBorders>
            <w:shd w:val="clear" w:color="auto" w:fill="auto"/>
            <w:noWrap/>
            <w:hideMark/>
          </w:tcPr>
          <w:p w14:paraId="2FC05D90"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-3,0%</w:t>
            </w:r>
          </w:p>
        </w:tc>
        <w:tc>
          <w:tcPr>
            <w:tcW w:w="838" w:type="dxa"/>
            <w:tcBorders>
              <w:top w:val="nil"/>
              <w:left w:val="nil"/>
              <w:bottom w:val="single" w:sz="4" w:space="0" w:color="auto"/>
              <w:right w:val="nil"/>
            </w:tcBorders>
            <w:shd w:val="clear" w:color="auto" w:fill="auto"/>
            <w:noWrap/>
            <w:hideMark/>
          </w:tcPr>
          <w:p w14:paraId="01D21D15"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-3 290,3</w:t>
            </w:r>
          </w:p>
        </w:tc>
        <w:tc>
          <w:tcPr>
            <w:tcW w:w="580" w:type="dxa"/>
            <w:tcBorders>
              <w:top w:val="nil"/>
              <w:left w:val="nil"/>
              <w:bottom w:val="single" w:sz="4" w:space="0" w:color="auto"/>
              <w:right w:val="nil"/>
            </w:tcBorders>
            <w:shd w:val="clear" w:color="auto" w:fill="auto"/>
            <w:noWrap/>
            <w:hideMark/>
          </w:tcPr>
          <w:p w14:paraId="74B251D8"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-3,0%</w:t>
            </w:r>
          </w:p>
        </w:tc>
        <w:tc>
          <w:tcPr>
            <w:tcW w:w="709" w:type="dxa"/>
            <w:tcBorders>
              <w:top w:val="nil"/>
              <w:left w:val="nil"/>
              <w:bottom w:val="single" w:sz="4" w:space="0" w:color="auto"/>
              <w:right w:val="nil"/>
            </w:tcBorders>
            <w:shd w:val="clear" w:color="auto" w:fill="auto"/>
            <w:noWrap/>
            <w:hideMark/>
          </w:tcPr>
          <w:p w14:paraId="77FAB38B"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-3 387,2</w:t>
            </w:r>
          </w:p>
        </w:tc>
        <w:tc>
          <w:tcPr>
            <w:tcW w:w="695" w:type="dxa"/>
            <w:tcBorders>
              <w:top w:val="nil"/>
              <w:left w:val="nil"/>
              <w:bottom w:val="single" w:sz="4" w:space="0" w:color="auto"/>
              <w:right w:val="nil"/>
            </w:tcBorders>
            <w:shd w:val="clear" w:color="auto" w:fill="auto"/>
            <w:noWrap/>
            <w:hideMark/>
          </w:tcPr>
          <w:p w14:paraId="67C6D7CD"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-3,0%</w:t>
            </w:r>
          </w:p>
        </w:tc>
        <w:tc>
          <w:tcPr>
            <w:tcW w:w="709" w:type="dxa"/>
            <w:tcBorders>
              <w:top w:val="nil"/>
              <w:left w:val="nil"/>
              <w:bottom w:val="single" w:sz="4" w:space="0" w:color="auto"/>
              <w:right w:val="nil"/>
            </w:tcBorders>
            <w:shd w:val="clear" w:color="auto" w:fill="auto"/>
            <w:noWrap/>
            <w:hideMark/>
          </w:tcPr>
          <w:p w14:paraId="5251BA80"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-3 649,6</w:t>
            </w:r>
          </w:p>
        </w:tc>
        <w:tc>
          <w:tcPr>
            <w:tcW w:w="580" w:type="dxa"/>
            <w:tcBorders>
              <w:top w:val="nil"/>
              <w:left w:val="nil"/>
              <w:bottom w:val="single" w:sz="4" w:space="0" w:color="auto"/>
              <w:right w:val="nil"/>
            </w:tcBorders>
            <w:shd w:val="clear" w:color="auto" w:fill="auto"/>
            <w:noWrap/>
            <w:hideMark/>
          </w:tcPr>
          <w:p w14:paraId="246C90FA"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-3,0%</w:t>
            </w:r>
          </w:p>
        </w:tc>
        <w:tc>
          <w:tcPr>
            <w:tcW w:w="709" w:type="dxa"/>
            <w:tcBorders>
              <w:top w:val="nil"/>
              <w:left w:val="nil"/>
              <w:bottom w:val="single" w:sz="4" w:space="0" w:color="auto"/>
              <w:right w:val="nil"/>
            </w:tcBorders>
            <w:shd w:val="clear" w:color="auto" w:fill="auto"/>
            <w:noWrap/>
            <w:hideMark/>
          </w:tcPr>
          <w:p w14:paraId="74027D71"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-3 544,3</w:t>
            </w:r>
          </w:p>
        </w:tc>
        <w:tc>
          <w:tcPr>
            <w:tcW w:w="580" w:type="dxa"/>
            <w:tcBorders>
              <w:top w:val="nil"/>
              <w:left w:val="nil"/>
              <w:bottom w:val="single" w:sz="4" w:space="0" w:color="auto"/>
              <w:right w:val="nil"/>
            </w:tcBorders>
            <w:shd w:val="clear" w:color="auto" w:fill="auto"/>
            <w:noWrap/>
            <w:hideMark/>
          </w:tcPr>
          <w:p w14:paraId="1E9341DA" w14:textId="77777777" w:rsidR="00DE12A7" w:rsidRPr="00DE12A7" w:rsidRDefault="00DE12A7" w:rsidP="00DE12A7">
            <w:pPr>
              <w:spacing w:after="0"/>
              <w:jc w:val="right"/>
              <w:rPr>
                <w:rFonts w:eastAsia="Times New Roman" w:cs="Times New Roman"/>
                <w:b/>
                <w:bCs/>
                <w:color w:val="000000"/>
                <w:sz w:val="16"/>
                <w:szCs w:val="16"/>
              </w:rPr>
            </w:pPr>
            <w:r w:rsidRPr="00DE12A7">
              <w:rPr>
                <w:rFonts w:eastAsia="Times New Roman" w:cs="Times New Roman"/>
                <w:b/>
                <w:bCs/>
                <w:color w:val="000000"/>
                <w:sz w:val="16"/>
                <w:szCs w:val="16"/>
              </w:rPr>
              <w:t>-2,8%</w:t>
            </w:r>
          </w:p>
        </w:tc>
        <w:tc>
          <w:tcPr>
            <w:tcW w:w="838" w:type="dxa"/>
            <w:tcBorders>
              <w:top w:val="nil"/>
              <w:left w:val="nil"/>
              <w:bottom w:val="single" w:sz="4" w:space="0" w:color="auto"/>
              <w:right w:val="nil"/>
            </w:tcBorders>
            <w:shd w:val="clear" w:color="auto" w:fill="auto"/>
            <w:noWrap/>
            <w:hideMark/>
          </w:tcPr>
          <w:p w14:paraId="12520DF5" w14:textId="77777777" w:rsidR="00DE12A7" w:rsidRPr="00DE12A7" w:rsidRDefault="00DE12A7" w:rsidP="00DE12A7">
            <w:pPr>
              <w:spacing w:after="0"/>
              <w:jc w:val="right"/>
              <w:rPr>
                <w:rFonts w:eastAsia="Times New Roman" w:cs="Times New Roman"/>
                <w:b/>
                <w:bCs/>
                <w:sz w:val="16"/>
                <w:szCs w:val="16"/>
              </w:rPr>
            </w:pPr>
            <w:r w:rsidRPr="00DE12A7">
              <w:rPr>
                <w:rFonts w:eastAsia="Times New Roman" w:cs="Times New Roman"/>
                <w:b/>
                <w:bCs/>
                <w:sz w:val="16"/>
                <w:szCs w:val="16"/>
              </w:rPr>
              <w:t>-3 261,5</w:t>
            </w:r>
          </w:p>
        </w:tc>
        <w:tc>
          <w:tcPr>
            <w:tcW w:w="553" w:type="dxa"/>
            <w:tcBorders>
              <w:top w:val="nil"/>
              <w:left w:val="nil"/>
              <w:bottom w:val="single" w:sz="4" w:space="0" w:color="auto"/>
              <w:right w:val="nil"/>
            </w:tcBorders>
            <w:shd w:val="clear" w:color="auto" w:fill="auto"/>
            <w:noWrap/>
            <w:hideMark/>
          </w:tcPr>
          <w:p w14:paraId="70EE2799" w14:textId="77777777" w:rsidR="00DE12A7" w:rsidRPr="00DE12A7" w:rsidRDefault="00DE12A7" w:rsidP="00DE12A7">
            <w:pPr>
              <w:spacing w:after="0"/>
              <w:jc w:val="right"/>
              <w:rPr>
                <w:rFonts w:eastAsia="Times New Roman" w:cs="Times New Roman"/>
                <w:b/>
                <w:bCs/>
                <w:sz w:val="16"/>
                <w:szCs w:val="16"/>
              </w:rPr>
            </w:pPr>
            <w:r w:rsidRPr="00DE12A7">
              <w:rPr>
                <w:rFonts w:eastAsia="Times New Roman" w:cs="Times New Roman"/>
                <w:b/>
                <w:bCs/>
                <w:sz w:val="16"/>
                <w:szCs w:val="16"/>
              </w:rPr>
              <w:t>-2,4%</w:t>
            </w:r>
          </w:p>
        </w:tc>
      </w:tr>
    </w:tbl>
    <w:p w14:paraId="61E5F782" w14:textId="77777777" w:rsidR="00E352C3" w:rsidRPr="001B45D1" w:rsidRDefault="00E352C3" w:rsidP="00E352C3">
      <w:pPr>
        <w:jc w:val="right"/>
        <w:rPr>
          <w:rFonts w:eastAsia="Batang" w:cs="Times New Roman"/>
          <w:sz w:val="16"/>
          <w:szCs w:val="16"/>
        </w:rPr>
      </w:pPr>
      <w:r w:rsidRPr="001B45D1">
        <w:rPr>
          <w:rFonts w:eastAsia="Batang" w:cs="Times New Roman"/>
          <w:sz w:val="16"/>
          <w:szCs w:val="16"/>
        </w:rPr>
        <w:t>Източник: МФ</w:t>
      </w:r>
    </w:p>
    <w:p w14:paraId="4E55201A" w14:textId="77777777" w:rsidR="00AC3F05" w:rsidRDefault="00AC3F05" w:rsidP="00825016">
      <w:r>
        <w:t xml:space="preserve">За 2024 г. отчетните данни показват дефицит по КФП в размер на 3,2 млрд. </w:t>
      </w:r>
      <w:r w:rsidR="00D20B98">
        <w:t xml:space="preserve">евро </w:t>
      </w:r>
      <w:r>
        <w:t xml:space="preserve"> или 3,0% от БВП. </w:t>
      </w:r>
    </w:p>
    <w:p w14:paraId="32BD522C" w14:textId="77777777" w:rsidR="00AC3F05" w:rsidRDefault="00AC3F05" w:rsidP="00825016">
      <w:r>
        <w:t>В бюджетната рамка за 202</w:t>
      </w:r>
      <w:r w:rsidRPr="00C352DB">
        <w:t>5</w:t>
      </w:r>
      <w:r>
        <w:t xml:space="preserve"> г. при отразени фискални ефекти от политиките, предопределящи приходите и разходите, бюджетното салдо по КФП беше планирано да </w:t>
      </w:r>
      <w:r>
        <w:lastRenderedPageBreak/>
        <w:t xml:space="preserve">е дефицит от 3,0% от БВП при ниво на разходите от </w:t>
      </w:r>
      <w:r w:rsidRPr="00C352DB">
        <w:t>44</w:t>
      </w:r>
      <w:r>
        <w:t>,</w:t>
      </w:r>
      <w:r w:rsidRPr="00C352DB">
        <w:t>9</w:t>
      </w:r>
      <w:r>
        <w:t xml:space="preserve">% от БВП и съответно ниво на приходите от </w:t>
      </w:r>
      <w:r w:rsidRPr="00C352DB">
        <w:t>41</w:t>
      </w:r>
      <w:r>
        <w:t>,</w:t>
      </w:r>
      <w:r w:rsidRPr="00C352DB">
        <w:t>9</w:t>
      </w:r>
      <w:r>
        <w:t>% от БВП.</w:t>
      </w:r>
    </w:p>
    <w:p w14:paraId="24063BD3" w14:textId="77777777" w:rsidR="00AC3F05" w:rsidRDefault="00AC3F05" w:rsidP="00825016">
      <w:r>
        <w:t>Данните от</w:t>
      </w:r>
      <w:r w:rsidRPr="00C352DB">
        <w:t xml:space="preserve"> </w:t>
      </w:r>
      <w:r>
        <w:t>очакваното изпълнение на КФП за 202</w:t>
      </w:r>
      <w:r w:rsidRPr="00C352DB">
        <w:t>5</w:t>
      </w:r>
      <w:r>
        <w:t xml:space="preserve"> г. показват приходи от 39,</w:t>
      </w:r>
      <w:r w:rsidR="00D44FC3" w:rsidRPr="00697B52">
        <w:t>4</w:t>
      </w:r>
      <w:r>
        <w:t>% от БВП и разходи на ниво от 42,</w:t>
      </w:r>
      <w:r w:rsidR="00D44FC3" w:rsidRPr="00697B52">
        <w:t>4</w:t>
      </w:r>
      <w:r>
        <w:t xml:space="preserve">% от БВП, при което се формира дефицит от 3,0% от БВП. </w:t>
      </w:r>
    </w:p>
    <w:p w14:paraId="1E31DF54" w14:textId="77777777" w:rsidR="00AC3F05" w:rsidRDefault="00AC3F05" w:rsidP="00825016">
      <w:r>
        <w:t>Повече информация за изпълнението на КФП за 2024 и 2025 г. се съдържа в прегледа по приложение № 1.</w:t>
      </w:r>
    </w:p>
    <w:p w14:paraId="7A514C8A" w14:textId="77777777" w:rsidR="00A028F2" w:rsidRPr="00A028F2" w:rsidRDefault="00A028F2" w:rsidP="00A028F2">
      <w:r w:rsidRPr="00A028F2">
        <w:t>Бюджетното салдо по КФП през</w:t>
      </w:r>
      <w:r>
        <w:t xml:space="preserve"> </w:t>
      </w:r>
      <w:r w:rsidRPr="00A028F2">
        <w:t>периода 2026-2028 г. е дефицит от 3,0% от БВП за 2026 г., 2,8% от БВП за 2027 г. и 2,4% от БВП за 2028 г., като запазването му в рамките на ограниченията гарантира осигуряването на разходните политики, обезпечени с приходни мерки.</w:t>
      </w:r>
    </w:p>
    <w:p w14:paraId="1BF23EB9" w14:textId="77777777" w:rsidR="00AC3F05" w:rsidRDefault="00AC3F05" w:rsidP="00825016">
      <w:r>
        <w:t xml:space="preserve">В средносрочен план се очаква устойчив номинален ръст на приходите, вкл. на данъчно-осигурителните, като помощите от чужбина след ръст през 2026 г. намаляват през 2027 г. и отново нарастват през 2028 г., което се дължи на етапите на реализация на програмите, съфинансирани от ЕС, вкл. ПВУ. </w:t>
      </w:r>
    </w:p>
    <w:p w14:paraId="375D0AF6" w14:textId="77777777" w:rsidR="0097226C" w:rsidRPr="0097226C" w:rsidRDefault="0097226C" w:rsidP="0097226C">
      <w:r w:rsidRPr="0097226C">
        <w:t xml:space="preserve">При това ниво на дефицита размерът на приходите, помощите и даренията по КФП е съответно - 50 402,3 млн. евро през 2026 г., 51 546,9 млн. евро през 2027 г., и 54 745,6 млн. евро през 2028 г., като ръстът през 2026 г. спрямо очакваното ниво от 44 499,2 млн. евро през 2025 г. се дължи основно на заложените нови приходни мерки и очаквания ефект от такива, приети през 2025 г., които не се проявиха в пълен обем поради по-късното приемане на Бюджет 2025. </w:t>
      </w:r>
    </w:p>
    <w:p w14:paraId="077A4B59" w14:textId="77777777" w:rsidR="0097226C" w:rsidRPr="0097226C" w:rsidRDefault="0097226C" w:rsidP="0097226C">
      <w:r w:rsidRPr="0097226C">
        <w:t xml:space="preserve">Размерът на общите разходи по КФП по годините от периода е съответно 54 051,9 млн. евро през 2026 г., 55 091,2 млн. евро през 2027 г. и 58 007,1 млн. евро през 2028 г. </w:t>
      </w:r>
    </w:p>
    <w:p w14:paraId="79A94FD9" w14:textId="77777777" w:rsidR="0097226C" w:rsidRDefault="0097226C" w:rsidP="00825016">
      <w:r w:rsidRPr="0097226C">
        <w:t>По националното правило по чл. 28, ал. 1 от Закона за публичните финанси разходите са в размер на 40,1% от БВП</w:t>
      </w:r>
      <w:r w:rsidR="00914606" w:rsidRPr="00914606">
        <w:t xml:space="preserve"> </w:t>
      </w:r>
      <w:r w:rsidR="00914606" w:rsidRPr="0097226C">
        <w:t>за 2026 г.</w:t>
      </w:r>
      <w:r w:rsidRPr="0097226C">
        <w:t xml:space="preserve">, 39,9% от БВП </w:t>
      </w:r>
      <w:r w:rsidR="00914606" w:rsidRPr="0097226C">
        <w:t xml:space="preserve">за 2027 г. </w:t>
      </w:r>
      <w:r w:rsidRPr="0097226C">
        <w:t>и 40,0% от БВП</w:t>
      </w:r>
      <w:r w:rsidR="00914606" w:rsidRPr="00914606">
        <w:t xml:space="preserve"> </w:t>
      </w:r>
      <w:r w:rsidR="00914606" w:rsidRPr="0097226C">
        <w:t>за 2028 г.</w:t>
      </w:r>
      <w:r w:rsidRPr="0097226C">
        <w:t xml:space="preserve"> Следва да се отбележи, че при прилагане на активираната клауза за дерогация по отношение на увеличените разходи за отбрана е налице ефект, който води до спадане на тези разходи под 40 на сто.</w:t>
      </w:r>
    </w:p>
    <w:p w14:paraId="6F6932B6" w14:textId="77777777" w:rsidR="007E4B3A" w:rsidRDefault="00083361" w:rsidP="000B315F">
      <w:pPr>
        <w:pStyle w:val="Heading2"/>
        <w:numPr>
          <w:ilvl w:val="1"/>
          <w:numId w:val="3"/>
        </w:numPr>
        <w:ind w:hanging="270"/>
      </w:pPr>
      <w:bookmarkStart w:id="183" w:name="_Toc216029349"/>
      <w:bookmarkStart w:id="184" w:name="_Toc464224779"/>
      <w:bookmarkStart w:id="185" w:name="_Toc464225429"/>
      <w:bookmarkStart w:id="186" w:name="_Toc464458976"/>
      <w:bookmarkStart w:id="187" w:name="_Toc464459722"/>
      <w:bookmarkStart w:id="188" w:name="_Toc464460677"/>
      <w:bookmarkStart w:id="189" w:name="_Toc464463076"/>
      <w:bookmarkStart w:id="190" w:name="_Toc464464903"/>
      <w:bookmarkStart w:id="191" w:name="_Toc464465409"/>
      <w:bookmarkStart w:id="192" w:name="_Toc464465597"/>
      <w:bookmarkStart w:id="193" w:name="_Toc464466422"/>
      <w:bookmarkStart w:id="194" w:name="_Toc464466666"/>
      <w:bookmarkStart w:id="195" w:name="_Toc464644975"/>
      <w:bookmarkStart w:id="196" w:name="_Toc465205507"/>
      <w:r w:rsidRPr="00006A45">
        <w:t>О</w:t>
      </w:r>
      <w:r w:rsidR="007E4B3A">
        <w:t>сновни фи</w:t>
      </w:r>
      <w:r w:rsidR="00F524F3">
        <w:t>скални параметри за периода 2026</w:t>
      </w:r>
      <w:r w:rsidR="007E4B3A">
        <w:t>-2028 г.</w:t>
      </w:r>
      <w:bookmarkEnd w:id="183"/>
    </w:p>
    <w:p w14:paraId="31CB6C20" w14:textId="77777777" w:rsidR="00AC3F05" w:rsidRDefault="00B46A06" w:rsidP="00825016">
      <w:pPr>
        <w:rPr>
          <w:rFonts w:eastAsia="Times New Roman" w:cs="Times New Roman"/>
        </w:rPr>
      </w:pPr>
      <w:bookmarkStart w:id="197" w:name="_Toc464644976"/>
      <w:bookmarkStart w:id="198" w:name="_Toc464646359"/>
      <w:bookmarkStart w:id="199" w:name="_Toc464737637"/>
      <w:bookmarkEnd w:id="184"/>
      <w:bookmarkEnd w:id="185"/>
      <w:bookmarkEnd w:id="186"/>
      <w:bookmarkEnd w:id="187"/>
      <w:bookmarkEnd w:id="188"/>
      <w:bookmarkEnd w:id="189"/>
      <w:bookmarkEnd w:id="190"/>
      <w:bookmarkEnd w:id="191"/>
      <w:bookmarkEnd w:id="192"/>
      <w:bookmarkEnd w:id="193"/>
      <w:bookmarkEnd w:id="194"/>
      <w:bookmarkEnd w:id="195"/>
      <w:bookmarkEnd w:id="196"/>
      <w:r w:rsidRPr="004E057A">
        <w:rPr>
          <w:rFonts w:eastAsia="Times New Roman" w:cs="Times New Roman"/>
        </w:rPr>
        <w:t>Разчетите в АСБП за периода 202</w:t>
      </w:r>
      <w:r w:rsidR="004E057A" w:rsidRPr="004E057A">
        <w:rPr>
          <w:rFonts w:eastAsia="Times New Roman" w:cs="Times New Roman"/>
        </w:rPr>
        <w:t>6</w:t>
      </w:r>
      <w:r w:rsidRPr="004E057A">
        <w:rPr>
          <w:rFonts w:eastAsia="Times New Roman" w:cs="Times New Roman"/>
        </w:rPr>
        <w:t>-202</w:t>
      </w:r>
      <w:r w:rsidR="00E82F76" w:rsidRPr="004E057A">
        <w:rPr>
          <w:rFonts w:eastAsia="Times New Roman" w:cs="Times New Roman"/>
        </w:rPr>
        <w:t>8</w:t>
      </w:r>
      <w:r w:rsidRPr="004E057A">
        <w:rPr>
          <w:rFonts w:eastAsia="Times New Roman" w:cs="Times New Roman"/>
        </w:rPr>
        <w:t xml:space="preserve"> г. отразяват тенденциите в </w:t>
      </w:r>
      <w:r w:rsidR="00BB0DDF" w:rsidRPr="004E057A">
        <w:rPr>
          <w:rFonts w:eastAsia="Times New Roman" w:cs="Times New Roman"/>
        </w:rPr>
        <w:t xml:space="preserve">актуалната </w:t>
      </w:r>
      <w:r w:rsidRPr="004E057A">
        <w:rPr>
          <w:rFonts w:eastAsia="Times New Roman" w:cs="Times New Roman"/>
        </w:rPr>
        <w:t xml:space="preserve">макроикономическа прогноза за развитието на националната икономика и оценките за ефекта </w:t>
      </w:r>
      <w:r w:rsidR="006266B0" w:rsidRPr="004E057A">
        <w:rPr>
          <w:rFonts w:eastAsia="Times New Roman" w:cs="Times New Roman"/>
        </w:rPr>
        <w:t>върху основните показатели на КФП</w:t>
      </w:r>
      <w:r w:rsidR="00C76FAC" w:rsidRPr="004E057A">
        <w:rPr>
          <w:rFonts w:eastAsia="Times New Roman" w:cs="Times New Roman"/>
        </w:rPr>
        <w:t>.</w:t>
      </w:r>
      <w:r w:rsidR="006266B0" w:rsidRPr="002F4780">
        <w:rPr>
          <w:rFonts w:eastAsia="Times New Roman" w:cs="Times New Roman"/>
        </w:rPr>
        <w:t xml:space="preserve"> </w:t>
      </w:r>
    </w:p>
    <w:p w14:paraId="63FFD2C7" w14:textId="77777777" w:rsidR="00C835A1" w:rsidRDefault="00566333" w:rsidP="00231896">
      <w:pPr>
        <w:pStyle w:val="Caption"/>
        <w:spacing w:before="240"/>
        <w:ind w:left="0" w:firstLine="0"/>
        <w:rPr>
          <w:color w:val="000000"/>
        </w:rPr>
      </w:pPr>
      <w:bookmarkStart w:id="200" w:name="_Toc213229054"/>
      <w:r w:rsidRPr="00006A45">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Табл. \* ARABIC \s 1 </w:instrText>
      </w:r>
      <w:r w:rsidR="00974F02">
        <w:fldChar w:fldCharType="separate"/>
      </w:r>
      <w:r w:rsidR="00841DFA">
        <w:rPr>
          <w:noProof/>
        </w:rPr>
        <w:t>2</w:t>
      </w:r>
      <w:r w:rsidR="00974F02">
        <w:rPr>
          <w:noProof/>
        </w:rPr>
        <w:fldChar w:fldCharType="end"/>
      </w:r>
      <w:r w:rsidRPr="00006A45">
        <w:t>:</w:t>
      </w:r>
      <w:r w:rsidRPr="00006A45">
        <w:tab/>
      </w:r>
      <w:r w:rsidR="007A5358" w:rsidRPr="00231896">
        <w:rPr>
          <w:color w:val="000000"/>
        </w:rPr>
        <w:t>Основни показатели по КФП (202</w:t>
      </w:r>
      <w:r w:rsidR="00231896" w:rsidRPr="00231896">
        <w:rPr>
          <w:color w:val="000000"/>
        </w:rPr>
        <w:t>6</w:t>
      </w:r>
      <w:r w:rsidRPr="00231896">
        <w:rPr>
          <w:color w:val="000000"/>
        </w:rPr>
        <w:t>-20</w:t>
      </w:r>
      <w:r w:rsidR="00C2601C" w:rsidRPr="00231896">
        <w:rPr>
          <w:color w:val="000000"/>
        </w:rPr>
        <w:t>2</w:t>
      </w:r>
      <w:r w:rsidR="00891FE0" w:rsidRPr="00231896">
        <w:rPr>
          <w:color w:val="000000"/>
        </w:rPr>
        <w:t>8</w:t>
      </w:r>
      <w:r w:rsidR="006140A3" w:rsidRPr="00231896">
        <w:rPr>
          <w:color w:val="000000"/>
        </w:rPr>
        <w:t xml:space="preserve"> </w:t>
      </w:r>
      <w:r w:rsidRPr="00231896">
        <w:rPr>
          <w:color w:val="000000"/>
        </w:rPr>
        <w:t>г.)</w:t>
      </w:r>
      <w:bookmarkEnd w:id="200"/>
    </w:p>
    <w:tbl>
      <w:tblPr>
        <w:tblW w:w="8868" w:type="dxa"/>
        <w:tblCellMar>
          <w:left w:w="70" w:type="dxa"/>
          <w:right w:w="70" w:type="dxa"/>
        </w:tblCellMar>
        <w:tblLook w:val="04A0" w:firstRow="1" w:lastRow="0" w:firstColumn="1" w:lastColumn="0" w:noHBand="0" w:noVBand="1"/>
      </w:tblPr>
      <w:tblGrid>
        <w:gridCol w:w="3642"/>
        <w:gridCol w:w="1075"/>
        <w:gridCol w:w="1076"/>
        <w:gridCol w:w="1027"/>
        <w:gridCol w:w="1021"/>
        <w:gridCol w:w="1027"/>
      </w:tblGrid>
      <w:tr w:rsidR="002622F8" w:rsidRPr="002622F8" w14:paraId="5701003D" w14:textId="77777777" w:rsidTr="00580843">
        <w:trPr>
          <w:trHeight w:val="517"/>
          <w:tblHeader/>
        </w:trPr>
        <w:tc>
          <w:tcPr>
            <w:tcW w:w="3642" w:type="dxa"/>
            <w:vMerge w:val="restart"/>
            <w:tcBorders>
              <w:top w:val="single" w:sz="4" w:space="0" w:color="595959"/>
              <w:left w:val="nil"/>
              <w:bottom w:val="single" w:sz="4" w:space="0" w:color="000000"/>
              <w:right w:val="nil"/>
            </w:tcBorders>
            <w:shd w:val="clear" w:color="auto" w:fill="auto"/>
            <w:vAlign w:val="center"/>
            <w:hideMark/>
          </w:tcPr>
          <w:p w14:paraId="6845FD3F" w14:textId="77777777" w:rsidR="002622F8" w:rsidRPr="002622F8" w:rsidRDefault="002622F8" w:rsidP="002622F8">
            <w:pPr>
              <w:spacing w:after="0"/>
              <w:jc w:val="center"/>
              <w:rPr>
                <w:rFonts w:eastAsia="Times New Roman" w:cs="Times New Roman"/>
                <w:b/>
                <w:bCs/>
                <w:sz w:val="20"/>
                <w:szCs w:val="20"/>
              </w:rPr>
            </w:pPr>
            <w:r w:rsidRPr="002622F8">
              <w:rPr>
                <w:rFonts w:eastAsia="Times New Roman" w:cs="Times New Roman"/>
                <w:b/>
                <w:bCs/>
                <w:sz w:val="20"/>
                <w:szCs w:val="20"/>
              </w:rPr>
              <w:t>КФП</w:t>
            </w:r>
            <w:r w:rsidRPr="002622F8">
              <w:rPr>
                <w:rFonts w:eastAsia="Times New Roman" w:cs="Times New Roman"/>
                <w:b/>
                <w:bCs/>
                <w:sz w:val="20"/>
                <w:szCs w:val="20"/>
              </w:rPr>
              <w:br/>
              <w:t>млн. евро</w:t>
            </w:r>
          </w:p>
        </w:tc>
        <w:tc>
          <w:tcPr>
            <w:tcW w:w="1075" w:type="dxa"/>
            <w:vMerge w:val="restart"/>
            <w:tcBorders>
              <w:top w:val="single" w:sz="4" w:space="0" w:color="595959"/>
              <w:left w:val="nil"/>
              <w:bottom w:val="single" w:sz="4" w:space="0" w:color="000000"/>
              <w:right w:val="nil"/>
            </w:tcBorders>
            <w:shd w:val="clear" w:color="auto" w:fill="auto"/>
            <w:hideMark/>
          </w:tcPr>
          <w:p w14:paraId="60115BBC" w14:textId="77777777" w:rsidR="002622F8" w:rsidRPr="002622F8" w:rsidRDefault="002622F8" w:rsidP="002622F8">
            <w:pPr>
              <w:spacing w:after="0"/>
              <w:jc w:val="center"/>
              <w:rPr>
                <w:rFonts w:eastAsia="Times New Roman" w:cs="Times New Roman"/>
                <w:b/>
                <w:bCs/>
                <w:sz w:val="20"/>
                <w:szCs w:val="20"/>
              </w:rPr>
            </w:pPr>
            <w:r w:rsidRPr="002622F8">
              <w:rPr>
                <w:rFonts w:eastAsia="Times New Roman" w:cs="Times New Roman"/>
                <w:b/>
                <w:bCs/>
                <w:sz w:val="20"/>
                <w:szCs w:val="20"/>
              </w:rPr>
              <w:t>2025</w:t>
            </w:r>
            <w:r w:rsidRPr="002622F8">
              <w:rPr>
                <w:rFonts w:eastAsia="Times New Roman" w:cs="Times New Roman"/>
                <w:b/>
                <w:bCs/>
                <w:sz w:val="20"/>
                <w:szCs w:val="20"/>
              </w:rPr>
              <w:br/>
              <w:t>Програма</w:t>
            </w:r>
          </w:p>
        </w:tc>
        <w:tc>
          <w:tcPr>
            <w:tcW w:w="1076" w:type="dxa"/>
            <w:vMerge w:val="restart"/>
            <w:tcBorders>
              <w:top w:val="single" w:sz="4" w:space="0" w:color="595959"/>
              <w:left w:val="nil"/>
              <w:bottom w:val="single" w:sz="4" w:space="0" w:color="000000"/>
              <w:right w:val="nil"/>
            </w:tcBorders>
            <w:shd w:val="clear" w:color="auto" w:fill="auto"/>
            <w:hideMark/>
          </w:tcPr>
          <w:p w14:paraId="14F9332F" w14:textId="77777777" w:rsidR="002622F8" w:rsidRPr="002622F8" w:rsidRDefault="002622F8" w:rsidP="002622F8">
            <w:pPr>
              <w:spacing w:after="0"/>
              <w:jc w:val="center"/>
              <w:rPr>
                <w:rFonts w:eastAsia="Times New Roman" w:cs="Times New Roman"/>
                <w:b/>
                <w:bCs/>
                <w:sz w:val="20"/>
                <w:szCs w:val="20"/>
              </w:rPr>
            </w:pPr>
            <w:r w:rsidRPr="002622F8">
              <w:rPr>
                <w:rFonts w:eastAsia="Times New Roman" w:cs="Times New Roman"/>
                <w:b/>
                <w:bCs/>
                <w:sz w:val="20"/>
                <w:szCs w:val="20"/>
              </w:rPr>
              <w:t>2025</w:t>
            </w:r>
            <w:r w:rsidRPr="002622F8">
              <w:rPr>
                <w:rFonts w:eastAsia="Times New Roman" w:cs="Times New Roman"/>
                <w:b/>
                <w:bCs/>
                <w:sz w:val="20"/>
                <w:szCs w:val="20"/>
              </w:rPr>
              <w:br/>
              <w:t>Очаквано</w:t>
            </w:r>
          </w:p>
        </w:tc>
        <w:tc>
          <w:tcPr>
            <w:tcW w:w="1027" w:type="dxa"/>
            <w:vMerge w:val="restart"/>
            <w:tcBorders>
              <w:top w:val="single" w:sz="4" w:space="0" w:color="595959"/>
              <w:left w:val="nil"/>
              <w:bottom w:val="single" w:sz="4" w:space="0" w:color="000000"/>
              <w:right w:val="nil"/>
            </w:tcBorders>
            <w:shd w:val="clear" w:color="auto" w:fill="auto"/>
            <w:hideMark/>
          </w:tcPr>
          <w:p w14:paraId="372D5D87" w14:textId="77777777" w:rsidR="002622F8" w:rsidRPr="002622F8" w:rsidRDefault="002622F8" w:rsidP="002622F8">
            <w:pPr>
              <w:spacing w:after="0"/>
              <w:jc w:val="center"/>
              <w:rPr>
                <w:rFonts w:eastAsia="Times New Roman" w:cs="Times New Roman"/>
                <w:b/>
                <w:bCs/>
                <w:sz w:val="20"/>
                <w:szCs w:val="20"/>
              </w:rPr>
            </w:pPr>
            <w:r w:rsidRPr="002622F8">
              <w:rPr>
                <w:rFonts w:eastAsia="Times New Roman" w:cs="Times New Roman"/>
                <w:b/>
                <w:bCs/>
                <w:sz w:val="20"/>
                <w:szCs w:val="20"/>
              </w:rPr>
              <w:t>2026</w:t>
            </w:r>
            <w:r w:rsidRPr="002622F8">
              <w:rPr>
                <w:rFonts w:eastAsia="Times New Roman" w:cs="Times New Roman"/>
                <w:b/>
                <w:bCs/>
                <w:sz w:val="20"/>
                <w:szCs w:val="20"/>
              </w:rPr>
              <w:br/>
              <w:t>Проект</w:t>
            </w:r>
          </w:p>
        </w:tc>
        <w:tc>
          <w:tcPr>
            <w:tcW w:w="1021" w:type="dxa"/>
            <w:vMerge w:val="restart"/>
            <w:tcBorders>
              <w:top w:val="single" w:sz="4" w:space="0" w:color="595959"/>
              <w:left w:val="nil"/>
              <w:bottom w:val="single" w:sz="4" w:space="0" w:color="000000"/>
              <w:right w:val="nil"/>
            </w:tcBorders>
            <w:shd w:val="clear" w:color="auto" w:fill="auto"/>
            <w:hideMark/>
          </w:tcPr>
          <w:p w14:paraId="6269DA82" w14:textId="77777777" w:rsidR="002622F8" w:rsidRPr="002622F8" w:rsidRDefault="002622F8" w:rsidP="002622F8">
            <w:pPr>
              <w:spacing w:after="0"/>
              <w:jc w:val="center"/>
              <w:rPr>
                <w:rFonts w:eastAsia="Times New Roman" w:cs="Times New Roman"/>
                <w:b/>
                <w:bCs/>
                <w:sz w:val="20"/>
                <w:szCs w:val="20"/>
              </w:rPr>
            </w:pPr>
            <w:r w:rsidRPr="002622F8">
              <w:rPr>
                <w:rFonts w:eastAsia="Times New Roman" w:cs="Times New Roman"/>
                <w:b/>
                <w:bCs/>
                <w:sz w:val="20"/>
                <w:szCs w:val="20"/>
              </w:rPr>
              <w:t>2027</w:t>
            </w:r>
            <w:r w:rsidRPr="002622F8">
              <w:rPr>
                <w:rFonts w:eastAsia="Times New Roman" w:cs="Times New Roman"/>
                <w:b/>
                <w:bCs/>
                <w:sz w:val="20"/>
                <w:szCs w:val="20"/>
              </w:rPr>
              <w:br/>
              <w:t>Прогноза</w:t>
            </w:r>
          </w:p>
        </w:tc>
        <w:tc>
          <w:tcPr>
            <w:tcW w:w="1027" w:type="dxa"/>
            <w:vMerge w:val="restart"/>
            <w:tcBorders>
              <w:top w:val="single" w:sz="4" w:space="0" w:color="595959"/>
              <w:left w:val="nil"/>
              <w:bottom w:val="single" w:sz="4" w:space="0" w:color="000000"/>
              <w:right w:val="nil"/>
            </w:tcBorders>
            <w:shd w:val="clear" w:color="auto" w:fill="auto"/>
            <w:hideMark/>
          </w:tcPr>
          <w:p w14:paraId="11F09E99" w14:textId="77777777" w:rsidR="002622F8" w:rsidRPr="002622F8" w:rsidRDefault="002622F8" w:rsidP="002622F8">
            <w:pPr>
              <w:spacing w:after="0"/>
              <w:jc w:val="center"/>
              <w:rPr>
                <w:rFonts w:eastAsia="Times New Roman" w:cs="Times New Roman"/>
                <w:b/>
                <w:bCs/>
                <w:sz w:val="20"/>
                <w:szCs w:val="20"/>
              </w:rPr>
            </w:pPr>
            <w:r w:rsidRPr="002622F8">
              <w:rPr>
                <w:rFonts w:eastAsia="Times New Roman" w:cs="Times New Roman"/>
                <w:b/>
                <w:bCs/>
                <w:sz w:val="20"/>
                <w:szCs w:val="20"/>
              </w:rPr>
              <w:t>2028</w:t>
            </w:r>
            <w:r w:rsidRPr="002622F8">
              <w:rPr>
                <w:rFonts w:eastAsia="Times New Roman" w:cs="Times New Roman"/>
                <w:b/>
                <w:bCs/>
                <w:sz w:val="20"/>
                <w:szCs w:val="20"/>
              </w:rPr>
              <w:br/>
              <w:t>Прогноза</w:t>
            </w:r>
          </w:p>
        </w:tc>
      </w:tr>
      <w:tr w:rsidR="002622F8" w:rsidRPr="002622F8" w14:paraId="0E20EAA3" w14:textId="77777777" w:rsidTr="00580843">
        <w:trPr>
          <w:trHeight w:val="521"/>
        </w:trPr>
        <w:tc>
          <w:tcPr>
            <w:tcW w:w="3642" w:type="dxa"/>
            <w:vMerge/>
            <w:tcBorders>
              <w:top w:val="single" w:sz="4" w:space="0" w:color="595959"/>
              <w:left w:val="nil"/>
              <w:bottom w:val="single" w:sz="4" w:space="0" w:color="000000"/>
              <w:right w:val="nil"/>
            </w:tcBorders>
            <w:vAlign w:val="center"/>
            <w:hideMark/>
          </w:tcPr>
          <w:p w14:paraId="5C7307E3" w14:textId="77777777" w:rsidR="002622F8" w:rsidRPr="002622F8" w:rsidRDefault="002622F8" w:rsidP="002622F8">
            <w:pPr>
              <w:spacing w:after="0"/>
              <w:jc w:val="left"/>
              <w:rPr>
                <w:rFonts w:eastAsia="Times New Roman" w:cs="Times New Roman"/>
                <w:b/>
                <w:bCs/>
                <w:sz w:val="20"/>
                <w:szCs w:val="20"/>
              </w:rPr>
            </w:pPr>
          </w:p>
        </w:tc>
        <w:tc>
          <w:tcPr>
            <w:tcW w:w="1075" w:type="dxa"/>
            <w:vMerge/>
            <w:tcBorders>
              <w:top w:val="single" w:sz="4" w:space="0" w:color="595959"/>
              <w:left w:val="nil"/>
              <w:bottom w:val="single" w:sz="4" w:space="0" w:color="000000"/>
              <w:right w:val="nil"/>
            </w:tcBorders>
            <w:vAlign w:val="center"/>
            <w:hideMark/>
          </w:tcPr>
          <w:p w14:paraId="4402869A" w14:textId="77777777" w:rsidR="002622F8" w:rsidRPr="002622F8" w:rsidRDefault="002622F8" w:rsidP="002622F8">
            <w:pPr>
              <w:spacing w:after="0"/>
              <w:jc w:val="left"/>
              <w:rPr>
                <w:rFonts w:eastAsia="Times New Roman" w:cs="Times New Roman"/>
                <w:b/>
                <w:bCs/>
                <w:sz w:val="20"/>
                <w:szCs w:val="20"/>
              </w:rPr>
            </w:pPr>
          </w:p>
        </w:tc>
        <w:tc>
          <w:tcPr>
            <w:tcW w:w="1076" w:type="dxa"/>
            <w:vMerge/>
            <w:tcBorders>
              <w:top w:val="single" w:sz="4" w:space="0" w:color="595959"/>
              <w:left w:val="nil"/>
              <w:bottom w:val="single" w:sz="4" w:space="0" w:color="000000"/>
              <w:right w:val="nil"/>
            </w:tcBorders>
            <w:vAlign w:val="center"/>
            <w:hideMark/>
          </w:tcPr>
          <w:p w14:paraId="2FF29471" w14:textId="77777777" w:rsidR="002622F8" w:rsidRPr="002622F8" w:rsidRDefault="002622F8" w:rsidP="002622F8">
            <w:pPr>
              <w:spacing w:after="0"/>
              <w:jc w:val="left"/>
              <w:rPr>
                <w:rFonts w:eastAsia="Times New Roman" w:cs="Times New Roman"/>
                <w:b/>
                <w:bCs/>
                <w:sz w:val="20"/>
                <w:szCs w:val="20"/>
              </w:rPr>
            </w:pPr>
          </w:p>
        </w:tc>
        <w:tc>
          <w:tcPr>
            <w:tcW w:w="1027" w:type="dxa"/>
            <w:vMerge/>
            <w:tcBorders>
              <w:top w:val="single" w:sz="4" w:space="0" w:color="595959"/>
              <w:left w:val="nil"/>
              <w:bottom w:val="single" w:sz="4" w:space="0" w:color="000000"/>
              <w:right w:val="nil"/>
            </w:tcBorders>
            <w:vAlign w:val="center"/>
            <w:hideMark/>
          </w:tcPr>
          <w:p w14:paraId="08358C5E" w14:textId="77777777" w:rsidR="002622F8" w:rsidRPr="002622F8" w:rsidRDefault="002622F8" w:rsidP="002622F8">
            <w:pPr>
              <w:spacing w:after="0"/>
              <w:jc w:val="left"/>
              <w:rPr>
                <w:rFonts w:eastAsia="Times New Roman" w:cs="Times New Roman"/>
                <w:b/>
                <w:bCs/>
                <w:sz w:val="20"/>
                <w:szCs w:val="20"/>
              </w:rPr>
            </w:pPr>
          </w:p>
        </w:tc>
        <w:tc>
          <w:tcPr>
            <w:tcW w:w="1021" w:type="dxa"/>
            <w:vMerge/>
            <w:tcBorders>
              <w:top w:val="single" w:sz="4" w:space="0" w:color="595959"/>
              <w:left w:val="nil"/>
              <w:bottom w:val="single" w:sz="4" w:space="0" w:color="000000"/>
              <w:right w:val="nil"/>
            </w:tcBorders>
            <w:vAlign w:val="center"/>
            <w:hideMark/>
          </w:tcPr>
          <w:p w14:paraId="0956B969" w14:textId="77777777" w:rsidR="002622F8" w:rsidRPr="002622F8" w:rsidRDefault="002622F8" w:rsidP="002622F8">
            <w:pPr>
              <w:spacing w:after="0"/>
              <w:jc w:val="left"/>
              <w:rPr>
                <w:rFonts w:eastAsia="Times New Roman" w:cs="Times New Roman"/>
                <w:b/>
                <w:bCs/>
                <w:sz w:val="20"/>
                <w:szCs w:val="20"/>
              </w:rPr>
            </w:pPr>
          </w:p>
        </w:tc>
        <w:tc>
          <w:tcPr>
            <w:tcW w:w="1027" w:type="dxa"/>
            <w:vMerge/>
            <w:tcBorders>
              <w:top w:val="single" w:sz="4" w:space="0" w:color="595959"/>
              <w:left w:val="nil"/>
              <w:bottom w:val="single" w:sz="4" w:space="0" w:color="000000"/>
              <w:right w:val="nil"/>
            </w:tcBorders>
            <w:vAlign w:val="center"/>
            <w:hideMark/>
          </w:tcPr>
          <w:p w14:paraId="5F139AA7" w14:textId="77777777" w:rsidR="002622F8" w:rsidRPr="002622F8" w:rsidRDefault="002622F8" w:rsidP="002622F8">
            <w:pPr>
              <w:spacing w:after="0"/>
              <w:jc w:val="left"/>
              <w:rPr>
                <w:rFonts w:eastAsia="Times New Roman" w:cs="Times New Roman"/>
                <w:b/>
                <w:bCs/>
                <w:sz w:val="20"/>
                <w:szCs w:val="20"/>
              </w:rPr>
            </w:pPr>
          </w:p>
        </w:tc>
      </w:tr>
      <w:tr w:rsidR="002622F8" w:rsidRPr="002622F8" w14:paraId="290F98E3" w14:textId="77777777" w:rsidTr="00580843">
        <w:trPr>
          <w:trHeight w:val="521"/>
        </w:trPr>
        <w:tc>
          <w:tcPr>
            <w:tcW w:w="3642" w:type="dxa"/>
            <w:vMerge/>
            <w:tcBorders>
              <w:top w:val="single" w:sz="4" w:space="0" w:color="595959"/>
              <w:left w:val="nil"/>
              <w:bottom w:val="single" w:sz="4" w:space="0" w:color="000000"/>
              <w:right w:val="nil"/>
            </w:tcBorders>
            <w:vAlign w:val="center"/>
            <w:hideMark/>
          </w:tcPr>
          <w:p w14:paraId="1FD62D42" w14:textId="77777777" w:rsidR="002622F8" w:rsidRPr="002622F8" w:rsidRDefault="002622F8" w:rsidP="002622F8">
            <w:pPr>
              <w:spacing w:after="0"/>
              <w:jc w:val="left"/>
              <w:rPr>
                <w:rFonts w:eastAsia="Times New Roman" w:cs="Times New Roman"/>
                <w:b/>
                <w:bCs/>
                <w:sz w:val="20"/>
                <w:szCs w:val="20"/>
              </w:rPr>
            </w:pPr>
          </w:p>
        </w:tc>
        <w:tc>
          <w:tcPr>
            <w:tcW w:w="1075" w:type="dxa"/>
            <w:vMerge/>
            <w:tcBorders>
              <w:top w:val="single" w:sz="4" w:space="0" w:color="595959"/>
              <w:left w:val="nil"/>
              <w:bottom w:val="single" w:sz="4" w:space="0" w:color="000000"/>
              <w:right w:val="nil"/>
            </w:tcBorders>
            <w:vAlign w:val="center"/>
            <w:hideMark/>
          </w:tcPr>
          <w:p w14:paraId="7692FFBC" w14:textId="77777777" w:rsidR="002622F8" w:rsidRPr="002622F8" w:rsidRDefault="002622F8" w:rsidP="002622F8">
            <w:pPr>
              <w:spacing w:after="0"/>
              <w:jc w:val="left"/>
              <w:rPr>
                <w:rFonts w:eastAsia="Times New Roman" w:cs="Times New Roman"/>
                <w:b/>
                <w:bCs/>
                <w:sz w:val="20"/>
                <w:szCs w:val="20"/>
              </w:rPr>
            </w:pPr>
          </w:p>
        </w:tc>
        <w:tc>
          <w:tcPr>
            <w:tcW w:w="1076" w:type="dxa"/>
            <w:vMerge/>
            <w:tcBorders>
              <w:top w:val="single" w:sz="4" w:space="0" w:color="595959"/>
              <w:left w:val="nil"/>
              <w:bottom w:val="single" w:sz="4" w:space="0" w:color="000000"/>
              <w:right w:val="nil"/>
            </w:tcBorders>
            <w:vAlign w:val="center"/>
            <w:hideMark/>
          </w:tcPr>
          <w:p w14:paraId="0069C96F" w14:textId="77777777" w:rsidR="002622F8" w:rsidRPr="002622F8" w:rsidRDefault="002622F8" w:rsidP="002622F8">
            <w:pPr>
              <w:spacing w:after="0"/>
              <w:jc w:val="left"/>
              <w:rPr>
                <w:rFonts w:eastAsia="Times New Roman" w:cs="Times New Roman"/>
                <w:b/>
                <w:bCs/>
                <w:sz w:val="20"/>
                <w:szCs w:val="20"/>
              </w:rPr>
            </w:pPr>
          </w:p>
        </w:tc>
        <w:tc>
          <w:tcPr>
            <w:tcW w:w="1027" w:type="dxa"/>
            <w:vMerge/>
            <w:tcBorders>
              <w:top w:val="single" w:sz="4" w:space="0" w:color="595959"/>
              <w:left w:val="nil"/>
              <w:bottom w:val="single" w:sz="4" w:space="0" w:color="000000"/>
              <w:right w:val="nil"/>
            </w:tcBorders>
            <w:vAlign w:val="center"/>
            <w:hideMark/>
          </w:tcPr>
          <w:p w14:paraId="75615DCB" w14:textId="77777777" w:rsidR="002622F8" w:rsidRPr="002622F8" w:rsidRDefault="002622F8" w:rsidP="002622F8">
            <w:pPr>
              <w:spacing w:after="0"/>
              <w:jc w:val="left"/>
              <w:rPr>
                <w:rFonts w:eastAsia="Times New Roman" w:cs="Times New Roman"/>
                <w:b/>
                <w:bCs/>
                <w:sz w:val="20"/>
                <w:szCs w:val="20"/>
              </w:rPr>
            </w:pPr>
          </w:p>
        </w:tc>
        <w:tc>
          <w:tcPr>
            <w:tcW w:w="1021" w:type="dxa"/>
            <w:vMerge/>
            <w:tcBorders>
              <w:top w:val="single" w:sz="4" w:space="0" w:color="595959"/>
              <w:left w:val="nil"/>
              <w:bottom w:val="single" w:sz="4" w:space="0" w:color="000000"/>
              <w:right w:val="nil"/>
            </w:tcBorders>
            <w:vAlign w:val="center"/>
            <w:hideMark/>
          </w:tcPr>
          <w:p w14:paraId="335836F9" w14:textId="77777777" w:rsidR="002622F8" w:rsidRPr="002622F8" w:rsidRDefault="002622F8" w:rsidP="002622F8">
            <w:pPr>
              <w:spacing w:after="0"/>
              <w:jc w:val="left"/>
              <w:rPr>
                <w:rFonts w:eastAsia="Times New Roman" w:cs="Times New Roman"/>
                <w:b/>
                <w:bCs/>
                <w:sz w:val="20"/>
                <w:szCs w:val="20"/>
              </w:rPr>
            </w:pPr>
          </w:p>
        </w:tc>
        <w:tc>
          <w:tcPr>
            <w:tcW w:w="1027" w:type="dxa"/>
            <w:vMerge/>
            <w:tcBorders>
              <w:top w:val="single" w:sz="4" w:space="0" w:color="595959"/>
              <w:left w:val="nil"/>
              <w:bottom w:val="single" w:sz="4" w:space="0" w:color="000000"/>
              <w:right w:val="nil"/>
            </w:tcBorders>
            <w:vAlign w:val="center"/>
            <w:hideMark/>
          </w:tcPr>
          <w:p w14:paraId="5A41CAD8" w14:textId="77777777" w:rsidR="002622F8" w:rsidRPr="002622F8" w:rsidRDefault="002622F8" w:rsidP="002622F8">
            <w:pPr>
              <w:spacing w:after="0"/>
              <w:jc w:val="left"/>
              <w:rPr>
                <w:rFonts w:eastAsia="Times New Roman" w:cs="Times New Roman"/>
                <w:b/>
                <w:bCs/>
                <w:sz w:val="20"/>
                <w:szCs w:val="20"/>
              </w:rPr>
            </w:pPr>
          </w:p>
        </w:tc>
      </w:tr>
      <w:tr w:rsidR="002622F8" w:rsidRPr="002622F8" w14:paraId="452C6159" w14:textId="77777777" w:rsidTr="00580843">
        <w:trPr>
          <w:trHeight w:val="242"/>
        </w:trPr>
        <w:tc>
          <w:tcPr>
            <w:tcW w:w="3642" w:type="dxa"/>
            <w:tcBorders>
              <w:top w:val="nil"/>
              <w:left w:val="nil"/>
              <w:bottom w:val="nil"/>
              <w:right w:val="nil"/>
            </w:tcBorders>
            <w:shd w:val="clear" w:color="auto" w:fill="auto"/>
            <w:vAlign w:val="center"/>
            <w:hideMark/>
          </w:tcPr>
          <w:p w14:paraId="5668FCD4" w14:textId="77777777" w:rsidR="002622F8" w:rsidRPr="002622F8" w:rsidRDefault="002622F8" w:rsidP="002622F8">
            <w:pPr>
              <w:spacing w:after="0"/>
              <w:jc w:val="left"/>
              <w:rPr>
                <w:rFonts w:eastAsia="Times New Roman" w:cs="Times New Roman"/>
                <w:b/>
                <w:bCs/>
                <w:color w:val="000000"/>
                <w:sz w:val="18"/>
                <w:szCs w:val="18"/>
              </w:rPr>
            </w:pPr>
            <w:r w:rsidRPr="002622F8">
              <w:rPr>
                <w:rFonts w:eastAsia="Times New Roman" w:cs="Times New Roman"/>
                <w:b/>
                <w:bCs/>
                <w:color w:val="000000"/>
                <w:sz w:val="18"/>
                <w:szCs w:val="18"/>
              </w:rPr>
              <w:t>ПРИХОДИ, ПОМОЩИ И ДАРЕНИЯ</w:t>
            </w:r>
          </w:p>
        </w:tc>
        <w:tc>
          <w:tcPr>
            <w:tcW w:w="1075" w:type="dxa"/>
            <w:tcBorders>
              <w:top w:val="nil"/>
              <w:left w:val="nil"/>
              <w:bottom w:val="nil"/>
              <w:right w:val="nil"/>
            </w:tcBorders>
            <w:shd w:val="clear" w:color="auto" w:fill="auto"/>
            <w:noWrap/>
            <w:vAlign w:val="center"/>
            <w:hideMark/>
          </w:tcPr>
          <w:p w14:paraId="14B82BFB"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46 154,7</w:t>
            </w:r>
          </w:p>
        </w:tc>
        <w:tc>
          <w:tcPr>
            <w:tcW w:w="1076" w:type="dxa"/>
            <w:tcBorders>
              <w:top w:val="nil"/>
              <w:left w:val="nil"/>
              <w:bottom w:val="nil"/>
              <w:right w:val="nil"/>
            </w:tcBorders>
            <w:shd w:val="clear" w:color="auto" w:fill="auto"/>
            <w:noWrap/>
            <w:vAlign w:val="center"/>
            <w:hideMark/>
          </w:tcPr>
          <w:p w14:paraId="787C034A"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44 499,2</w:t>
            </w:r>
          </w:p>
        </w:tc>
        <w:tc>
          <w:tcPr>
            <w:tcW w:w="1027" w:type="dxa"/>
            <w:tcBorders>
              <w:top w:val="nil"/>
              <w:left w:val="nil"/>
              <w:bottom w:val="nil"/>
              <w:right w:val="nil"/>
            </w:tcBorders>
            <w:shd w:val="clear" w:color="auto" w:fill="auto"/>
            <w:noWrap/>
            <w:vAlign w:val="center"/>
            <w:hideMark/>
          </w:tcPr>
          <w:p w14:paraId="4897162F"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50 402,3</w:t>
            </w:r>
          </w:p>
        </w:tc>
        <w:tc>
          <w:tcPr>
            <w:tcW w:w="1021" w:type="dxa"/>
            <w:tcBorders>
              <w:top w:val="nil"/>
              <w:left w:val="nil"/>
              <w:bottom w:val="nil"/>
              <w:right w:val="nil"/>
            </w:tcBorders>
            <w:shd w:val="clear" w:color="auto" w:fill="auto"/>
            <w:noWrap/>
            <w:vAlign w:val="center"/>
            <w:hideMark/>
          </w:tcPr>
          <w:p w14:paraId="673ADCEB"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51 546,9</w:t>
            </w:r>
          </w:p>
        </w:tc>
        <w:tc>
          <w:tcPr>
            <w:tcW w:w="1027" w:type="dxa"/>
            <w:tcBorders>
              <w:top w:val="nil"/>
              <w:left w:val="nil"/>
              <w:bottom w:val="nil"/>
              <w:right w:val="nil"/>
            </w:tcBorders>
            <w:shd w:val="clear" w:color="auto" w:fill="auto"/>
            <w:noWrap/>
            <w:vAlign w:val="center"/>
            <w:hideMark/>
          </w:tcPr>
          <w:p w14:paraId="583A0706"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54 745,6</w:t>
            </w:r>
          </w:p>
        </w:tc>
      </w:tr>
      <w:tr w:rsidR="002622F8" w:rsidRPr="002622F8" w14:paraId="61782AF9" w14:textId="77777777" w:rsidTr="00580843">
        <w:trPr>
          <w:trHeight w:val="242"/>
        </w:trPr>
        <w:tc>
          <w:tcPr>
            <w:tcW w:w="3642" w:type="dxa"/>
            <w:tcBorders>
              <w:top w:val="nil"/>
              <w:left w:val="nil"/>
              <w:bottom w:val="nil"/>
              <w:right w:val="nil"/>
            </w:tcBorders>
            <w:shd w:val="clear" w:color="auto" w:fill="auto"/>
            <w:vAlign w:val="center"/>
            <w:hideMark/>
          </w:tcPr>
          <w:p w14:paraId="529F69F3" w14:textId="77777777" w:rsidR="002622F8" w:rsidRPr="002622F8" w:rsidRDefault="002622F8" w:rsidP="002622F8">
            <w:pPr>
              <w:spacing w:after="0"/>
              <w:jc w:val="right"/>
              <w:rPr>
                <w:rFonts w:eastAsia="Times New Roman" w:cs="Times New Roman"/>
                <w:i/>
                <w:iCs/>
                <w:color w:val="000000"/>
                <w:sz w:val="18"/>
                <w:szCs w:val="18"/>
              </w:rPr>
            </w:pPr>
            <w:r w:rsidRPr="002622F8">
              <w:rPr>
                <w:rFonts w:eastAsia="Times New Roman" w:cs="Times New Roman"/>
                <w:i/>
                <w:iCs/>
                <w:color w:val="000000"/>
                <w:sz w:val="18"/>
                <w:szCs w:val="18"/>
              </w:rPr>
              <w:t>% от БВП</w:t>
            </w:r>
          </w:p>
        </w:tc>
        <w:tc>
          <w:tcPr>
            <w:tcW w:w="1075" w:type="dxa"/>
            <w:tcBorders>
              <w:top w:val="nil"/>
              <w:left w:val="nil"/>
              <w:bottom w:val="nil"/>
              <w:right w:val="nil"/>
            </w:tcBorders>
            <w:shd w:val="clear" w:color="auto" w:fill="auto"/>
            <w:noWrap/>
            <w:vAlign w:val="center"/>
            <w:hideMark/>
          </w:tcPr>
          <w:p w14:paraId="48B06838"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41,9%</w:t>
            </w:r>
          </w:p>
        </w:tc>
        <w:tc>
          <w:tcPr>
            <w:tcW w:w="1076" w:type="dxa"/>
            <w:tcBorders>
              <w:top w:val="nil"/>
              <w:left w:val="nil"/>
              <w:bottom w:val="nil"/>
              <w:right w:val="nil"/>
            </w:tcBorders>
            <w:shd w:val="clear" w:color="auto" w:fill="auto"/>
            <w:noWrap/>
            <w:vAlign w:val="center"/>
            <w:hideMark/>
          </w:tcPr>
          <w:p w14:paraId="329AF720"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39,4%</w:t>
            </w:r>
          </w:p>
        </w:tc>
        <w:tc>
          <w:tcPr>
            <w:tcW w:w="1027" w:type="dxa"/>
            <w:tcBorders>
              <w:top w:val="nil"/>
              <w:left w:val="nil"/>
              <w:bottom w:val="nil"/>
              <w:right w:val="nil"/>
            </w:tcBorders>
            <w:shd w:val="clear" w:color="auto" w:fill="auto"/>
            <w:noWrap/>
            <w:vAlign w:val="center"/>
            <w:hideMark/>
          </w:tcPr>
          <w:p w14:paraId="7E0744BD"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41,9%</w:t>
            </w:r>
          </w:p>
        </w:tc>
        <w:tc>
          <w:tcPr>
            <w:tcW w:w="1021" w:type="dxa"/>
            <w:tcBorders>
              <w:top w:val="nil"/>
              <w:left w:val="nil"/>
              <w:bottom w:val="nil"/>
              <w:right w:val="nil"/>
            </w:tcBorders>
            <w:shd w:val="clear" w:color="auto" w:fill="auto"/>
            <w:noWrap/>
            <w:vAlign w:val="center"/>
            <w:hideMark/>
          </w:tcPr>
          <w:p w14:paraId="77E4F6C0"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40,6%</w:t>
            </w:r>
          </w:p>
        </w:tc>
        <w:tc>
          <w:tcPr>
            <w:tcW w:w="1027" w:type="dxa"/>
            <w:tcBorders>
              <w:top w:val="nil"/>
              <w:left w:val="nil"/>
              <w:bottom w:val="nil"/>
              <w:right w:val="nil"/>
            </w:tcBorders>
            <w:shd w:val="clear" w:color="auto" w:fill="auto"/>
            <w:noWrap/>
            <w:vAlign w:val="center"/>
            <w:hideMark/>
          </w:tcPr>
          <w:p w14:paraId="25DB19C4"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40,9%</w:t>
            </w:r>
          </w:p>
        </w:tc>
      </w:tr>
      <w:tr w:rsidR="002622F8" w:rsidRPr="002622F8" w14:paraId="08BBD960" w14:textId="77777777" w:rsidTr="00580843">
        <w:trPr>
          <w:trHeight w:val="242"/>
        </w:trPr>
        <w:tc>
          <w:tcPr>
            <w:tcW w:w="3642" w:type="dxa"/>
            <w:tcBorders>
              <w:top w:val="nil"/>
              <w:left w:val="nil"/>
              <w:bottom w:val="nil"/>
              <w:right w:val="nil"/>
            </w:tcBorders>
            <w:shd w:val="clear" w:color="auto" w:fill="auto"/>
            <w:vAlign w:val="center"/>
            <w:hideMark/>
          </w:tcPr>
          <w:p w14:paraId="5A158A31" w14:textId="77777777" w:rsidR="002622F8" w:rsidRPr="002622F8" w:rsidRDefault="002622F8" w:rsidP="002622F8">
            <w:pPr>
              <w:spacing w:after="0"/>
              <w:ind w:firstLineChars="100" w:firstLine="180"/>
              <w:jc w:val="left"/>
              <w:rPr>
                <w:rFonts w:eastAsia="Times New Roman" w:cs="Times New Roman"/>
                <w:color w:val="000000"/>
                <w:sz w:val="18"/>
                <w:szCs w:val="18"/>
              </w:rPr>
            </w:pPr>
            <w:r w:rsidRPr="002622F8">
              <w:rPr>
                <w:rFonts w:eastAsia="Times New Roman" w:cs="Times New Roman"/>
                <w:color w:val="000000"/>
                <w:sz w:val="18"/>
                <w:szCs w:val="18"/>
              </w:rPr>
              <w:t>Данъчно-осигурителни приходи</w:t>
            </w:r>
          </w:p>
        </w:tc>
        <w:tc>
          <w:tcPr>
            <w:tcW w:w="1075" w:type="dxa"/>
            <w:tcBorders>
              <w:top w:val="nil"/>
              <w:left w:val="nil"/>
              <w:bottom w:val="nil"/>
              <w:right w:val="nil"/>
            </w:tcBorders>
            <w:shd w:val="clear" w:color="auto" w:fill="auto"/>
            <w:noWrap/>
            <w:vAlign w:val="center"/>
            <w:hideMark/>
          </w:tcPr>
          <w:p w14:paraId="07635DAF"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36 221,5</w:t>
            </w:r>
          </w:p>
        </w:tc>
        <w:tc>
          <w:tcPr>
            <w:tcW w:w="1076" w:type="dxa"/>
            <w:tcBorders>
              <w:top w:val="nil"/>
              <w:left w:val="nil"/>
              <w:bottom w:val="nil"/>
              <w:right w:val="nil"/>
            </w:tcBorders>
            <w:shd w:val="clear" w:color="auto" w:fill="auto"/>
            <w:noWrap/>
            <w:vAlign w:val="center"/>
            <w:hideMark/>
          </w:tcPr>
          <w:p w14:paraId="0A0DBAED"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34 781,2</w:t>
            </w:r>
          </w:p>
        </w:tc>
        <w:tc>
          <w:tcPr>
            <w:tcW w:w="1027" w:type="dxa"/>
            <w:tcBorders>
              <w:top w:val="nil"/>
              <w:left w:val="nil"/>
              <w:bottom w:val="nil"/>
              <w:right w:val="nil"/>
            </w:tcBorders>
            <w:shd w:val="clear" w:color="auto" w:fill="auto"/>
            <w:noWrap/>
            <w:vAlign w:val="center"/>
            <w:hideMark/>
          </w:tcPr>
          <w:p w14:paraId="4BC8B9FD"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40 482,0</w:t>
            </w:r>
          </w:p>
        </w:tc>
        <w:tc>
          <w:tcPr>
            <w:tcW w:w="1021" w:type="dxa"/>
            <w:tcBorders>
              <w:top w:val="nil"/>
              <w:left w:val="nil"/>
              <w:bottom w:val="nil"/>
              <w:right w:val="nil"/>
            </w:tcBorders>
            <w:shd w:val="clear" w:color="auto" w:fill="auto"/>
            <w:noWrap/>
            <w:vAlign w:val="center"/>
            <w:hideMark/>
          </w:tcPr>
          <w:p w14:paraId="6E93F8F9"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42 706,5</w:t>
            </w:r>
          </w:p>
        </w:tc>
        <w:tc>
          <w:tcPr>
            <w:tcW w:w="1027" w:type="dxa"/>
            <w:tcBorders>
              <w:top w:val="nil"/>
              <w:left w:val="nil"/>
              <w:bottom w:val="nil"/>
              <w:right w:val="nil"/>
            </w:tcBorders>
            <w:shd w:val="clear" w:color="auto" w:fill="auto"/>
            <w:noWrap/>
            <w:vAlign w:val="center"/>
            <w:hideMark/>
          </w:tcPr>
          <w:p w14:paraId="3DC34F09"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45 451,4</w:t>
            </w:r>
          </w:p>
        </w:tc>
      </w:tr>
      <w:tr w:rsidR="002622F8" w:rsidRPr="002622F8" w14:paraId="3EF3DCC7" w14:textId="77777777" w:rsidTr="00580843">
        <w:trPr>
          <w:trHeight w:val="242"/>
        </w:trPr>
        <w:tc>
          <w:tcPr>
            <w:tcW w:w="3642" w:type="dxa"/>
            <w:tcBorders>
              <w:top w:val="nil"/>
              <w:left w:val="nil"/>
              <w:bottom w:val="nil"/>
              <w:right w:val="nil"/>
            </w:tcBorders>
            <w:shd w:val="clear" w:color="auto" w:fill="auto"/>
            <w:vAlign w:val="center"/>
            <w:hideMark/>
          </w:tcPr>
          <w:p w14:paraId="298EE7D5" w14:textId="77777777" w:rsidR="002622F8" w:rsidRPr="002622F8" w:rsidRDefault="002622F8" w:rsidP="002622F8">
            <w:pPr>
              <w:spacing w:after="0"/>
              <w:ind w:firstLineChars="100" w:firstLine="180"/>
              <w:jc w:val="left"/>
              <w:rPr>
                <w:rFonts w:eastAsia="Times New Roman" w:cs="Times New Roman"/>
                <w:color w:val="000000"/>
                <w:sz w:val="18"/>
                <w:szCs w:val="18"/>
              </w:rPr>
            </w:pPr>
            <w:r w:rsidRPr="002622F8">
              <w:rPr>
                <w:rFonts w:eastAsia="Times New Roman" w:cs="Times New Roman"/>
                <w:color w:val="000000"/>
                <w:sz w:val="18"/>
                <w:szCs w:val="18"/>
              </w:rPr>
              <w:t>Неданъчни приходи</w:t>
            </w:r>
          </w:p>
        </w:tc>
        <w:tc>
          <w:tcPr>
            <w:tcW w:w="1075" w:type="dxa"/>
            <w:tcBorders>
              <w:top w:val="nil"/>
              <w:left w:val="nil"/>
              <w:bottom w:val="nil"/>
              <w:right w:val="nil"/>
            </w:tcBorders>
            <w:shd w:val="clear" w:color="auto" w:fill="auto"/>
            <w:noWrap/>
            <w:vAlign w:val="center"/>
            <w:hideMark/>
          </w:tcPr>
          <w:p w14:paraId="6A609371"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6 129,7</w:t>
            </w:r>
          </w:p>
        </w:tc>
        <w:tc>
          <w:tcPr>
            <w:tcW w:w="1076" w:type="dxa"/>
            <w:tcBorders>
              <w:top w:val="nil"/>
              <w:left w:val="nil"/>
              <w:bottom w:val="nil"/>
              <w:right w:val="nil"/>
            </w:tcBorders>
            <w:shd w:val="clear" w:color="auto" w:fill="auto"/>
            <w:noWrap/>
            <w:vAlign w:val="center"/>
            <w:hideMark/>
          </w:tcPr>
          <w:p w14:paraId="160557AE"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6 043,7</w:t>
            </w:r>
          </w:p>
        </w:tc>
        <w:tc>
          <w:tcPr>
            <w:tcW w:w="1027" w:type="dxa"/>
            <w:tcBorders>
              <w:top w:val="nil"/>
              <w:left w:val="nil"/>
              <w:bottom w:val="nil"/>
              <w:right w:val="nil"/>
            </w:tcBorders>
            <w:shd w:val="clear" w:color="auto" w:fill="auto"/>
            <w:noWrap/>
            <w:vAlign w:val="center"/>
            <w:hideMark/>
          </w:tcPr>
          <w:p w14:paraId="66016AD3"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5 800,8</w:t>
            </w:r>
          </w:p>
        </w:tc>
        <w:tc>
          <w:tcPr>
            <w:tcW w:w="1021" w:type="dxa"/>
            <w:tcBorders>
              <w:top w:val="nil"/>
              <w:left w:val="nil"/>
              <w:bottom w:val="nil"/>
              <w:right w:val="nil"/>
            </w:tcBorders>
            <w:shd w:val="clear" w:color="auto" w:fill="auto"/>
            <w:noWrap/>
            <w:vAlign w:val="center"/>
            <w:hideMark/>
          </w:tcPr>
          <w:p w14:paraId="5F6C1ED4"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5 672,2</w:t>
            </w:r>
          </w:p>
        </w:tc>
        <w:tc>
          <w:tcPr>
            <w:tcW w:w="1027" w:type="dxa"/>
            <w:tcBorders>
              <w:top w:val="nil"/>
              <w:left w:val="nil"/>
              <w:bottom w:val="nil"/>
              <w:right w:val="nil"/>
            </w:tcBorders>
            <w:shd w:val="clear" w:color="auto" w:fill="auto"/>
            <w:noWrap/>
            <w:vAlign w:val="center"/>
            <w:hideMark/>
          </w:tcPr>
          <w:p w14:paraId="51E7A6B9"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5 684,1</w:t>
            </w:r>
          </w:p>
        </w:tc>
      </w:tr>
      <w:tr w:rsidR="002622F8" w:rsidRPr="002622F8" w14:paraId="01E9B6A6" w14:textId="77777777" w:rsidTr="00580843">
        <w:trPr>
          <w:trHeight w:val="242"/>
        </w:trPr>
        <w:tc>
          <w:tcPr>
            <w:tcW w:w="3642" w:type="dxa"/>
            <w:tcBorders>
              <w:top w:val="nil"/>
              <w:left w:val="nil"/>
              <w:bottom w:val="nil"/>
              <w:right w:val="nil"/>
            </w:tcBorders>
            <w:shd w:val="clear" w:color="auto" w:fill="auto"/>
            <w:vAlign w:val="center"/>
            <w:hideMark/>
          </w:tcPr>
          <w:p w14:paraId="2C698268" w14:textId="77777777" w:rsidR="002622F8" w:rsidRPr="002622F8" w:rsidRDefault="002622F8" w:rsidP="002622F8">
            <w:pPr>
              <w:spacing w:after="0"/>
              <w:ind w:firstLineChars="100" w:firstLine="180"/>
              <w:jc w:val="left"/>
              <w:rPr>
                <w:rFonts w:eastAsia="Times New Roman" w:cs="Times New Roman"/>
                <w:color w:val="000000"/>
                <w:sz w:val="18"/>
                <w:szCs w:val="18"/>
              </w:rPr>
            </w:pPr>
            <w:r w:rsidRPr="002622F8">
              <w:rPr>
                <w:rFonts w:eastAsia="Times New Roman" w:cs="Times New Roman"/>
                <w:color w:val="000000"/>
                <w:sz w:val="18"/>
                <w:szCs w:val="18"/>
              </w:rPr>
              <w:lastRenderedPageBreak/>
              <w:t>Помощи и дарения</w:t>
            </w:r>
          </w:p>
        </w:tc>
        <w:tc>
          <w:tcPr>
            <w:tcW w:w="1075" w:type="dxa"/>
            <w:tcBorders>
              <w:top w:val="nil"/>
              <w:left w:val="nil"/>
              <w:bottom w:val="nil"/>
              <w:right w:val="nil"/>
            </w:tcBorders>
            <w:shd w:val="clear" w:color="auto" w:fill="auto"/>
            <w:noWrap/>
            <w:vAlign w:val="center"/>
            <w:hideMark/>
          </w:tcPr>
          <w:p w14:paraId="66BC8787"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3 803,4</w:t>
            </w:r>
          </w:p>
        </w:tc>
        <w:tc>
          <w:tcPr>
            <w:tcW w:w="1076" w:type="dxa"/>
            <w:tcBorders>
              <w:top w:val="nil"/>
              <w:left w:val="nil"/>
              <w:bottom w:val="nil"/>
              <w:right w:val="nil"/>
            </w:tcBorders>
            <w:shd w:val="clear" w:color="auto" w:fill="auto"/>
            <w:noWrap/>
            <w:vAlign w:val="center"/>
            <w:hideMark/>
          </w:tcPr>
          <w:p w14:paraId="69A82546"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3 674,2</w:t>
            </w:r>
          </w:p>
        </w:tc>
        <w:tc>
          <w:tcPr>
            <w:tcW w:w="1027" w:type="dxa"/>
            <w:tcBorders>
              <w:top w:val="nil"/>
              <w:left w:val="nil"/>
              <w:bottom w:val="nil"/>
              <w:right w:val="nil"/>
            </w:tcBorders>
            <w:shd w:val="clear" w:color="auto" w:fill="auto"/>
            <w:noWrap/>
            <w:vAlign w:val="center"/>
            <w:hideMark/>
          </w:tcPr>
          <w:p w14:paraId="72AAE976"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4 119,5</w:t>
            </w:r>
          </w:p>
        </w:tc>
        <w:tc>
          <w:tcPr>
            <w:tcW w:w="1021" w:type="dxa"/>
            <w:tcBorders>
              <w:top w:val="nil"/>
              <w:left w:val="nil"/>
              <w:bottom w:val="nil"/>
              <w:right w:val="nil"/>
            </w:tcBorders>
            <w:shd w:val="clear" w:color="auto" w:fill="auto"/>
            <w:noWrap/>
            <w:vAlign w:val="center"/>
            <w:hideMark/>
          </w:tcPr>
          <w:p w14:paraId="21CB3773"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3 168,2</w:t>
            </w:r>
          </w:p>
        </w:tc>
        <w:tc>
          <w:tcPr>
            <w:tcW w:w="1027" w:type="dxa"/>
            <w:tcBorders>
              <w:top w:val="nil"/>
              <w:left w:val="nil"/>
              <w:bottom w:val="nil"/>
              <w:right w:val="nil"/>
            </w:tcBorders>
            <w:shd w:val="clear" w:color="auto" w:fill="auto"/>
            <w:noWrap/>
            <w:vAlign w:val="center"/>
            <w:hideMark/>
          </w:tcPr>
          <w:p w14:paraId="0C1AF9B1"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3 610,1</w:t>
            </w:r>
          </w:p>
        </w:tc>
      </w:tr>
      <w:tr w:rsidR="002622F8" w:rsidRPr="002622F8" w14:paraId="247BF775" w14:textId="77777777" w:rsidTr="00580843">
        <w:trPr>
          <w:trHeight w:val="166"/>
        </w:trPr>
        <w:tc>
          <w:tcPr>
            <w:tcW w:w="3642" w:type="dxa"/>
            <w:tcBorders>
              <w:top w:val="nil"/>
              <w:left w:val="nil"/>
              <w:bottom w:val="nil"/>
              <w:right w:val="nil"/>
            </w:tcBorders>
            <w:shd w:val="clear" w:color="auto" w:fill="auto"/>
            <w:vAlign w:val="center"/>
            <w:hideMark/>
          </w:tcPr>
          <w:p w14:paraId="7E10AC62" w14:textId="77777777" w:rsidR="002622F8" w:rsidRPr="002622F8" w:rsidRDefault="002622F8" w:rsidP="002622F8">
            <w:pPr>
              <w:spacing w:after="0"/>
              <w:jc w:val="right"/>
              <w:rPr>
                <w:rFonts w:eastAsia="Times New Roman" w:cs="Times New Roman"/>
                <w:color w:val="000000"/>
                <w:sz w:val="18"/>
                <w:szCs w:val="18"/>
              </w:rPr>
            </w:pPr>
          </w:p>
        </w:tc>
        <w:tc>
          <w:tcPr>
            <w:tcW w:w="1075" w:type="dxa"/>
            <w:tcBorders>
              <w:top w:val="nil"/>
              <w:left w:val="nil"/>
              <w:bottom w:val="nil"/>
              <w:right w:val="nil"/>
            </w:tcBorders>
            <w:shd w:val="clear" w:color="auto" w:fill="auto"/>
            <w:noWrap/>
            <w:vAlign w:val="center"/>
            <w:hideMark/>
          </w:tcPr>
          <w:p w14:paraId="60B220A4" w14:textId="77777777" w:rsidR="002622F8" w:rsidRPr="002622F8" w:rsidRDefault="002622F8" w:rsidP="002622F8">
            <w:pPr>
              <w:spacing w:after="0"/>
              <w:jc w:val="left"/>
              <w:rPr>
                <w:rFonts w:eastAsia="Times New Roman" w:cs="Times New Roman"/>
                <w:sz w:val="20"/>
                <w:szCs w:val="20"/>
              </w:rPr>
            </w:pPr>
          </w:p>
        </w:tc>
        <w:tc>
          <w:tcPr>
            <w:tcW w:w="1076" w:type="dxa"/>
            <w:tcBorders>
              <w:top w:val="nil"/>
              <w:left w:val="nil"/>
              <w:bottom w:val="nil"/>
              <w:right w:val="nil"/>
            </w:tcBorders>
            <w:shd w:val="clear" w:color="auto" w:fill="auto"/>
            <w:noWrap/>
            <w:vAlign w:val="center"/>
            <w:hideMark/>
          </w:tcPr>
          <w:p w14:paraId="2C9B19DB" w14:textId="77777777" w:rsidR="002622F8" w:rsidRPr="002622F8" w:rsidRDefault="002622F8" w:rsidP="002622F8">
            <w:pPr>
              <w:spacing w:after="0"/>
              <w:jc w:val="right"/>
              <w:rPr>
                <w:rFonts w:eastAsia="Times New Roman" w:cs="Times New Roman"/>
                <w:sz w:val="20"/>
                <w:szCs w:val="20"/>
              </w:rPr>
            </w:pPr>
          </w:p>
        </w:tc>
        <w:tc>
          <w:tcPr>
            <w:tcW w:w="1027" w:type="dxa"/>
            <w:tcBorders>
              <w:top w:val="nil"/>
              <w:left w:val="nil"/>
              <w:bottom w:val="nil"/>
              <w:right w:val="nil"/>
            </w:tcBorders>
            <w:shd w:val="clear" w:color="auto" w:fill="auto"/>
            <w:noWrap/>
            <w:vAlign w:val="center"/>
            <w:hideMark/>
          </w:tcPr>
          <w:p w14:paraId="553BBE13" w14:textId="77777777" w:rsidR="002622F8" w:rsidRPr="002622F8" w:rsidRDefault="002622F8" w:rsidP="002622F8">
            <w:pPr>
              <w:spacing w:after="0"/>
              <w:jc w:val="right"/>
              <w:rPr>
                <w:rFonts w:eastAsia="Times New Roman" w:cs="Times New Roman"/>
                <w:sz w:val="20"/>
                <w:szCs w:val="20"/>
              </w:rPr>
            </w:pPr>
          </w:p>
        </w:tc>
        <w:tc>
          <w:tcPr>
            <w:tcW w:w="1021" w:type="dxa"/>
            <w:tcBorders>
              <w:top w:val="nil"/>
              <w:left w:val="nil"/>
              <w:bottom w:val="nil"/>
              <w:right w:val="nil"/>
            </w:tcBorders>
            <w:shd w:val="clear" w:color="auto" w:fill="auto"/>
            <w:noWrap/>
            <w:vAlign w:val="center"/>
            <w:hideMark/>
          </w:tcPr>
          <w:p w14:paraId="6FF7BEBC" w14:textId="77777777" w:rsidR="002622F8" w:rsidRPr="002622F8" w:rsidRDefault="002622F8" w:rsidP="002622F8">
            <w:pPr>
              <w:spacing w:after="0"/>
              <w:jc w:val="right"/>
              <w:rPr>
                <w:rFonts w:eastAsia="Times New Roman" w:cs="Times New Roman"/>
                <w:sz w:val="20"/>
                <w:szCs w:val="20"/>
              </w:rPr>
            </w:pPr>
          </w:p>
        </w:tc>
        <w:tc>
          <w:tcPr>
            <w:tcW w:w="1027" w:type="dxa"/>
            <w:tcBorders>
              <w:top w:val="nil"/>
              <w:left w:val="nil"/>
              <w:bottom w:val="nil"/>
              <w:right w:val="nil"/>
            </w:tcBorders>
            <w:shd w:val="clear" w:color="auto" w:fill="auto"/>
            <w:noWrap/>
            <w:vAlign w:val="center"/>
            <w:hideMark/>
          </w:tcPr>
          <w:p w14:paraId="0E5D185A" w14:textId="77777777" w:rsidR="002622F8" w:rsidRPr="002622F8" w:rsidRDefault="002622F8" w:rsidP="002622F8">
            <w:pPr>
              <w:spacing w:after="0"/>
              <w:jc w:val="right"/>
              <w:rPr>
                <w:rFonts w:eastAsia="Times New Roman" w:cs="Times New Roman"/>
                <w:sz w:val="20"/>
                <w:szCs w:val="20"/>
              </w:rPr>
            </w:pPr>
          </w:p>
        </w:tc>
      </w:tr>
      <w:tr w:rsidR="002622F8" w:rsidRPr="002622F8" w14:paraId="073D9955" w14:textId="77777777" w:rsidTr="00580843">
        <w:trPr>
          <w:trHeight w:val="257"/>
        </w:trPr>
        <w:tc>
          <w:tcPr>
            <w:tcW w:w="3642" w:type="dxa"/>
            <w:tcBorders>
              <w:top w:val="nil"/>
              <w:left w:val="nil"/>
              <w:bottom w:val="nil"/>
              <w:right w:val="nil"/>
            </w:tcBorders>
            <w:shd w:val="clear" w:color="auto" w:fill="auto"/>
            <w:vAlign w:val="center"/>
            <w:hideMark/>
          </w:tcPr>
          <w:p w14:paraId="42D11746" w14:textId="77777777" w:rsidR="002622F8" w:rsidRPr="002622F8" w:rsidRDefault="002622F8" w:rsidP="002622F8">
            <w:pPr>
              <w:spacing w:after="0"/>
              <w:jc w:val="left"/>
              <w:rPr>
                <w:rFonts w:eastAsia="Times New Roman" w:cs="Times New Roman"/>
                <w:b/>
                <w:bCs/>
                <w:color w:val="000000"/>
                <w:sz w:val="18"/>
                <w:szCs w:val="18"/>
              </w:rPr>
            </w:pPr>
            <w:r w:rsidRPr="002622F8">
              <w:rPr>
                <w:rFonts w:eastAsia="Times New Roman" w:cs="Times New Roman"/>
                <w:b/>
                <w:bCs/>
                <w:color w:val="000000"/>
                <w:sz w:val="18"/>
                <w:szCs w:val="18"/>
              </w:rPr>
              <w:t xml:space="preserve">ОБЩО РАЗХОДИ И ВНОСКА В БЮДЖЕТА НА ЕС  </w:t>
            </w:r>
          </w:p>
        </w:tc>
        <w:tc>
          <w:tcPr>
            <w:tcW w:w="1075" w:type="dxa"/>
            <w:tcBorders>
              <w:top w:val="nil"/>
              <w:left w:val="nil"/>
              <w:bottom w:val="nil"/>
              <w:right w:val="nil"/>
            </w:tcBorders>
            <w:shd w:val="clear" w:color="auto" w:fill="auto"/>
            <w:noWrap/>
            <w:vAlign w:val="center"/>
            <w:hideMark/>
          </w:tcPr>
          <w:p w14:paraId="6A76B51D"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49 445,0</w:t>
            </w:r>
          </w:p>
        </w:tc>
        <w:tc>
          <w:tcPr>
            <w:tcW w:w="1076" w:type="dxa"/>
            <w:tcBorders>
              <w:top w:val="nil"/>
              <w:left w:val="nil"/>
              <w:bottom w:val="nil"/>
              <w:right w:val="nil"/>
            </w:tcBorders>
            <w:shd w:val="clear" w:color="auto" w:fill="auto"/>
            <w:noWrap/>
            <w:vAlign w:val="center"/>
            <w:hideMark/>
          </w:tcPr>
          <w:p w14:paraId="670F0DD2"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47 886,3</w:t>
            </w:r>
          </w:p>
        </w:tc>
        <w:tc>
          <w:tcPr>
            <w:tcW w:w="1027" w:type="dxa"/>
            <w:tcBorders>
              <w:top w:val="nil"/>
              <w:left w:val="nil"/>
              <w:bottom w:val="nil"/>
              <w:right w:val="nil"/>
            </w:tcBorders>
            <w:shd w:val="clear" w:color="auto" w:fill="auto"/>
            <w:noWrap/>
            <w:vAlign w:val="center"/>
            <w:hideMark/>
          </w:tcPr>
          <w:p w14:paraId="47922DE5"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54 051,9</w:t>
            </w:r>
          </w:p>
        </w:tc>
        <w:tc>
          <w:tcPr>
            <w:tcW w:w="1021" w:type="dxa"/>
            <w:tcBorders>
              <w:top w:val="nil"/>
              <w:left w:val="nil"/>
              <w:bottom w:val="nil"/>
              <w:right w:val="nil"/>
            </w:tcBorders>
            <w:shd w:val="clear" w:color="auto" w:fill="auto"/>
            <w:noWrap/>
            <w:vAlign w:val="center"/>
            <w:hideMark/>
          </w:tcPr>
          <w:p w14:paraId="4DF786A7"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55 091,2</w:t>
            </w:r>
          </w:p>
        </w:tc>
        <w:tc>
          <w:tcPr>
            <w:tcW w:w="1027" w:type="dxa"/>
            <w:tcBorders>
              <w:top w:val="nil"/>
              <w:left w:val="nil"/>
              <w:bottom w:val="nil"/>
              <w:right w:val="nil"/>
            </w:tcBorders>
            <w:shd w:val="clear" w:color="auto" w:fill="auto"/>
            <w:noWrap/>
            <w:vAlign w:val="center"/>
            <w:hideMark/>
          </w:tcPr>
          <w:p w14:paraId="2BF5940E"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58 007,1</w:t>
            </w:r>
          </w:p>
        </w:tc>
      </w:tr>
      <w:tr w:rsidR="002622F8" w:rsidRPr="002622F8" w14:paraId="17C38139" w14:textId="77777777" w:rsidTr="00580843">
        <w:trPr>
          <w:trHeight w:val="242"/>
        </w:trPr>
        <w:tc>
          <w:tcPr>
            <w:tcW w:w="3642" w:type="dxa"/>
            <w:tcBorders>
              <w:top w:val="nil"/>
              <w:left w:val="nil"/>
              <w:bottom w:val="nil"/>
              <w:right w:val="nil"/>
            </w:tcBorders>
            <w:shd w:val="clear" w:color="auto" w:fill="auto"/>
            <w:vAlign w:val="center"/>
            <w:hideMark/>
          </w:tcPr>
          <w:p w14:paraId="613006DA" w14:textId="77777777" w:rsidR="002622F8" w:rsidRPr="002622F8" w:rsidRDefault="002622F8" w:rsidP="002622F8">
            <w:pPr>
              <w:spacing w:after="0"/>
              <w:jc w:val="right"/>
              <w:rPr>
                <w:rFonts w:eastAsia="Times New Roman" w:cs="Times New Roman"/>
                <w:i/>
                <w:iCs/>
                <w:color w:val="000000"/>
                <w:sz w:val="18"/>
                <w:szCs w:val="18"/>
              </w:rPr>
            </w:pPr>
            <w:r w:rsidRPr="002622F8">
              <w:rPr>
                <w:rFonts w:eastAsia="Times New Roman" w:cs="Times New Roman"/>
                <w:i/>
                <w:iCs/>
                <w:color w:val="000000"/>
                <w:sz w:val="18"/>
                <w:szCs w:val="18"/>
              </w:rPr>
              <w:t>% от БВП</w:t>
            </w:r>
          </w:p>
        </w:tc>
        <w:tc>
          <w:tcPr>
            <w:tcW w:w="1075" w:type="dxa"/>
            <w:tcBorders>
              <w:top w:val="nil"/>
              <w:left w:val="nil"/>
              <w:bottom w:val="nil"/>
              <w:right w:val="nil"/>
            </w:tcBorders>
            <w:shd w:val="clear" w:color="auto" w:fill="auto"/>
            <w:noWrap/>
            <w:vAlign w:val="center"/>
            <w:hideMark/>
          </w:tcPr>
          <w:p w14:paraId="0A83C326"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44,9%</w:t>
            </w:r>
          </w:p>
        </w:tc>
        <w:tc>
          <w:tcPr>
            <w:tcW w:w="1076" w:type="dxa"/>
            <w:tcBorders>
              <w:top w:val="nil"/>
              <w:left w:val="nil"/>
              <w:bottom w:val="nil"/>
              <w:right w:val="nil"/>
            </w:tcBorders>
            <w:shd w:val="clear" w:color="auto" w:fill="auto"/>
            <w:noWrap/>
            <w:vAlign w:val="center"/>
            <w:hideMark/>
          </w:tcPr>
          <w:p w14:paraId="7BE23622"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42,4%</w:t>
            </w:r>
          </w:p>
        </w:tc>
        <w:tc>
          <w:tcPr>
            <w:tcW w:w="1027" w:type="dxa"/>
            <w:tcBorders>
              <w:top w:val="nil"/>
              <w:left w:val="nil"/>
              <w:bottom w:val="nil"/>
              <w:right w:val="nil"/>
            </w:tcBorders>
            <w:shd w:val="clear" w:color="auto" w:fill="auto"/>
            <w:noWrap/>
            <w:vAlign w:val="center"/>
            <w:hideMark/>
          </w:tcPr>
          <w:p w14:paraId="3043B26F"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45,0%</w:t>
            </w:r>
          </w:p>
        </w:tc>
        <w:tc>
          <w:tcPr>
            <w:tcW w:w="1021" w:type="dxa"/>
            <w:tcBorders>
              <w:top w:val="nil"/>
              <w:left w:val="nil"/>
              <w:bottom w:val="nil"/>
              <w:right w:val="nil"/>
            </w:tcBorders>
            <w:shd w:val="clear" w:color="auto" w:fill="auto"/>
            <w:noWrap/>
            <w:vAlign w:val="center"/>
            <w:hideMark/>
          </w:tcPr>
          <w:p w14:paraId="30211E5F"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43,4%</w:t>
            </w:r>
          </w:p>
        </w:tc>
        <w:tc>
          <w:tcPr>
            <w:tcW w:w="1027" w:type="dxa"/>
            <w:tcBorders>
              <w:top w:val="nil"/>
              <w:left w:val="nil"/>
              <w:bottom w:val="nil"/>
              <w:right w:val="nil"/>
            </w:tcBorders>
            <w:shd w:val="clear" w:color="auto" w:fill="auto"/>
            <w:noWrap/>
            <w:vAlign w:val="center"/>
            <w:hideMark/>
          </w:tcPr>
          <w:p w14:paraId="0196F862"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43,4%</w:t>
            </w:r>
          </w:p>
        </w:tc>
      </w:tr>
      <w:tr w:rsidR="002622F8" w:rsidRPr="002622F8" w14:paraId="43E1C974" w14:textId="77777777" w:rsidTr="00580843">
        <w:trPr>
          <w:trHeight w:val="242"/>
        </w:trPr>
        <w:tc>
          <w:tcPr>
            <w:tcW w:w="3642" w:type="dxa"/>
            <w:tcBorders>
              <w:top w:val="nil"/>
              <w:left w:val="nil"/>
              <w:bottom w:val="nil"/>
              <w:right w:val="nil"/>
            </w:tcBorders>
            <w:shd w:val="clear" w:color="auto" w:fill="auto"/>
            <w:noWrap/>
            <w:vAlign w:val="center"/>
            <w:hideMark/>
          </w:tcPr>
          <w:p w14:paraId="42413556" w14:textId="77777777" w:rsidR="002622F8" w:rsidRPr="002622F8" w:rsidRDefault="002622F8" w:rsidP="002622F8">
            <w:pPr>
              <w:spacing w:after="0"/>
              <w:ind w:firstLineChars="100" w:firstLine="180"/>
              <w:jc w:val="left"/>
              <w:rPr>
                <w:rFonts w:eastAsia="Times New Roman" w:cs="Times New Roman"/>
                <w:color w:val="000000"/>
                <w:sz w:val="18"/>
                <w:szCs w:val="18"/>
              </w:rPr>
            </w:pPr>
            <w:r w:rsidRPr="002622F8">
              <w:rPr>
                <w:rFonts w:eastAsia="Times New Roman" w:cs="Times New Roman"/>
                <w:color w:val="000000"/>
                <w:sz w:val="18"/>
                <w:szCs w:val="18"/>
              </w:rPr>
              <w:t xml:space="preserve">Разходи </w:t>
            </w:r>
          </w:p>
        </w:tc>
        <w:tc>
          <w:tcPr>
            <w:tcW w:w="1075" w:type="dxa"/>
            <w:tcBorders>
              <w:top w:val="nil"/>
              <w:left w:val="nil"/>
              <w:bottom w:val="nil"/>
              <w:right w:val="nil"/>
            </w:tcBorders>
            <w:shd w:val="clear" w:color="auto" w:fill="auto"/>
            <w:noWrap/>
            <w:vAlign w:val="center"/>
            <w:hideMark/>
          </w:tcPr>
          <w:p w14:paraId="5AA7EA1D"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48 411,9</w:t>
            </w:r>
          </w:p>
        </w:tc>
        <w:tc>
          <w:tcPr>
            <w:tcW w:w="1076" w:type="dxa"/>
            <w:tcBorders>
              <w:top w:val="nil"/>
              <w:left w:val="nil"/>
              <w:bottom w:val="nil"/>
              <w:right w:val="nil"/>
            </w:tcBorders>
            <w:shd w:val="clear" w:color="auto" w:fill="auto"/>
            <w:noWrap/>
            <w:vAlign w:val="center"/>
            <w:hideMark/>
          </w:tcPr>
          <w:p w14:paraId="76CD2FCD"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46 853,2</w:t>
            </w:r>
          </w:p>
        </w:tc>
        <w:tc>
          <w:tcPr>
            <w:tcW w:w="1027" w:type="dxa"/>
            <w:tcBorders>
              <w:top w:val="nil"/>
              <w:left w:val="nil"/>
              <w:bottom w:val="nil"/>
              <w:right w:val="nil"/>
            </w:tcBorders>
            <w:shd w:val="clear" w:color="auto" w:fill="auto"/>
            <w:noWrap/>
            <w:vAlign w:val="center"/>
            <w:hideMark/>
          </w:tcPr>
          <w:p w14:paraId="38AFC070"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52 842,8</w:t>
            </w:r>
          </w:p>
        </w:tc>
        <w:tc>
          <w:tcPr>
            <w:tcW w:w="1021" w:type="dxa"/>
            <w:tcBorders>
              <w:top w:val="nil"/>
              <w:left w:val="nil"/>
              <w:bottom w:val="nil"/>
              <w:right w:val="nil"/>
            </w:tcBorders>
            <w:shd w:val="clear" w:color="auto" w:fill="auto"/>
            <w:noWrap/>
            <w:vAlign w:val="center"/>
            <w:hideMark/>
          </w:tcPr>
          <w:p w14:paraId="497650FE"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53 781,2</w:t>
            </w:r>
          </w:p>
        </w:tc>
        <w:tc>
          <w:tcPr>
            <w:tcW w:w="1027" w:type="dxa"/>
            <w:tcBorders>
              <w:top w:val="nil"/>
              <w:left w:val="nil"/>
              <w:bottom w:val="nil"/>
              <w:right w:val="nil"/>
            </w:tcBorders>
            <w:shd w:val="clear" w:color="auto" w:fill="auto"/>
            <w:noWrap/>
            <w:vAlign w:val="center"/>
            <w:hideMark/>
          </w:tcPr>
          <w:p w14:paraId="5B0E04FA"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56 348,0</w:t>
            </w:r>
          </w:p>
        </w:tc>
      </w:tr>
      <w:tr w:rsidR="002622F8" w:rsidRPr="002622F8" w14:paraId="4090B159" w14:textId="77777777" w:rsidTr="00580843">
        <w:trPr>
          <w:trHeight w:val="242"/>
        </w:trPr>
        <w:tc>
          <w:tcPr>
            <w:tcW w:w="3642" w:type="dxa"/>
            <w:tcBorders>
              <w:top w:val="nil"/>
              <w:left w:val="nil"/>
              <w:bottom w:val="nil"/>
              <w:right w:val="nil"/>
            </w:tcBorders>
            <w:shd w:val="clear" w:color="auto" w:fill="auto"/>
            <w:vAlign w:val="center"/>
            <w:hideMark/>
          </w:tcPr>
          <w:p w14:paraId="47FA50CA" w14:textId="77777777" w:rsidR="002622F8" w:rsidRPr="002622F8" w:rsidRDefault="002622F8" w:rsidP="002622F8">
            <w:pPr>
              <w:spacing w:after="0"/>
              <w:ind w:firstLineChars="200" w:firstLine="360"/>
              <w:jc w:val="left"/>
              <w:rPr>
                <w:rFonts w:eastAsia="Times New Roman" w:cs="Times New Roman"/>
                <w:color w:val="000000"/>
                <w:sz w:val="18"/>
                <w:szCs w:val="18"/>
              </w:rPr>
            </w:pPr>
            <w:r w:rsidRPr="002622F8">
              <w:rPr>
                <w:rFonts w:eastAsia="Times New Roman" w:cs="Times New Roman"/>
                <w:color w:val="000000"/>
                <w:sz w:val="18"/>
                <w:szCs w:val="18"/>
              </w:rPr>
              <w:t>Нелихвени разходи</w:t>
            </w:r>
          </w:p>
        </w:tc>
        <w:tc>
          <w:tcPr>
            <w:tcW w:w="1075" w:type="dxa"/>
            <w:tcBorders>
              <w:top w:val="nil"/>
              <w:left w:val="nil"/>
              <w:bottom w:val="nil"/>
              <w:right w:val="nil"/>
            </w:tcBorders>
            <w:shd w:val="clear" w:color="auto" w:fill="auto"/>
            <w:noWrap/>
            <w:vAlign w:val="center"/>
            <w:hideMark/>
          </w:tcPr>
          <w:p w14:paraId="68FA3391"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47 581,9</w:t>
            </w:r>
          </w:p>
        </w:tc>
        <w:tc>
          <w:tcPr>
            <w:tcW w:w="1076" w:type="dxa"/>
            <w:tcBorders>
              <w:top w:val="nil"/>
              <w:left w:val="nil"/>
              <w:bottom w:val="nil"/>
              <w:right w:val="nil"/>
            </w:tcBorders>
            <w:shd w:val="clear" w:color="auto" w:fill="auto"/>
            <w:noWrap/>
            <w:vAlign w:val="center"/>
            <w:hideMark/>
          </w:tcPr>
          <w:p w14:paraId="619927E0"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46 109,1</w:t>
            </w:r>
          </w:p>
        </w:tc>
        <w:tc>
          <w:tcPr>
            <w:tcW w:w="1027" w:type="dxa"/>
            <w:tcBorders>
              <w:top w:val="nil"/>
              <w:left w:val="nil"/>
              <w:bottom w:val="nil"/>
              <w:right w:val="nil"/>
            </w:tcBorders>
            <w:shd w:val="clear" w:color="auto" w:fill="auto"/>
            <w:noWrap/>
            <w:vAlign w:val="center"/>
            <w:hideMark/>
          </w:tcPr>
          <w:p w14:paraId="4B9BB349"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51 744,6</w:t>
            </w:r>
          </w:p>
        </w:tc>
        <w:tc>
          <w:tcPr>
            <w:tcW w:w="1021" w:type="dxa"/>
            <w:tcBorders>
              <w:top w:val="nil"/>
              <w:left w:val="nil"/>
              <w:bottom w:val="nil"/>
              <w:right w:val="nil"/>
            </w:tcBorders>
            <w:shd w:val="clear" w:color="auto" w:fill="auto"/>
            <w:noWrap/>
            <w:vAlign w:val="center"/>
            <w:hideMark/>
          </w:tcPr>
          <w:p w14:paraId="2F39DB7A"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52 334,0</w:t>
            </w:r>
          </w:p>
        </w:tc>
        <w:tc>
          <w:tcPr>
            <w:tcW w:w="1027" w:type="dxa"/>
            <w:tcBorders>
              <w:top w:val="nil"/>
              <w:left w:val="nil"/>
              <w:bottom w:val="nil"/>
              <w:right w:val="nil"/>
            </w:tcBorders>
            <w:shd w:val="clear" w:color="auto" w:fill="auto"/>
            <w:noWrap/>
            <w:vAlign w:val="center"/>
            <w:hideMark/>
          </w:tcPr>
          <w:p w14:paraId="59A596A2"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54 590,0</w:t>
            </w:r>
          </w:p>
        </w:tc>
      </w:tr>
      <w:tr w:rsidR="002622F8" w:rsidRPr="002622F8" w14:paraId="7A8502C6" w14:textId="77777777" w:rsidTr="00580843">
        <w:trPr>
          <w:trHeight w:val="242"/>
        </w:trPr>
        <w:tc>
          <w:tcPr>
            <w:tcW w:w="3642" w:type="dxa"/>
            <w:tcBorders>
              <w:top w:val="nil"/>
              <w:left w:val="nil"/>
              <w:bottom w:val="nil"/>
              <w:right w:val="nil"/>
            </w:tcBorders>
            <w:shd w:val="clear" w:color="auto" w:fill="auto"/>
            <w:vAlign w:val="center"/>
            <w:hideMark/>
          </w:tcPr>
          <w:p w14:paraId="09F07DC6" w14:textId="77777777" w:rsidR="002622F8" w:rsidRPr="002622F8" w:rsidRDefault="002622F8" w:rsidP="002622F8">
            <w:pPr>
              <w:spacing w:after="0"/>
              <w:ind w:firstLineChars="200" w:firstLine="360"/>
              <w:jc w:val="left"/>
              <w:rPr>
                <w:rFonts w:eastAsia="Times New Roman" w:cs="Times New Roman"/>
                <w:color w:val="000000"/>
                <w:sz w:val="18"/>
                <w:szCs w:val="18"/>
              </w:rPr>
            </w:pPr>
            <w:r w:rsidRPr="002622F8">
              <w:rPr>
                <w:rFonts w:eastAsia="Times New Roman" w:cs="Times New Roman"/>
                <w:color w:val="000000"/>
                <w:sz w:val="18"/>
                <w:szCs w:val="18"/>
              </w:rPr>
              <w:t>Лихви</w:t>
            </w:r>
          </w:p>
        </w:tc>
        <w:tc>
          <w:tcPr>
            <w:tcW w:w="1075" w:type="dxa"/>
            <w:tcBorders>
              <w:top w:val="nil"/>
              <w:left w:val="nil"/>
              <w:bottom w:val="nil"/>
              <w:right w:val="nil"/>
            </w:tcBorders>
            <w:shd w:val="clear" w:color="auto" w:fill="auto"/>
            <w:noWrap/>
            <w:vAlign w:val="center"/>
            <w:hideMark/>
          </w:tcPr>
          <w:p w14:paraId="6A15D19F"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830,0</w:t>
            </w:r>
          </w:p>
        </w:tc>
        <w:tc>
          <w:tcPr>
            <w:tcW w:w="1076" w:type="dxa"/>
            <w:tcBorders>
              <w:top w:val="nil"/>
              <w:left w:val="nil"/>
              <w:bottom w:val="nil"/>
              <w:right w:val="nil"/>
            </w:tcBorders>
            <w:shd w:val="clear" w:color="auto" w:fill="auto"/>
            <w:noWrap/>
            <w:vAlign w:val="center"/>
            <w:hideMark/>
          </w:tcPr>
          <w:p w14:paraId="62179F8B"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744,1</w:t>
            </w:r>
          </w:p>
        </w:tc>
        <w:tc>
          <w:tcPr>
            <w:tcW w:w="1027" w:type="dxa"/>
            <w:tcBorders>
              <w:top w:val="nil"/>
              <w:left w:val="nil"/>
              <w:bottom w:val="nil"/>
              <w:right w:val="nil"/>
            </w:tcBorders>
            <w:shd w:val="clear" w:color="auto" w:fill="auto"/>
            <w:noWrap/>
            <w:vAlign w:val="center"/>
            <w:hideMark/>
          </w:tcPr>
          <w:p w14:paraId="3F508F15"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1 098,2</w:t>
            </w:r>
          </w:p>
        </w:tc>
        <w:tc>
          <w:tcPr>
            <w:tcW w:w="1021" w:type="dxa"/>
            <w:tcBorders>
              <w:top w:val="nil"/>
              <w:left w:val="nil"/>
              <w:bottom w:val="nil"/>
              <w:right w:val="nil"/>
            </w:tcBorders>
            <w:shd w:val="clear" w:color="auto" w:fill="auto"/>
            <w:noWrap/>
            <w:vAlign w:val="center"/>
            <w:hideMark/>
          </w:tcPr>
          <w:p w14:paraId="108DEE93"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1 447,2</w:t>
            </w:r>
          </w:p>
        </w:tc>
        <w:tc>
          <w:tcPr>
            <w:tcW w:w="1027" w:type="dxa"/>
            <w:tcBorders>
              <w:top w:val="nil"/>
              <w:left w:val="nil"/>
              <w:bottom w:val="nil"/>
              <w:right w:val="nil"/>
            </w:tcBorders>
            <w:shd w:val="clear" w:color="auto" w:fill="auto"/>
            <w:noWrap/>
            <w:vAlign w:val="center"/>
            <w:hideMark/>
          </w:tcPr>
          <w:p w14:paraId="30063DFE"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1 758,1</w:t>
            </w:r>
          </w:p>
        </w:tc>
      </w:tr>
      <w:tr w:rsidR="002622F8" w:rsidRPr="002622F8" w14:paraId="2E2DDA71" w14:textId="77777777" w:rsidTr="00580843">
        <w:trPr>
          <w:trHeight w:val="242"/>
        </w:trPr>
        <w:tc>
          <w:tcPr>
            <w:tcW w:w="3642" w:type="dxa"/>
            <w:tcBorders>
              <w:top w:val="nil"/>
              <w:left w:val="nil"/>
              <w:bottom w:val="nil"/>
              <w:right w:val="nil"/>
            </w:tcBorders>
            <w:shd w:val="clear" w:color="auto" w:fill="auto"/>
            <w:vAlign w:val="center"/>
            <w:hideMark/>
          </w:tcPr>
          <w:p w14:paraId="5BC86D66" w14:textId="77777777" w:rsidR="002622F8" w:rsidRPr="002622F8" w:rsidRDefault="002622F8" w:rsidP="002622F8">
            <w:pPr>
              <w:spacing w:after="0"/>
              <w:ind w:firstLineChars="100" w:firstLine="180"/>
              <w:jc w:val="left"/>
              <w:rPr>
                <w:rFonts w:eastAsia="Times New Roman" w:cs="Times New Roman"/>
                <w:color w:val="000000"/>
                <w:sz w:val="18"/>
                <w:szCs w:val="18"/>
              </w:rPr>
            </w:pPr>
            <w:r w:rsidRPr="002622F8">
              <w:rPr>
                <w:rFonts w:eastAsia="Times New Roman" w:cs="Times New Roman"/>
                <w:color w:val="000000"/>
                <w:sz w:val="18"/>
                <w:szCs w:val="18"/>
              </w:rPr>
              <w:t>Вноска в общия бюджет на ЕС</w:t>
            </w:r>
          </w:p>
        </w:tc>
        <w:tc>
          <w:tcPr>
            <w:tcW w:w="1075" w:type="dxa"/>
            <w:tcBorders>
              <w:top w:val="nil"/>
              <w:left w:val="nil"/>
              <w:bottom w:val="nil"/>
              <w:right w:val="nil"/>
            </w:tcBorders>
            <w:shd w:val="clear" w:color="auto" w:fill="auto"/>
            <w:noWrap/>
            <w:vAlign w:val="center"/>
            <w:hideMark/>
          </w:tcPr>
          <w:p w14:paraId="3319CB7B"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1 033,1</w:t>
            </w:r>
          </w:p>
        </w:tc>
        <w:tc>
          <w:tcPr>
            <w:tcW w:w="1076" w:type="dxa"/>
            <w:tcBorders>
              <w:top w:val="nil"/>
              <w:left w:val="nil"/>
              <w:bottom w:val="nil"/>
              <w:right w:val="nil"/>
            </w:tcBorders>
            <w:shd w:val="clear" w:color="auto" w:fill="auto"/>
            <w:noWrap/>
            <w:vAlign w:val="center"/>
            <w:hideMark/>
          </w:tcPr>
          <w:p w14:paraId="7F9FF6F6"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1 033,1</w:t>
            </w:r>
          </w:p>
        </w:tc>
        <w:tc>
          <w:tcPr>
            <w:tcW w:w="1027" w:type="dxa"/>
            <w:tcBorders>
              <w:top w:val="nil"/>
              <w:left w:val="nil"/>
              <w:bottom w:val="nil"/>
              <w:right w:val="nil"/>
            </w:tcBorders>
            <w:shd w:val="clear" w:color="auto" w:fill="auto"/>
            <w:noWrap/>
            <w:vAlign w:val="center"/>
            <w:hideMark/>
          </w:tcPr>
          <w:p w14:paraId="36D22DEF"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1 209,1</w:t>
            </w:r>
          </w:p>
        </w:tc>
        <w:tc>
          <w:tcPr>
            <w:tcW w:w="1021" w:type="dxa"/>
            <w:tcBorders>
              <w:top w:val="nil"/>
              <w:left w:val="nil"/>
              <w:bottom w:val="nil"/>
              <w:right w:val="nil"/>
            </w:tcBorders>
            <w:shd w:val="clear" w:color="auto" w:fill="auto"/>
            <w:noWrap/>
            <w:vAlign w:val="center"/>
            <w:hideMark/>
          </w:tcPr>
          <w:p w14:paraId="3838F953"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1 309,9</w:t>
            </w:r>
          </w:p>
        </w:tc>
        <w:tc>
          <w:tcPr>
            <w:tcW w:w="1027" w:type="dxa"/>
            <w:tcBorders>
              <w:top w:val="nil"/>
              <w:left w:val="nil"/>
              <w:bottom w:val="nil"/>
              <w:right w:val="nil"/>
            </w:tcBorders>
            <w:shd w:val="clear" w:color="auto" w:fill="auto"/>
            <w:noWrap/>
            <w:vAlign w:val="center"/>
            <w:hideMark/>
          </w:tcPr>
          <w:p w14:paraId="7CC1B446" w14:textId="77777777" w:rsidR="002622F8" w:rsidRPr="002622F8" w:rsidRDefault="002622F8" w:rsidP="002622F8">
            <w:pPr>
              <w:spacing w:after="0"/>
              <w:jc w:val="right"/>
              <w:rPr>
                <w:rFonts w:eastAsia="Times New Roman" w:cs="Times New Roman"/>
                <w:color w:val="000000"/>
                <w:sz w:val="18"/>
                <w:szCs w:val="18"/>
              </w:rPr>
            </w:pPr>
            <w:r w:rsidRPr="002622F8">
              <w:rPr>
                <w:rFonts w:eastAsia="Times New Roman" w:cs="Times New Roman"/>
                <w:color w:val="000000"/>
                <w:sz w:val="18"/>
                <w:szCs w:val="18"/>
              </w:rPr>
              <w:t>1 659,1</w:t>
            </w:r>
          </w:p>
        </w:tc>
      </w:tr>
      <w:tr w:rsidR="002622F8" w:rsidRPr="002622F8" w14:paraId="6488953B" w14:textId="77777777" w:rsidTr="00580843">
        <w:trPr>
          <w:trHeight w:val="242"/>
        </w:trPr>
        <w:tc>
          <w:tcPr>
            <w:tcW w:w="3642" w:type="dxa"/>
            <w:tcBorders>
              <w:top w:val="nil"/>
              <w:left w:val="nil"/>
              <w:bottom w:val="nil"/>
              <w:right w:val="nil"/>
            </w:tcBorders>
            <w:shd w:val="clear" w:color="auto" w:fill="auto"/>
            <w:vAlign w:val="center"/>
            <w:hideMark/>
          </w:tcPr>
          <w:p w14:paraId="3021E204" w14:textId="77777777" w:rsidR="002622F8" w:rsidRPr="002622F8" w:rsidRDefault="002622F8" w:rsidP="002622F8">
            <w:pPr>
              <w:spacing w:after="0"/>
              <w:jc w:val="right"/>
              <w:rPr>
                <w:rFonts w:eastAsia="Times New Roman" w:cs="Times New Roman"/>
                <w:color w:val="000000"/>
                <w:sz w:val="18"/>
                <w:szCs w:val="18"/>
              </w:rPr>
            </w:pPr>
          </w:p>
        </w:tc>
        <w:tc>
          <w:tcPr>
            <w:tcW w:w="1075" w:type="dxa"/>
            <w:tcBorders>
              <w:top w:val="nil"/>
              <w:left w:val="nil"/>
              <w:bottom w:val="nil"/>
              <w:right w:val="nil"/>
            </w:tcBorders>
            <w:shd w:val="clear" w:color="auto" w:fill="auto"/>
            <w:noWrap/>
            <w:vAlign w:val="center"/>
            <w:hideMark/>
          </w:tcPr>
          <w:p w14:paraId="1EE87970" w14:textId="77777777" w:rsidR="002622F8" w:rsidRPr="002622F8" w:rsidRDefault="002622F8" w:rsidP="002622F8">
            <w:pPr>
              <w:spacing w:after="0"/>
              <w:jc w:val="left"/>
              <w:rPr>
                <w:rFonts w:eastAsia="Times New Roman" w:cs="Times New Roman"/>
                <w:sz w:val="20"/>
                <w:szCs w:val="20"/>
              </w:rPr>
            </w:pPr>
          </w:p>
        </w:tc>
        <w:tc>
          <w:tcPr>
            <w:tcW w:w="1076" w:type="dxa"/>
            <w:tcBorders>
              <w:top w:val="nil"/>
              <w:left w:val="nil"/>
              <w:bottom w:val="nil"/>
              <w:right w:val="nil"/>
            </w:tcBorders>
            <w:shd w:val="clear" w:color="auto" w:fill="auto"/>
            <w:noWrap/>
            <w:vAlign w:val="center"/>
            <w:hideMark/>
          </w:tcPr>
          <w:p w14:paraId="57878A30" w14:textId="77777777" w:rsidR="002622F8" w:rsidRPr="002622F8" w:rsidRDefault="002622F8" w:rsidP="002622F8">
            <w:pPr>
              <w:spacing w:after="0"/>
              <w:jc w:val="right"/>
              <w:rPr>
                <w:rFonts w:eastAsia="Times New Roman" w:cs="Times New Roman"/>
                <w:sz w:val="20"/>
                <w:szCs w:val="20"/>
              </w:rPr>
            </w:pPr>
          </w:p>
        </w:tc>
        <w:tc>
          <w:tcPr>
            <w:tcW w:w="1027" w:type="dxa"/>
            <w:tcBorders>
              <w:top w:val="nil"/>
              <w:left w:val="nil"/>
              <w:bottom w:val="nil"/>
              <w:right w:val="nil"/>
            </w:tcBorders>
            <w:shd w:val="clear" w:color="auto" w:fill="auto"/>
            <w:noWrap/>
            <w:vAlign w:val="center"/>
            <w:hideMark/>
          </w:tcPr>
          <w:p w14:paraId="05CD3EBD" w14:textId="77777777" w:rsidR="002622F8" w:rsidRPr="002622F8" w:rsidRDefault="002622F8" w:rsidP="002622F8">
            <w:pPr>
              <w:spacing w:after="0"/>
              <w:jc w:val="right"/>
              <w:rPr>
                <w:rFonts w:eastAsia="Times New Roman" w:cs="Times New Roman"/>
                <w:sz w:val="20"/>
                <w:szCs w:val="20"/>
              </w:rPr>
            </w:pPr>
          </w:p>
        </w:tc>
        <w:tc>
          <w:tcPr>
            <w:tcW w:w="1021" w:type="dxa"/>
            <w:tcBorders>
              <w:top w:val="nil"/>
              <w:left w:val="nil"/>
              <w:bottom w:val="nil"/>
              <w:right w:val="nil"/>
            </w:tcBorders>
            <w:shd w:val="clear" w:color="auto" w:fill="auto"/>
            <w:noWrap/>
            <w:vAlign w:val="center"/>
            <w:hideMark/>
          </w:tcPr>
          <w:p w14:paraId="2DEC9055" w14:textId="77777777" w:rsidR="002622F8" w:rsidRPr="002622F8" w:rsidRDefault="002622F8" w:rsidP="002622F8">
            <w:pPr>
              <w:spacing w:after="0"/>
              <w:jc w:val="right"/>
              <w:rPr>
                <w:rFonts w:eastAsia="Times New Roman" w:cs="Times New Roman"/>
                <w:sz w:val="20"/>
                <w:szCs w:val="20"/>
              </w:rPr>
            </w:pPr>
          </w:p>
        </w:tc>
        <w:tc>
          <w:tcPr>
            <w:tcW w:w="1027" w:type="dxa"/>
            <w:tcBorders>
              <w:top w:val="nil"/>
              <w:left w:val="nil"/>
              <w:bottom w:val="nil"/>
              <w:right w:val="nil"/>
            </w:tcBorders>
            <w:shd w:val="clear" w:color="auto" w:fill="auto"/>
            <w:noWrap/>
            <w:vAlign w:val="center"/>
            <w:hideMark/>
          </w:tcPr>
          <w:p w14:paraId="6769E524" w14:textId="77777777" w:rsidR="002622F8" w:rsidRPr="002622F8" w:rsidRDefault="002622F8" w:rsidP="002622F8">
            <w:pPr>
              <w:spacing w:after="0"/>
              <w:jc w:val="right"/>
              <w:rPr>
                <w:rFonts w:eastAsia="Times New Roman" w:cs="Times New Roman"/>
                <w:sz w:val="20"/>
                <w:szCs w:val="20"/>
              </w:rPr>
            </w:pPr>
          </w:p>
        </w:tc>
      </w:tr>
      <w:tr w:rsidR="002622F8" w:rsidRPr="002622F8" w14:paraId="50A94463" w14:textId="77777777" w:rsidTr="00580843">
        <w:trPr>
          <w:trHeight w:val="257"/>
        </w:trPr>
        <w:tc>
          <w:tcPr>
            <w:tcW w:w="3642" w:type="dxa"/>
            <w:tcBorders>
              <w:top w:val="nil"/>
              <w:left w:val="nil"/>
              <w:bottom w:val="nil"/>
              <w:right w:val="nil"/>
            </w:tcBorders>
            <w:shd w:val="clear" w:color="auto" w:fill="auto"/>
            <w:vAlign w:val="center"/>
            <w:hideMark/>
          </w:tcPr>
          <w:p w14:paraId="66D1DBA3" w14:textId="77777777" w:rsidR="002622F8" w:rsidRPr="002622F8" w:rsidRDefault="002622F8" w:rsidP="002622F8">
            <w:pPr>
              <w:spacing w:after="0"/>
              <w:jc w:val="left"/>
              <w:rPr>
                <w:rFonts w:eastAsia="Times New Roman" w:cs="Times New Roman"/>
                <w:b/>
                <w:bCs/>
                <w:color w:val="000000"/>
                <w:sz w:val="18"/>
                <w:szCs w:val="18"/>
              </w:rPr>
            </w:pPr>
            <w:r w:rsidRPr="002622F8">
              <w:rPr>
                <w:rFonts w:eastAsia="Times New Roman" w:cs="Times New Roman"/>
                <w:b/>
                <w:bCs/>
                <w:color w:val="000000"/>
                <w:sz w:val="18"/>
                <w:szCs w:val="18"/>
              </w:rPr>
              <w:t>БЮДЖЕТНО САЛДО (+/-)</w:t>
            </w:r>
          </w:p>
        </w:tc>
        <w:tc>
          <w:tcPr>
            <w:tcW w:w="1075" w:type="dxa"/>
            <w:tcBorders>
              <w:top w:val="nil"/>
              <w:left w:val="nil"/>
              <w:bottom w:val="nil"/>
              <w:right w:val="nil"/>
            </w:tcBorders>
            <w:shd w:val="clear" w:color="auto" w:fill="auto"/>
            <w:noWrap/>
            <w:vAlign w:val="center"/>
            <w:hideMark/>
          </w:tcPr>
          <w:p w14:paraId="1BE3E8F0"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-3 290,3</w:t>
            </w:r>
          </w:p>
        </w:tc>
        <w:tc>
          <w:tcPr>
            <w:tcW w:w="1076" w:type="dxa"/>
            <w:tcBorders>
              <w:top w:val="nil"/>
              <w:left w:val="nil"/>
              <w:bottom w:val="nil"/>
              <w:right w:val="nil"/>
            </w:tcBorders>
            <w:shd w:val="clear" w:color="auto" w:fill="auto"/>
            <w:noWrap/>
            <w:vAlign w:val="center"/>
            <w:hideMark/>
          </w:tcPr>
          <w:p w14:paraId="116C082C"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-3 387,2</w:t>
            </w:r>
          </w:p>
        </w:tc>
        <w:tc>
          <w:tcPr>
            <w:tcW w:w="1027" w:type="dxa"/>
            <w:tcBorders>
              <w:top w:val="nil"/>
              <w:left w:val="nil"/>
              <w:bottom w:val="nil"/>
              <w:right w:val="nil"/>
            </w:tcBorders>
            <w:shd w:val="clear" w:color="auto" w:fill="auto"/>
            <w:noWrap/>
            <w:vAlign w:val="center"/>
            <w:hideMark/>
          </w:tcPr>
          <w:p w14:paraId="7882304F"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-3 649,6</w:t>
            </w:r>
          </w:p>
        </w:tc>
        <w:tc>
          <w:tcPr>
            <w:tcW w:w="1021" w:type="dxa"/>
            <w:tcBorders>
              <w:top w:val="nil"/>
              <w:left w:val="nil"/>
              <w:bottom w:val="nil"/>
              <w:right w:val="nil"/>
            </w:tcBorders>
            <w:shd w:val="clear" w:color="auto" w:fill="auto"/>
            <w:noWrap/>
            <w:vAlign w:val="center"/>
            <w:hideMark/>
          </w:tcPr>
          <w:p w14:paraId="35844CF9"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-3 544,3</w:t>
            </w:r>
          </w:p>
        </w:tc>
        <w:tc>
          <w:tcPr>
            <w:tcW w:w="1027" w:type="dxa"/>
            <w:tcBorders>
              <w:top w:val="nil"/>
              <w:left w:val="nil"/>
              <w:bottom w:val="nil"/>
              <w:right w:val="nil"/>
            </w:tcBorders>
            <w:shd w:val="clear" w:color="auto" w:fill="auto"/>
            <w:noWrap/>
            <w:vAlign w:val="center"/>
            <w:hideMark/>
          </w:tcPr>
          <w:p w14:paraId="2F89B31E"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-3 261,5</w:t>
            </w:r>
          </w:p>
        </w:tc>
      </w:tr>
      <w:tr w:rsidR="002622F8" w:rsidRPr="002622F8" w14:paraId="5A86CDFA" w14:textId="77777777" w:rsidTr="00580843">
        <w:trPr>
          <w:trHeight w:val="242"/>
        </w:trPr>
        <w:tc>
          <w:tcPr>
            <w:tcW w:w="3642" w:type="dxa"/>
            <w:tcBorders>
              <w:top w:val="nil"/>
              <w:left w:val="nil"/>
              <w:bottom w:val="nil"/>
              <w:right w:val="nil"/>
            </w:tcBorders>
            <w:shd w:val="clear" w:color="auto" w:fill="auto"/>
            <w:vAlign w:val="center"/>
            <w:hideMark/>
          </w:tcPr>
          <w:p w14:paraId="08B1768A" w14:textId="77777777" w:rsidR="002622F8" w:rsidRPr="002622F8" w:rsidRDefault="002622F8" w:rsidP="002622F8">
            <w:pPr>
              <w:spacing w:after="0"/>
              <w:jc w:val="right"/>
              <w:rPr>
                <w:rFonts w:eastAsia="Times New Roman" w:cs="Times New Roman"/>
                <w:i/>
                <w:iCs/>
                <w:color w:val="000000"/>
                <w:sz w:val="18"/>
                <w:szCs w:val="18"/>
              </w:rPr>
            </w:pPr>
            <w:r w:rsidRPr="002622F8">
              <w:rPr>
                <w:rFonts w:eastAsia="Times New Roman" w:cs="Times New Roman"/>
                <w:i/>
                <w:iCs/>
                <w:color w:val="000000"/>
                <w:sz w:val="18"/>
                <w:szCs w:val="18"/>
              </w:rPr>
              <w:t>% от БВП</w:t>
            </w:r>
          </w:p>
        </w:tc>
        <w:tc>
          <w:tcPr>
            <w:tcW w:w="1075" w:type="dxa"/>
            <w:tcBorders>
              <w:top w:val="nil"/>
              <w:left w:val="nil"/>
              <w:bottom w:val="nil"/>
              <w:right w:val="nil"/>
            </w:tcBorders>
            <w:shd w:val="clear" w:color="auto" w:fill="auto"/>
            <w:noWrap/>
            <w:vAlign w:val="center"/>
            <w:hideMark/>
          </w:tcPr>
          <w:p w14:paraId="1B1D472E"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-3,0%</w:t>
            </w:r>
          </w:p>
        </w:tc>
        <w:tc>
          <w:tcPr>
            <w:tcW w:w="1076" w:type="dxa"/>
            <w:tcBorders>
              <w:top w:val="nil"/>
              <w:left w:val="nil"/>
              <w:bottom w:val="nil"/>
              <w:right w:val="nil"/>
            </w:tcBorders>
            <w:shd w:val="clear" w:color="auto" w:fill="auto"/>
            <w:noWrap/>
            <w:vAlign w:val="center"/>
            <w:hideMark/>
          </w:tcPr>
          <w:p w14:paraId="4D406848"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-3,0%</w:t>
            </w:r>
          </w:p>
        </w:tc>
        <w:tc>
          <w:tcPr>
            <w:tcW w:w="1027" w:type="dxa"/>
            <w:tcBorders>
              <w:top w:val="nil"/>
              <w:left w:val="nil"/>
              <w:bottom w:val="nil"/>
              <w:right w:val="nil"/>
            </w:tcBorders>
            <w:shd w:val="clear" w:color="auto" w:fill="auto"/>
            <w:noWrap/>
            <w:vAlign w:val="center"/>
            <w:hideMark/>
          </w:tcPr>
          <w:p w14:paraId="3AED7151"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-3,0%</w:t>
            </w:r>
          </w:p>
        </w:tc>
        <w:tc>
          <w:tcPr>
            <w:tcW w:w="1021" w:type="dxa"/>
            <w:tcBorders>
              <w:top w:val="nil"/>
              <w:left w:val="nil"/>
              <w:bottom w:val="nil"/>
              <w:right w:val="nil"/>
            </w:tcBorders>
            <w:shd w:val="clear" w:color="auto" w:fill="auto"/>
            <w:noWrap/>
            <w:vAlign w:val="center"/>
            <w:hideMark/>
          </w:tcPr>
          <w:p w14:paraId="4220FE20"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-2,8%</w:t>
            </w:r>
          </w:p>
        </w:tc>
        <w:tc>
          <w:tcPr>
            <w:tcW w:w="1027" w:type="dxa"/>
            <w:tcBorders>
              <w:top w:val="nil"/>
              <w:left w:val="nil"/>
              <w:bottom w:val="nil"/>
              <w:right w:val="nil"/>
            </w:tcBorders>
            <w:shd w:val="clear" w:color="auto" w:fill="auto"/>
            <w:noWrap/>
            <w:vAlign w:val="center"/>
            <w:hideMark/>
          </w:tcPr>
          <w:p w14:paraId="06C1F954"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-2,4%</w:t>
            </w:r>
          </w:p>
        </w:tc>
      </w:tr>
      <w:tr w:rsidR="002622F8" w:rsidRPr="002622F8" w14:paraId="6021A280" w14:textId="77777777" w:rsidTr="00580843">
        <w:trPr>
          <w:trHeight w:val="196"/>
        </w:trPr>
        <w:tc>
          <w:tcPr>
            <w:tcW w:w="3642" w:type="dxa"/>
            <w:tcBorders>
              <w:top w:val="nil"/>
              <w:left w:val="nil"/>
              <w:bottom w:val="nil"/>
              <w:right w:val="nil"/>
            </w:tcBorders>
            <w:shd w:val="clear" w:color="auto" w:fill="auto"/>
            <w:vAlign w:val="center"/>
            <w:hideMark/>
          </w:tcPr>
          <w:p w14:paraId="0098CE16" w14:textId="77777777" w:rsidR="002622F8" w:rsidRPr="002622F8" w:rsidRDefault="002622F8" w:rsidP="002622F8">
            <w:pPr>
              <w:spacing w:after="0"/>
              <w:jc w:val="right"/>
              <w:rPr>
                <w:rFonts w:eastAsia="Times New Roman" w:cs="Times New Roman"/>
                <w:b/>
                <w:bCs/>
                <w:i/>
                <w:iCs/>
                <w:color w:val="000000"/>
                <w:sz w:val="18"/>
                <w:szCs w:val="18"/>
              </w:rPr>
            </w:pPr>
          </w:p>
        </w:tc>
        <w:tc>
          <w:tcPr>
            <w:tcW w:w="1075" w:type="dxa"/>
            <w:tcBorders>
              <w:top w:val="nil"/>
              <w:left w:val="nil"/>
              <w:bottom w:val="nil"/>
              <w:right w:val="nil"/>
            </w:tcBorders>
            <w:shd w:val="clear" w:color="auto" w:fill="auto"/>
            <w:noWrap/>
            <w:vAlign w:val="center"/>
            <w:hideMark/>
          </w:tcPr>
          <w:p w14:paraId="0126C271" w14:textId="77777777" w:rsidR="002622F8" w:rsidRPr="002622F8" w:rsidRDefault="002622F8" w:rsidP="002622F8">
            <w:pPr>
              <w:spacing w:after="0"/>
              <w:jc w:val="left"/>
              <w:rPr>
                <w:rFonts w:eastAsia="Times New Roman" w:cs="Times New Roman"/>
                <w:sz w:val="20"/>
                <w:szCs w:val="20"/>
              </w:rPr>
            </w:pPr>
          </w:p>
        </w:tc>
        <w:tc>
          <w:tcPr>
            <w:tcW w:w="1076" w:type="dxa"/>
            <w:tcBorders>
              <w:top w:val="nil"/>
              <w:left w:val="nil"/>
              <w:bottom w:val="nil"/>
              <w:right w:val="nil"/>
            </w:tcBorders>
            <w:shd w:val="clear" w:color="auto" w:fill="auto"/>
            <w:noWrap/>
            <w:vAlign w:val="center"/>
            <w:hideMark/>
          </w:tcPr>
          <w:p w14:paraId="46FE0F1E" w14:textId="77777777" w:rsidR="002622F8" w:rsidRPr="002622F8" w:rsidRDefault="002622F8" w:rsidP="002622F8">
            <w:pPr>
              <w:spacing w:after="0"/>
              <w:jc w:val="right"/>
              <w:rPr>
                <w:rFonts w:eastAsia="Times New Roman" w:cs="Times New Roman"/>
                <w:sz w:val="20"/>
                <w:szCs w:val="20"/>
              </w:rPr>
            </w:pPr>
          </w:p>
        </w:tc>
        <w:tc>
          <w:tcPr>
            <w:tcW w:w="1027" w:type="dxa"/>
            <w:tcBorders>
              <w:top w:val="nil"/>
              <w:left w:val="nil"/>
              <w:bottom w:val="nil"/>
              <w:right w:val="nil"/>
            </w:tcBorders>
            <w:shd w:val="clear" w:color="auto" w:fill="auto"/>
            <w:noWrap/>
            <w:vAlign w:val="center"/>
            <w:hideMark/>
          </w:tcPr>
          <w:p w14:paraId="1B96BB5E" w14:textId="77777777" w:rsidR="002622F8" w:rsidRPr="002622F8" w:rsidRDefault="002622F8" w:rsidP="002622F8">
            <w:pPr>
              <w:spacing w:after="0"/>
              <w:jc w:val="right"/>
              <w:rPr>
                <w:rFonts w:eastAsia="Times New Roman" w:cs="Times New Roman"/>
                <w:sz w:val="20"/>
                <w:szCs w:val="20"/>
              </w:rPr>
            </w:pPr>
          </w:p>
        </w:tc>
        <w:tc>
          <w:tcPr>
            <w:tcW w:w="1021" w:type="dxa"/>
            <w:tcBorders>
              <w:top w:val="nil"/>
              <w:left w:val="nil"/>
              <w:bottom w:val="nil"/>
              <w:right w:val="nil"/>
            </w:tcBorders>
            <w:shd w:val="clear" w:color="auto" w:fill="auto"/>
            <w:noWrap/>
            <w:vAlign w:val="center"/>
            <w:hideMark/>
          </w:tcPr>
          <w:p w14:paraId="009EB8A1" w14:textId="77777777" w:rsidR="002622F8" w:rsidRPr="002622F8" w:rsidRDefault="002622F8" w:rsidP="002622F8">
            <w:pPr>
              <w:spacing w:after="0"/>
              <w:jc w:val="right"/>
              <w:rPr>
                <w:rFonts w:eastAsia="Times New Roman" w:cs="Times New Roman"/>
                <w:sz w:val="20"/>
                <w:szCs w:val="20"/>
              </w:rPr>
            </w:pPr>
          </w:p>
        </w:tc>
        <w:tc>
          <w:tcPr>
            <w:tcW w:w="1027" w:type="dxa"/>
            <w:tcBorders>
              <w:top w:val="nil"/>
              <w:left w:val="nil"/>
              <w:bottom w:val="nil"/>
              <w:right w:val="nil"/>
            </w:tcBorders>
            <w:shd w:val="clear" w:color="auto" w:fill="auto"/>
            <w:noWrap/>
            <w:vAlign w:val="center"/>
            <w:hideMark/>
          </w:tcPr>
          <w:p w14:paraId="641DA3CC" w14:textId="77777777" w:rsidR="002622F8" w:rsidRPr="002622F8" w:rsidRDefault="002622F8" w:rsidP="002622F8">
            <w:pPr>
              <w:spacing w:after="0"/>
              <w:jc w:val="right"/>
              <w:rPr>
                <w:rFonts w:eastAsia="Times New Roman" w:cs="Times New Roman"/>
                <w:sz w:val="20"/>
                <w:szCs w:val="20"/>
              </w:rPr>
            </w:pPr>
          </w:p>
        </w:tc>
      </w:tr>
      <w:tr w:rsidR="002622F8" w:rsidRPr="002622F8" w14:paraId="4F84526F" w14:textId="77777777" w:rsidTr="00580843">
        <w:trPr>
          <w:trHeight w:val="242"/>
        </w:trPr>
        <w:tc>
          <w:tcPr>
            <w:tcW w:w="3642" w:type="dxa"/>
            <w:tcBorders>
              <w:top w:val="nil"/>
              <w:left w:val="nil"/>
              <w:bottom w:val="nil"/>
              <w:right w:val="nil"/>
            </w:tcBorders>
            <w:shd w:val="clear" w:color="auto" w:fill="auto"/>
            <w:vAlign w:val="center"/>
            <w:hideMark/>
          </w:tcPr>
          <w:p w14:paraId="0563E231" w14:textId="77777777" w:rsidR="002622F8" w:rsidRPr="002622F8" w:rsidRDefault="002622F8" w:rsidP="002622F8">
            <w:pPr>
              <w:spacing w:after="0"/>
              <w:jc w:val="left"/>
              <w:rPr>
                <w:rFonts w:eastAsia="Times New Roman" w:cs="Times New Roman"/>
                <w:b/>
                <w:bCs/>
                <w:color w:val="000000"/>
                <w:sz w:val="18"/>
                <w:szCs w:val="18"/>
              </w:rPr>
            </w:pPr>
            <w:r w:rsidRPr="002622F8">
              <w:rPr>
                <w:rFonts w:eastAsia="Times New Roman" w:cs="Times New Roman"/>
                <w:b/>
                <w:bCs/>
                <w:color w:val="000000"/>
                <w:sz w:val="18"/>
                <w:szCs w:val="18"/>
              </w:rPr>
              <w:t>ФИНАНСИРАНЕ (+/-)</w:t>
            </w:r>
          </w:p>
        </w:tc>
        <w:tc>
          <w:tcPr>
            <w:tcW w:w="1075" w:type="dxa"/>
            <w:tcBorders>
              <w:top w:val="nil"/>
              <w:left w:val="nil"/>
              <w:bottom w:val="nil"/>
              <w:right w:val="nil"/>
            </w:tcBorders>
            <w:shd w:val="clear" w:color="auto" w:fill="auto"/>
            <w:noWrap/>
            <w:vAlign w:val="center"/>
            <w:hideMark/>
          </w:tcPr>
          <w:p w14:paraId="63E93589"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3 290,3</w:t>
            </w:r>
          </w:p>
        </w:tc>
        <w:tc>
          <w:tcPr>
            <w:tcW w:w="1076" w:type="dxa"/>
            <w:tcBorders>
              <w:top w:val="nil"/>
              <w:left w:val="nil"/>
              <w:bottom w:val="nil"/>
              <w:right w:val="nil"/>
            </w:tcBorders>
            <w:shd w:val="clear" w:color="auto" w:fill="auto"/>
            <w:noWrap/>
            <w:vAlign w:val="center"/>
            <w:hideMark/>
          </w:tcPr>
          <w:p w14:paraId="04B7AA68"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3 387,2</w:t>
            </w:r>
          </w:p>
        </w:tc>
        <w:tc>
          <w:tcPr>
            <w:tcW w:w="1027" w:type="dxa"/>
            <w:tcBorders>
              <w:top w:val="nil"/>
              <w:left w:val="nil"/>
              <w:bottom w:val="nil"/>
              <w:right w:val="nil"/>
            </w:tcBorders>
            <w:shd w:val="clear" w:color="auto" w:fill="auto"/>
            <w:noWrap/>
            <w:vAlign w:val="center"/>
            <w:hideMark/>
          </w:tcPr>
          <w:p w14:paraId="1510FEE6"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3 649,6</w:t>
            </w:r>
          </w:p>
        </w:tc>
        <w:tc>
          <w:tcPr>
            <w:tcW w:w="1021" w:type="dxa"/>
            <w:tcBorders>
              <w:top w:val="nil"/>
              <w:left w:val="nil"/>
              <w:bottom w:val="nil"/>
              <w:right w:val="nil"/>
            </w:tcBorders>
            <w:shd w:val="clear" w:color="auto" w:fill="auto"/>
            <w:noWrap/>
            <w:vAlign w:val="center"/>
            <w:hideMark/>
          </w:tcPr>
          <w:p w14:paraId="480F69FD"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3 544,3</w:t>
            </w:r>
          </w:p>
        </w:tc>
        <w:tc>
          <w:tcPr>
            <w:tcW w:w="1027" w:type="dxa"/>
            <w:tcBorders>
              <w:top w:val="nil"/>
              <w:left w:val="nil"/>
              <w:bottom w:val="nil"/>
              <w:right w:val="nil"/>
            </w:tcBorders>
            <w:shd w:val="clear" w:color="auto" w:fill="auto"/>
            <w:noWrap/>
            <w:vAlign w:val="center"/>
            <w:hideMark/>
          </w:tcPr>
          <w:p w14:paraId="1261DDBD" w14:textId="77777777" w:rsidR="002622F8" w:rsidRPr="002622F8" w:rsidRDefault="002622F8" w:rsidP="002622F8">
            <w:pPr>
              <w:spacing w:after="0"/>
              <w:jc w:val="right"/>
              <w:rPr>
                <w:rFonts w:eastAsia="Times New Roman" w:cs="Times New Roman"/>
                <w:b/>
                <w:bCs/>
                <w:color w:val="000000"/>
                <w:sz w:val="18"/>
                <w:szCs w:val="18"/>
              </w:rPr>
            </w:pPr>
            <w:r w:rsidRPr="002622F8">
              <w:rPr>
                <w:rFonts w:eastAsia="Times New Roman" w:cs="Times New Roman"/>
                <w:b/>
                <w:bCs/>
                <w:color w:val="000000"/>
                <w:sz w:val="18"/>
                <w:szCs w:val="18"/>
              </w:rPr>
              <w:t>3 261,5</w:t>
            </w:r>
          </w:p>
        </w:tc>
      </w:tr>
      <w:tr w:rsidR="002622F8" w:rsidRPr="002622F8" w14:paraId="476830E5" w14:textId="77777777" w:rsidTr="00580843">
        <w:trPr>
          <w:trHeight w:val="242"/>
        </w:trPr>
        <w:tc>
          <w:tcPr>
            <w:tcW w:w="3642" w:type="dxa"/>
            <w:tcBorders>
              <w:top w:val="nil"/>
              <w:left w:val="nil"/>
              <w:bottom w:val="single" w:sz="4" w:space="0" w:color="auto"/>
              <w:right w:val="nil"/>
            </w:tcBorders>
            <w:shd w:val="clear" w:color="auto" w:fill="auto"/>
            <w:vAlign w:val="center"/>
            <w:hideMark/>
          </w:tcPr>
          <w:p w14:paraId="225B3DB3" w14:textId="77777777" w:rsidR="002622F8" w:rsidRPr="002622F8" w:rsidRDefault="002622F8" w:rsidP="002622F8">
            <w:pPr>
              <w:spacing w:after="0"/>
              <w:jc w:val="right"/>
              <w:rPr>
                <w:rFonts w:eastAsia="Times New Roman" w:cs="Times New Roman"/>
                <w:i/>
                <w:iCs/>
                <w:color w:val="000000"/>
                <w:sz w:val="18"/>
                <w:szCs w:val="18"/>
              </w:rPr>
            </w:pPr>
            <w:r w:rsidRPr="002622F8">
              <w:rPr>
                <w:rFonts w:eastAsia="Times New Roman" w:cs="Times New Roman"/>
                <w:i/>
                <w:iCs/>
                <w:color w:val="000000"/>
                <w:sz w:val="18"/>
                <w:szCs w:val="18"/>
              </w:rPr>
              <w:t>% от БВП</w:t>
            </w:r>
          </w:p>
        </w:tc>
        <w:tc>
          <w:tcPr>
            <w:tcW w:w="1075" w:type="dxa"/>
            <w:tcBorders>
              <w:top w:val="nil"/>
              <w:left w:val="nil"/>
              <w:bottom w:val="single" w:sz="4" w:space="0" w:color="auto"/>
              <w:right w:val="nil"/>
            </w:tcBorders>
            <w:shd w:val="clear" w:color="auto" w:fill="auto"/>
            <w:noWrap/>
            <w:vAlign w:val="center"/>
            <w:hideMark/>
          </w:tcPr>
          <w:p w14:paraId="215AB98C"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3,0%</w:t>
            </w:r>
          </w:p>
        </w:tc>
        <w:tc>
          <w:tcPr>
            <w:tcW w:w="1076" w:type="dxa"/>
            <w:tcBorders>
              <w:top w:val="nil"/>
              <w:left w:val="nil"/>
              <w:bottom w:val="single" w:sz="4" w:space="0" w:color="auto"/>
              <w:right w:val="nil"/>
            </w:tcBorders>
            <w:shd w:val="clear" w:color="auto" w:fill="auto"/>
            <w:noWrap/>
            <w:vAlign w:val="center"/>
            <w:hideMark/>
          </w:tcPr>
          <w:p w14:paraId="308CE835"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3,0%</w:t>
            </w:r>
          </w:p>
        </w:tc>
        <w:tc>
          <w:tcPr>
            <w:tcW w:w="1027" w:type="dxa"/>
            <w:tcBorders>
              <w:top w:val="nil"/>
              <w:left w:val="nil"/>
              <w:bottom w:val="single" w:sz="4" w:space="0" w:color="auto"/>
              <w:right w:val="nil"/>
            </w:tcBorders>
            <w:shd w:val="clear" w:color="auto" w:fill="auto"/>
            <w:noWrap/>
            <w:vAlign w:val="center"/>
            <w:hideMark/>
          </w:tcPr>
          <w:p w14:paraId="28B50382"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3,0%</w:t>
            </w:r>
          </w:p>
        </w:tc>
        <w:tc>
          <w:tcPr>
            <w:tcW w:w="1021" w:type="dxa"/>
            <w:tcBorders>
              <w:top w:val="nil"/>
              <w:left w:val="nil"/>
              <w:bottom w:val="single" w:sz="4" w:space="0" w:color="auto"/>
              <w:right w:val="nil"/>
            </w:tcBorders>
            <w:shd w:val="clear" w:color="auto" w:fill="auto"/>
            <w:noWrap/>
            <w:vAlign w:val="center"/>
            <w:hideMark/>
          </w:tcPr>
          <w:p w14:paraId="43546C4A"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2,8%</w:t>
            </w:r>
          </w:p>
        </w:tc>
        <w:tc>
          <w:tcPr>
            <w:tcW w:w="1027" w:type="dxa"/>
            <w:tcBorders>
              <w:top w:val="nil"/>
              <w:left w:val="nil"/>
              <w:bottom w:val="single" w:sz="4" w:space="0" w:color="auto"/>
              <w:right w:val="nil"/>
            </w:tcBorders>
            <w:shd w:val="clear" w:color="auto" w:fill="auto"/>
            <w:noWrap/>
            <w:vAlign w:val="center"/>
            <w:hideMark/>
          </w:tcPr>
          <w:p w14:paraId="18CB3976" w14:textId="77777777" w:rsidR="002622F8" w:rsidRPr="002622F8" w:rsidRDefault="002622F8" w:rsidP="002622F8">
            <w:pPr>
              <w:spacing w:after="0"/>
              <w:jc w:val="right"/>
              <w:rPr>
                <w:rFonts w:eastAsia="Times New Roman" w:cs="Times New Roman"/>
                <w:b/>
                <w:bCs/>
                <w:i/>
                <w:iCs/>
                <w:color w:val="000000"/>
                <w:sz w:val="18"/>
                <w:szCs w:val="18"/>
              </w:rPr>
            </w:pPr>
            <w:r w:rsidRPr="002622F8">
              <w:rPr>
                <w:rFonts w:eastAsia="Times New Roman" w:cs="Times New Roman"/>
                <w:b/>
                <w:bCs/>
                <w:i/>
                <w:iCs/>
                <w:color w:val="000000"/>
                <w:sz w:val="18"/>
                <w:szCs w:val="18"/>
              </w:rPr>
              <w:t>2,4%</w:t>
            </w:r>
          </w:p>
        </w:tc>
      </w:tr>
    </w:tbl>
    <w:p w14:paraId="0328908B" w14:textId="77777777" w:rsidR="006140A3" w:rsidRPr="00802354" w:rsidRDefault="006140A3" w:rsidP="002F20E4">
      <w:pPr>
        <w:spacing w:before="60"/>
        <w:ind w:right="-20"/>
        <w:jc w:val="right"/>
        <w:rPr>
          <w:rFonts w:eastAsia="Batang" w:cs="Times New Roman"/>
          <w:sz w:val="18"/>
          <w:szCs w:val="18"/>
        </w:rPr>
      </w:pPr>
      <w:r w:rsidRPr="00802354">
        <w:rPr>
          <w:rFonts w:eastAsia="Batang" w:cs="Times New Roman"/>
          <w:sz w:val="18"/>
          <w:szCs w:val="18"/>
        </w:rPr>
        <w:t>Източник: МФ</w:t>
      </w:r>
    </w:p>
    <w:p w14:paraId="463DE5AF" w14:textId="77777777" w:rsidR="00A228E8" w:rsidRPr="00A228E8" w:rsidRDefault="00A228E8" w:rsidP="00825016">
      <w:pPr>
        <w:rPr>
          <w:rFonts w:eastAsia="Batang"/>
        </w:rPr>
      </w:pPr>
      <w:r w:rsidRPr="00A228E8">
        <w:rPr>
          <w:rFonts w:eastAsia="Batang"/>
          <w:b/>
        </w:rPr>
        <w:t>Приходите, помощите и даренията по националния бюджет</w:t>
      </w:r>
      <w:r w:rsidRPr="00A228E8">
        <w:rPr>
          <w:rFonts w:eastAsia="Batang"/>
        </w:rPr>
        <w:t xml:space="preserve"> за периода 2026-2028 г. са в диапазона </w:t>
      </w:r>
      <w:r w:rsidRPr="00A228E8">
        <w:t xml:space="preserve">от </w:t>
      </w:r>
      <w:r w:rsidR="00A87FFB">
        <w:t>38,1</w:t>
      </w:r>
      <w:r w:rsidRPr="00A228E8">
        <w:t xml:space="preserve">% до </w:t>
      </w:r>
      <w:r w:rsidR="00A87FFB">
        <w:t>38,5</w:t>
      </w:r>
      <w:r w:rsidRPr="00A228E8">
        <w:t xml:space="preserve">% </w:t>
      </w:r>
      <w:r w:rsidRPr="00A228E8">
        <w:rPr>
          <w:rFonts w:eastAsia="Batang"/>
        </w:rPr>
        <w:t>от БВП.</w:t>
      </w:r>
    </w:p>
    <w:p w14:paraId="4FA14577" w14:textId="77777777" w:rsidR="00A228E8" w:rsidRPr="00074046" w:rsidRDefault="00A228E8" w:rsidP="00825016">
      <w:pPr>
        <w:pStyle w:val="Caption"/>
        <w:spacing w:after="200"/>
        <w:ind w:left="0" w:firstLine="0"/>
        <w:jc w:val="both"/>
        <w:rPr>
          <w:b w:val="0"/>
        </w:rPr>
      </w:pPr>
      <w:r w:rsidRPr="00A228E8">
        <w:rPr>
          <w:rFonts w:eastAsia="Batang"/>
        </w:rPr>
        <w:t>Разходите, трансферите и вноската в бюджета на ЕС по националния бюджет</w:t>
      </w:r>
      <w:r w:rsidRPr="00A228E8">
        <w:rPr>
          <w:rFonts w:eastAsia="Batang"/>
          <w:b w:val="0"/>
        </w:rPr>
        <w:t xml:space="preserve"> в средносрочен план са в диапазона </w:t>
      </w:r>
      <w:r w:rsidRPr="00A228E8">
        <w:rPr>
          <w:b w:val="0"/>
        </w:rPr>
        <w:t>от 4</w:t>
      </w:r>
      <w:r w:rsidR="00504AE5">
        <w:rPr>
          <w:b w:val="0"/>
        </w:rPr>
        <w:t>0</w:t>
      </w:r>
      <w:r w:rsidRPr="00A228E8">
        <w:rPr>
          <w:b w:val="0"/>
        </w:rPr>
        <w:t>,</w:t>
      </w:r>
      <w:r w:rsidR="00A87FFB">
        <w:rPr>
          <w:b w:val="0"/>
        </w:rPr>
        <w:t>9</w:t>
      </w:r>
      <w:r w:rsidRPr="00A228E8">
        <w:rPr>
          <w:b w:val="0"/>
        </w:rPr>
        <w:t>% до 4</w:t>
      </w:r>
      <w:r w:rsidR="00A87FFB">
        <w:rPr>
          <w:b w:val="0"/>
        </w:rPr>
        <w:t>1</w:t>
      </w:r>
      <w:r w:rsidRPr="00A228E8">
        <w:rPr>
          <w:b w:val="0"/>
        </w:rPr>
        <w:t>,</w:t>
      </w:r>
      <w:r w:rsidR="00A87FFB">
        <w:rPr>
          <w:b w:val="0"/>
        </w:rPr>
        <w:t>2</w:t>
      </w:r>
      <w:r w:rsidRPr="00A228E8">
        <w:rPr>
          <w:b w:val="0"/>
        </w:rPr>
        <w:t xml:space="preserve">% </w:t>
      </w:r>
      <w:r w:rsidRPr="00A228E8">
        <w:rPr>
          <w:rFonts w:eastAsia="Batang"/>
          <w:b w:val="0"/>
        </w:rPr>
        <w:t>от БВП.</w:t>
      </w:r>
    </w:p>
    <w:p w14:paraId="78F2BD5E" w14:textId="77777777" w:rsidR="00537B15" w:rsidRDefault="00566333" w:rsidP="00645C6D">
      <w:pPr>
        <w:pStyle w:val="Caption"/>
        <w:keepNext/>
        <w:spacing w:before="240"/>
        <w:ind w:left="0" w:firstLine="0"/>
        <w:rPr>
          <w:color w:val="000000"/>
        </w:rPr>
      </w:pPr>
      <w:bookmarkStart w:id="201" w:name="_Toc213229055"/>
      <w:r w:rsidRPr="003E2F6D">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3E2F6D">
        <w:noBreakHyphen/>
      </w:r>
      <w:r w:rsidR="00974F02">
        <w:fldChar w:fldCharType="begin"/>
      </w:r>
      <w:r w:rsidR="00974F02">
        <w:instrText xml:space="preserve"> SEQ Табл. \* ARABIC \s 1 </w:instrText>
      </w:r>
      <w:r w:rsidR="00974F02">
        <w:fldChar w:fldCharType="separate"/>
      </w:r>
      <w:r w:rsidR="00841DFA">
        <w:rPr>
          <w:noProof/>
        </w:rPr>
        <w:t>3</w:t>
      </w:r>
      <w:r w:rsidR="00974F02">
        <w:rPr>
          <w:noProof/>
        </w:rPr>
        <w:fldChar w:fldCharType="end"/>
      </w:r>
      <w:r w:rsidRPr="003E2F6D">
        <w:t>:</w:t>
      </w:r>
      <w:r w:rsidRPr="003E2F6D">
        <w:tab/>
      </w:r>
      <w:r w:rsidRPr="00231896">
        <w:rPr>
          <w:color w:val="000000"/>
        </w:rPr>
        <w:t>КФП – Национален бюджет (</w:t>
      </w:r>
      <w:r w:rsidR="00891FE0" w:rsidRPr="00231896">
        <w:rPr>
          <w:color w:val="000000"/>
        </w:rPr>
        <w:t>202</w:t>
      </w:r>
      <w:r w:rsidR="00231896" w:rsidRPr="00231896">
        <w:rPr>
          <w:color w:val="000000"/>
        </w:rPr>
        <w:t>6</w:t>
      </w:r>
      <w:r w:rsidR="00891FE0" w:rsidRPr="00231896">
        <w:rPr>
          <w:color w:val="000000"/>
        </w:rPr>
        <w:t>-2028</w:t>
      </w:r>
      <w:r w:rsidRPr="00231896">
        <w:rPr>
          <w:color w:val="000000"/>
        </w:rPr>
        <w:t> г.)</w:t>
      </w:r>
      <w:bookmarkEnd w:id="201"/>
    </w:p>
    <w:tbl>
      <w:tblPr>
        <w:tblW w:w="9056" w:type="dxa"/>
        <w:tblCellMar>
          <w:left w:w="70" w:type="dxa"/>
          <w:right w:w="70" w:type="dxa"/>
        </w:tblCellMar>
        <w:tblLook w:val="04A0" w:firstRow="1" w:lastRow="0" w:firstColumn="1" w:lastColumn="0" w:noHBand="0" w:noVBand="1"/>
      </w:tblPr>
      <w:tblGrid>
        <w:gridCol w:w="3969"/>
        <w:gridCol w:w="1046"/>
        <w:gridCol w:w="1047"/>
        <w:gridCol w:w="1000"/>
        <w:gridCol w:w="994"/>
        <w:gridCol w:w="1000"/>
      </w:tblGrid>
      <w:tr w:rsidR="00A87FFB" w:rsidRPr="00A87FFB" w14:paraId="1CB7B177" w14:textId="77777777" w:rsidTr="00863938">
        <w:trPr>
          <w:trHeight w:val="517"/>
          <w:tblHeader/>
        </w:trPr>
        <w:tc>
          <w:tcPr>
            <w:tcW w:w="3969" w:type="dxa"/>
            <w:vMerge w:val="restart"/>
            <w:tcBorders>
              <w:top w:val="single" w:sz="4" w:space="0" w:color="595959"/>
              <w:left w:val="nil"/>
              <w:bottom w:val="single" w:sz="4" w:space="0" w:color="000000"/>
              <w:right w:val="nil"/>
            </w:tcBorders>
            <w:shd w:val="clear" w:color="auto" w:fill="auto"/>
            <w:vAlign w:val="center"/>
            <w:hideMark/>
          </w:tcPr>
          <w:p w14:paraId="1357C8DF" w14:textId="77777777" w:rsidR="00A87FFB" w:rsidRPr="00A87FFB" w:rsidRDefault="00A87FFB" w:rsidP="00A87FFB">
            <w:pPr>
              <w:spacing w:after="0"/>
              <w:jc w:val="center"/>
              <w:rPr>
                <w:rFonts w:eastAsia="Times New Roman" w:cs="Times New Roman"/>
                <w:b/>
                <w:bCs/>
                <w:sz w:val="20"/>
                <w:szCs w:val="20"/>
              </w:rPr>
            </w:pPr>
            <w:r w:rsidRPr="00A87FFB">
              <w:rPr>
                <w:rFonts w:eastAsia="Times New Roman" w:cs="Times New Roman"/>
                <w:b/>
                <w:bCs/>
                <w:sz w:val="20"/>
                <w:szCs w:val="20"/>
              </w:rPr>
              <w:t>КФП                                                          НАЦИОНАЛЕН БЮДЖЕТ</w:t>
            </w:r>
            <w:r w:rsidRPr="00A87FFB">
              <w:rPr>
                <w:rFonts w:eastAsia="Times New Roman" w:cs="Times New Roman"/>
                <w:b/>
                <w:bCs/>
                <w:sz w:val="20"/>
                <w:szCs w:val="20"/>
              </w:rPr>
              <w:br/>
              <w:t>млн. евро</w:t>
            </w:r>
          </w:p>
        </w:tc>
        <w:tc>
          <w:tcPr>
            <w:tcW w:w="1046" w:type="dxa"/>
            <w:vMerge w:val="restart"/>
            <w:tcBorders>
              <w:top w:val="single" w:sz="4" w:space="0" w:color="595959"/>
              <w:left w:val="nil"/>
              <w:bottom w:val="single" w:sz="4" w:space="0" w:color="000000"/>
              <w:right w:val="nil"/>
            </w:tcBorders>
            <w:shd w:val="clear" w:color="auto" w:fill="auto"/>
            <w:hideMark/>
          </w:tcPr>
          <w:p w14:paraId="29C1C118" w14:textId="77777777" w:rsidR="00A87FFB" w:rsidRPr="00A87FFB" w:rsidRDefault="00A87FFB" w:rsidP="00A87FFB">
            <w:pPr>
              <w:spacing w:after="0"/>
              <w:jc w:val="center"/>
              <w:rPr>
                <w:rFonts w:eastAsia="Times New Roman" w:cs="Times New Roman"/>
                <w:b/>
                <w:bCs/>
                <w:sz w:val="20"/>
                <w:szCs w:val="20"/>
              </w:rPr>
            </w:pPr>
            <w:r w:rsidRPr="00A87FFB">
              <w:rPr>
                <w:rFonts w:eastAsia="Times New Roman" w:cs="Times New Roman"/>
                <w:b/>
                <w:bCs/>
                <w:sz w:val="20"/>
                <w:szCs w:val="20"/>
              </w:rPr>
              <w:t>2025</w:t>
            </w:r>
            <w:r w:rsidRPr="00A87FFB">
              <w:rPr>
                <w:rFonts w:eastAsia="Times New Roman" w:cs="Times New Roman"/>
                <w:b/>
                <w:bCs/>
                <w:sz w:val="20"/>
                <w:szCs w:val="20"/>
              </w:rPr>
              <w:br/>
              <w:t>Програма</w:t>
            </w:r>
          </w:p>
        </w:tc>
        <w:tc>
          <w:tcPr>
            <w:tcW w:w="1047" w:type="dxa"/>
            <w:vMerge w:val="restart"/>
            <w:tcBorders>
              <w:top w:val="single" w:sz="4" w:space="0" w:color="595959"/>
              <w:left w:val="nil"/>
              <w:bottom w:val="single" w:sz="4" w:space="0" w:color="000000"/>
              <w:right w:val="nil"/>
            </w:tcBorders>
            <w:shd w:val="clear" w:color="auto" w:fill="auto"/>
            <w:hideMark/>
          </w:tcPr>
          <w:p w14:paraId="09198466" w14:textId="77777777" w:rsidR="00A87FFB" w:rsidRPr="00A87FFB" w:rsidRDefault="00A87FFB" w:rsidP="00A87FFB">
            <w:pPr>
              <w:spacing w:after="0"/>
              <w:jc w:val="center"/>
              <w:rPr>
                <w:rFonts w:eastAsia="Times New Roman" w:cs="Times New Roman"/>
                <w:b/>
                <w:bCs/>
                <w:sz w:val="20"/>
                <w:szCs w:val="20"/>
              </w:rPr>
            </w:pPr>
            <w:r w:rsidRPr="00A87FFB">
              <w:rPr>
                <w:rFonts w:eastAsia="Times New Roman" w:cs="Times New Roman"/>
                <w:b/>
                <w:bCs/>
                <w:sz w:val="20"/>
                <w:szCs w:val="20"/>
              </w:rPr>
              <w:t>2025</w:t>
            </w:r>
            <w:r w:rsidRPr="00A87FFB">
              <w:rPr>
                <w:rFonts w:eastAsia="Times New Roman" w:cs="Times New Roman"/>
                <w:b/>
                <w:bCs/>
                <w:sz w:val="20"/>
                <w:szCs w:val="20"/>
              </w:rPr>
              <w:br/>
              <w:t>Очаквано</w:t>
            </w:r>
          </w:p>
        </w:tc>
        <w:tc>
          <w:tcPr>
            <w:tcW w:w="1000" w:type="dxa"/>
            <w:vMerge w:val="restart"/>
            <w:tcBorders>
              <w:top w:val="single" w:sz="4" w:space="0" w:color="595959"/>
              <w:left w:val="nil"/>
              <w:bottom w:val="single" w:sz="4" w:space="0" w:color="000000"/>
              <w:right w:val="nil"/>
            </w:tcBorders>
            <w:shd w:val="clear" w:color="auto" w:fill="auto"/>
            <w:hideMark/>
          </w:tcPr>
          <w:p w14:paraId="32F8E5E4" w14:textId="77777777" w:rsidR="00A87FFB" w:rsidRPr="00A87FFB" w:rsidRDefault="00A87FFB" w:rsidP="00A87FFB">
            <w:pPr>
              <w:spacing w:after="0"/>
              <w:jc w:val="center"/>
              <w:rPr>
                <w:rFonts w:eastAsia="Times New Roman" w:cs="Times New Roman"/>
                <w:b/>
                <w:bCs/>
                <w:sz w:val="20"/>
                <w:szCs w:val="20"/>
              </w:rPr>
            </w:pPr>
            <w:r w:rsidRPr="00A87FFB">
              <w:rPr>
                <w:rFonts w:eastAsia="Times New Roman" w:cs="Times New Roman"/>
                <w:b/>
                <w:bCs/>
                <w:sz w:val="20"/>
                <w:szCs w:val="20"/>
              </w:rPr>
              <w:t>2026</w:t>
            </w:r>
            <w:r w:rsidRPr="00A87FFB">
              <w:rPr>
                <w:rFonts w:eastAsia="Times New Roman" w:cs="Times New Roman"/>
                <w:b/>
                <w:bCs/>
                <w:sz w:val="20"/>
                <w:szCs w:val="20"/>
              </w:rPr>
              <w:br/>
              <w:t>Проект</w:t>
            </w:r>
          </w:p>
        </w:tc>
        <w:tc>
          <w:tcPr>
            <w:tcW w:w="994" w:type="dxa"/>
            <w:vMerge w:val="restart"/>
            <w:tcBorders>
              <w:top w:val="single" w:sz="4" w:space="0" w:color="595959"/>
              <w:left w:val="nil"/>
              <w:bottom w:val="single" w:sz="4" w:space="0" w:color="000000"/>
              <w:right w:val="nil"/>
            </w:tcBorders>
            <w:shd w:val="clear" w:color="auto" w:fill="auto"/>
            <w:hideMark/>
          </w:tcPr>
          <w:p w14:paraId="11983572" w14:textId="77777777" w:rsidR="00A87FFB" w:rsidRPr="00A87FFB" w:rsidRDefault="00A87FFB" w:rsidP="00A87FFB">
            <w:pPr>
              <w:spacing w:after="0"/>
              <w:jc w:val="center"/>
              <w:rPr>
                <w:rFonts w:eastAsia="Times New Roman" w:cs="Times New Roman"/>
                <w:b/>
                <w:bCs/>
                <w:sz w:val="20"/>
                <w:szCs w:val="20"/>
              </w:rPr>
            </w:pPr>
            <w:r w:rsidRPr="00A87FFB">
              <w:rPr>
                <w:rFonts w:eastAsia="Times New Roman" w:cs="Times New Roman"/>
                <w:b/>
                <w:bCs/>
                <w:sz w:val="20"/>
                <w:szCs w:val="20"/>
              </w:rPr>
              <w:t>2027</w:t>
            </w:r>
            <w:r w:rsidRPr="00A87FFB">
              <w:rPr>
                <w:rFonts w:eastAsia="Times New Roman" w:cs="Times New Roman"/>
                <w:b/>
                <w:bCs/>
                <w:sz w:val="20"/>
                <w:szCs w:val="20"/>
              </w:rPr>
              <w:br/>
              <w:t>Прогноза</w:t>
            </w:r>
          </w:p>
        </w:tc>
        <w:tc>
          <w:tcPr>
            <w:tcW w:w="1000" w:type="dxa"/>
            <w:vMerge w:val="restart"/>
            <w:tcBorders>
              <w:top w:val="single" w:sz="4" w:space="0" w:color="595959"/>
              <w:left w:val="nil"/>
              <w:bottom w:val="single" w:sz="4" w:space="0" w:color="000000"/>
              <w:right w:val="nil"/>
            </w:tcBorders>
            <w:shd w:val="clear" w:color="auto" w:fill="auto"/>
            <w:hideMark/>
          </w:tcPr>
          <w:p w14:paraId="1747132F" w14:textId="77777777" w:rsidR="00A87FFB" w:rsidRPr="00A87FFB" w:rsidRDefault="00A87FFB" w:rsidP="00A87FFB">
            <w:pPr>
              <w:spacing w:after="0"/>
              <w:jc w:val="center"/>
              <w:rPr>
                <w:rFonts w:eastAsia="Times New Roman" w:cs="Times New Roman"/>
                <w:b/>
                <w:bCs/>
                <w:sz w:val="20"/>
                <w:szCs w:val="20"/>
              </w:rPr>
            </w:pPr>
            <w:r w:rsidRPr="00A87FFB">
              <w:rPr>
                <w:rFonts w:eastAsia="Times New Roman" w:cs="Times New Roman"/>
                <w:b/>
                <w:bCs/>
                <w:sz w:val="20"/>
                <w:szCs w:val="20"/>
              </w:rPr>
              <w:t>2028</w:t>
            </w:r>
            <w:r w:rsidRPr="00A87FFB">
              <w:rPr>
                <w:rFonts w:eastAsia="Times New Roman" w:cs="Times New Roman"/>
                <w:b/>
                <w:bCs/>
                <w:sz w:val="20"/>
                <w:szCs w:val="20"/>
              </w:rPr>
              <w:br/>
              <w:t>Прогноза</w:t>
            </w:r>
          </w:p>
        </w:tc>
      </w:tr>
      <w:tr w:rsidR="00A87FFB" w:rsidRPr="00A87FFB" w14:paraId="37E07F87" w14:textId="77777777" w:rsidTr="00A87FFB">
        <w:trPr>
          <w:trHeight w:val="517"/>
        </w:trPr>
        <w:tc>
          <w:tcPr>
            <w:tcW w:w="3969" w:type="dxa"/>
            <w:vMerge/>
            <w:tcBorders>
              <w:top w:val="single" w:sz="4" w:space="0" w:color="595959"/>
              <w:left w:val="nil"/>
              <w:bottom w:val="single" w:sz="4" w:space="0" w:color="000000"/>
              <w:right w:val="nil"/>
            </w:tcBorders>
            <w:vAlign w:val="center"/>
            <w:hideMark/>
          </w:tcPr>
          <w:p w14:paraId="4E1FEF55" w14:textId="77777777" w:rsidR="00A87FFB" w:rsidRPr="00A87FFB" w:rsidRDefault="00A87FFB" w:rsidP="00A87FFB">
            <w:pPr>
              <w:spacing w:after="0"/>
              <w:jc w:val="left"/>
              <w:rPr>
                <w:rFonts w:eastAsia="Times New Roman" w:cs="Times New Roman"/>
                <w:b/>
                <w:bCs/>
                <w:sz w:val="20"/>
                <w:szCs w:val="20"/>
              </w:rPr>
            </w:pPr>
          </w:p>
        </w:tc>
        <w:tc>
          <w:tcPr>
            <w:tcW w:w="1046" w:type="dxa"/>
            <w:vMerge/>
            <w:tcBorders>
              <w:top w:val="single" w:sz="4" w:space="0" w:color="595959"/>
              <w:left w:val="nil"/>
              <w:bottom w:val="single" w:sz="4" w:space="0" w:color="000000"/>
              <w:right w:val="nil"/>
            </w:tcBorders>
            <w:vAlign w:val="center"/>
            <w:hideMark/>
          </w:tcPr>
          <w:p w14:paraId="3A2D6632" w14:textId="77777777" w:rsidR="00A87FFB" w:rsidRPr="00A87FFB" w:rsidRDefault="00A87FFB" w:rsidP="00A87FFB">
            <w:pPr>
              <w:spacing w:after="0"/>
              <w:jc w:val="left"/>
              <w:rPr>
                <w:rFonts w:eastAsia="Times New Roman" w:cs="Times New Roman"/>
                <w:b/>
                <w:bCs/>
                <w:sz w:val="20"/>
                <w:szCs w:val="20"/>
              </w:rPr>
            </w:pPr>
          </w:p>
        </w:tc>
        <w:tc>
          <w:tcPr>
            <w:tcW w:w="1047" w:type="dxa"/>
            <w:vMerge/>
            <w:tcBorders>
              <w:top w:val="single" w:sz="4" w:space="0" w:color="595959"/>
              <w:left w:val="nil"/>
              <w:bottom w:val="single" w:sz="4" w:space="0" w:color="000000"/>
              <w:right w:val="nil"/>
            </w:tcBorders>
            <w:vAlign w:val="center"/>
            <w:hideMark/>
          </w:tcPr>
          <w:p w14:paraId="7AB66F97" w14:textId="77777777" w:rsidR="00A87FFB" w:rsidRPr="00A87FFB" w:rsidRDefault="00A87FFB" w:rsidP="00A87FFB">
            <w:pPr>
              <w:spacing w:after="0"/>
              <w:jc w:val="left"/>
              <w:rPr>
                <w:rFonts w:eastAsia="Times New Roman" w:cs="Times New Roman"/>
                <w:b/>
                <w:bCs/>
                <w:sz w:val="20"/>
                <w:szCs w:val="20"/>
              </w:rPr>
            </w:pPr>
          </w:p>
        </w:tc>
        <w:tc>
          <w:tcPr>
            <w:tcW w:w="1000" w:type="dxa"/>
            <w:vMerge/>
            <w:tcBorders>
              <w:top w:val="single" w:sz="4" w:space="0" w:color="595959"/>
              <w:left w:val="nil"/>
              <w:bottom w:val="single" w:sz="4" w:space="0" w:color="000000"/>
              <w:right w:val="nil"/>
            </w:tcBorders>
            <w:vAlign w:val="center"/>
            <w:hideMark/>
          </w:tcPr>
          <w:p w14:paraId="43E3F57B" w14:textId="77777777" w:rsidR="00A87FFB" w:rsidRPr="00A87FFB" w:rsidRDefault="00A87FFB" w:rsidP="00A87FFB">
            <w:pPr>
              <w:spacing w:after="0"/>
              <w:jc w:val="left"/>
              <w:rPr>
                <w:rFonts w:eastAsia="Times New Roman" w:cs="Times New Roman"/>
                <w:b/>
                <w:bCs/>
                <w:sz w:val="20"/>
                <w:szCs w:val="20"/>
              </w:rPr>
            </w:pPr>
          </w:p>
        </w:tc>
        <w:tc>
          <w:tcPr>
            <w:tcW w:w="994" w:type="dxa"/>
            <w:vMerge/>
            <w:tcBorders>
              <w:top w:val="single" w:sz="4" w:space="0" w:color="595959"/>
              <w:left w:val="nil"/>
              <w:bottom w:val="single" w:sz="4" w:space="0" w:color="000000"/>
              <w:right w:val="nil"/>
            </w:tcBorders>
            <w:vAlign w:val="center"/>
            <w:hideMark/>
          </w:tcPr>
          <w:p w14:paraId="1B4D52D1" w14:textId="77777777" w:rsidR="00A87FFB" w:rsidRPr="00A87FFB" w:rsidRDefault="00A87FFB" w:rsidP="00A87FFB">
            <w:pPr>
              <w:spacing w:after="0"/>
              <w:jc w:val="left"/>
              <w:rPr>
                <w:rFonts w:eastAsia="Times New Roman" w:cs="Times New Roman"/>
                <w:b/>
                <w:bCs/>
                <w:sz w:val="20"/>
                <w:szCs w:val="20"/>
              </w:rPr>
            </w:pPr>
          </w:p>
        </w:tc>
        <w:tc>
          <w:tcPr>
            <w:tcW w:w="1000" w:type="dxa"/>
            <w:vMerge/>
            <w:tcBorders>
              <w:top w:val="single" w:sz="4" w:space="0" w:color="595959"/>
              <w:left w:val="nil"/>
              <w:bottom w:val="single" w:sz="4" w:space="0" w:color="000000"/>
              <w:right w:val="nil"/>
            </w:tcBorders>
            <w:vAlign w:val="center"/>
            <w:hideMark/>
          </w:tcPr>
          <w:p w14:paraId="006EDB52" w14:textId="77777777" w:rsidR="00A87FFB" w:rsidRPr="00A87FFB" w:rsidRDefault="00A87FFB" w:rsidP="00A87FFB">
            <w:pPr>
              <w:spacing w:after="0"/>
              <w:jc w:val="left"/>
              <w:rPr>
                <w:rFonts w:eastAsia="Times New Roman" w:cs="Times New Roman"/>
                <w:b/>
                <w:bCs/>
                <w:sz w:val="20"/>
                <w:szCs w:val="20"/>
              </w:rPr>
            </w:pPr>
          </w:p>
        </w:tc>
      </w:tr>
      <w:tr w:rsidR="00A87FFB" w:rsidRPr="00A87FFB" w14:paraId="09E6A6AD" w14:textId="77777777" w:rsidTr="00A87FFB">
        <w:trPr>
          <w:trHeight w:val="517"/>
        </w:trPr>
        <w:tc>
          <w:tcPr>
            <w:tcW w:w="3969" w:type="dxa"/>
            <w:vMerge/>
            <w:tcBorders>
              <w:top w:val="single" w:sz="4" w:space="0" w:color="595959"/>
              <w:left w:val="nil"/>
              <w:bottom w:val="single" w:sz="4" w:space="0" w:color="000000"/>
              <w:right w:val="nil"/>
            </w:tcBorders>
            <w:vAlign w:val="center"/>
            <w:hideMark/>
          </w:tcPr>
          <w:p w14:paraId="3A89345D" w14:textId="77777777" w:rsidR="00A87FFB" w:rsidRPr="00A87FFB" w:rsidRDefault="00A87FFB" w:rsidP="00A87FFB">
            <w:pPr>
              <w:spacing w:after="0"/>
              <w:jc w:val="left"/>
              <w:rPr>
                <w:rFonts w:eastAsia="Times New Roman" w:cs="Times New Roman"/>
                <w:b/>
                <w:bCs/>
                <w:sz w:val="20"/>
                <w:szCs w:val="20"/>
              </w:rPr>
            </w:pPr>
          </w:p>
        </w:tc>
        <w:tc>
          <w:tcPr>
            <w:tcW w:w="1046" w:type="dxa"/>
            <w:vMerge/>
            <w:tcBorders>
              <w:top w:val="single" w:sz="4" w:space="0" w:color="595959"/>
              <w:left w:val="nil"/>
              <w:bottom w:val="single" w:sz="4" w:space="0" w:color="000000"/>
              <w:right w:val="nil"/>
            </w:tcBorders>
            <w:vAlign w:val="center"/>
            <w:hideMark/>
          </w:tcPr>
          <w:p w14:paraId="3CAA9C51" w14:textId="77777777" w:rsidR="00A87FFB" w:rsidRPr="00A87FFB" w:rsidRDefault="00A87FFB" w:rsidP="00A87FFB">
            <w:pPr>
              <w:spacing w:after="0"/>
              <w:jc w:val="left"/>
              <w:rPr>
                <w:rFonts w:eastAsia="Times New Roman" w:cs="Times New Roman"/>
                <w:b/>
                <w:bCs/>
                <w:sz w:val="20"/>
                <w:szCs w:val="20"/>
              </w:rPr>
            </w:pPr>
          </w:p>
        </w:tc>
        <w:tc>
          <w:tcPr>
            <w:tcW w:w="1047" w:type="dxa"/>
            <w:vMerge/>
            <w:tcBorders>
              <w:top w:val="single" w:sz="4" w:space="0" w:color="595959"/>
              <w:left w:val="nil"/>
              <w:bottom w:val="single" w:sz="4" w:space="0" w:color="000000"/>
              <w:right w:val="nil"/>
            </w:tcBorders>
            <w:vAlign w:val="center"/>
            <w:hideMark/>
          </w:tcPr>
          <w:p w14:paraId="783BA2AB" w14:textId="77777777" w:rsidR="00A87FFB" w:rsidRPr="00A87FFB" w:rsidRDefault="00A87FFB" w:rsidP="00A87FFB">
            <w:pPr>
              <w:spacing w:after="0"/>
              <w:jc w:val="left"/>
              <w:rPr>
                <w:rFonts w:eastAsia="Times New Roman" w:cs="Times New Roman"/>
                <w:b/>
                <w:bCs/>
                <w:sz w:val="20"/>
                <w:szCs w:val="20"/>
              </w:rPr>
            </w:pPr>
          </w:p>
        </w:tc>
        <w:tc>
          <w:tcPr>
            <w:tcW w:w="1000" w:type="dxa"/>
            <w:vMerge/>
            <w:tcBorders>
              <w:top w:val="single" w:sz="4" w:space="0" w:color="595959"/>
              <w:left w:val="nil"/>
              <w:bottom w:val="single" w:sz="4" w:space="0" w:color="000000"/>
              <w:right w:val="nil"/>
            </w:tcBorders>
            <w:vAlign w:val="center"/>
            <w:hideMark/>
          </w:tcPr>
          <w:p w14:paraId="22DC72C2" w14:textId="77777777" w:rsidR="00A87FFB" w:rsidRPr="00A87FFB" w:rsidRDefault="00A87FFB" w:rsidP="00A87FFB">
            <w:pPr>
              <w:spacing w:after="0"/>
              <w:jc w:val="left"/>
              <w:rPr>
                <w:rFonts w:eastAsia="Times New Roman" w:cs="Times New Roman"/>
                <w:b/>
                <w:bCs/>
                <w:sz w:val="20"/>
                <w:szCs w:val="20"/>
              </w:rPr>
            </w:pPr>
          </w:p>
        </w:tc>
        <w:tc>
          <w:tcPr>
            <w:tcW w:w="994" w:type="dxa"/>
            <w:vMerge/>
            <w:tcBorders>
              <w:top w:val="single" w:sz="4" w:space="0" w:color="595959"/>
              <w:left w:val="nil"/>
              <w:bottom w:val="single" w:sz="4" w:space="0" w:color="000000"/>
              <w:right w:val="nil"/>
            </w:tcBorders>
            <w:vAlign w:val="center"/>
            <w:hideMark/>
          </w:tcPr>
          <w:p w14:paraId="7E2B4108" w14:textId="77777777" w:rsidR="00A87FFB" w:rsidRPr="00A87FFB" w:rsidRDefault="00A87FFB" w:rsidP="00A87FFB">
            <w:pPr>
              <w:spacing w:after="0"/>
              <w:jc w:val="left"/>
              <w:rPr>
                <w:rFonts w:eastAsia="Times New Roman" w:cs="Times New Roman"/>
                <w:b/>
                <w:bCs/>
                <w:sz w:val="20"/>
                <w:szCs w:val="20"/>
              </w:rPr>
            </w:pPr>
          </w:p>
        </w:tc>
        <w:tc>
          <w:tcPr>
            <w:tcW w:w="1000" w:type="dxa"/>
            <w:vMerge/>
            <w:tcBorders>
              <w:top w:val="single" w:sz="4" w:space="0" w:color="595959"/>
              <w:left w:val="nil"/>
              <w:bottom w:val="single" w:sz="4" w:space="0" w:color="000000"/>
              <w:right w:val="nil"/>
            </w:tcBorders>
            <w:vAlign w:val="center"/>
            <w:hideMark/>
          </w:tcPr>
          <w:p w14:paraId="5C6AD7D3" w14:textId="77777777" w:rsidR="00A87FFB" w:rsidRPr="00A87FFB" w:rsidRDefault="00A87FFB" w:rsidP="00A87FFB">
            <w:pPr>
              <w:spacing w:after="0"/>
              <w:jc w:val="left"/>
              <w:rPr>
                <w:rFonts w:eastAsia="Times New Roman" w:cs="Times New Roman"/>
                <w:b/>
                <w:bCs/>
                <w:sz w:val="20"/>
                <w:szCs w:val="20"/>
              </w:rPr>
            </w:pPr>
          </w:p>
        </w:tc>
      </w:tr>
      <w:tr w:rsidR="00A87FFB" w:rsidRPr="00A87FFB" w14:paraId="54ABEC93" w14:textId="77777777" w:rsidTr="00A87FFB">
        <w:trPr>
          <w:trHeight w:val="270"/>
        </w:trPr>
        <w:tc>
          <w:tcPr>
            <w:tcW w:w="3969" w:type="dxa"/>
            <w:tcBorders>
              <w:top w:val="nil"/>
              <w:left w:val="nil"/>
              <w:bottom w:val="nil"/>
              <w:right w:val="nil"/>
            </w:tcBorders>
            <w:shd w:val="clear" w:color="auto" w:fill="auto"/>
            <w:vAlign w:val="center"/>
            <w:hideMark/>
          </w:tcPr>
          <w:p w14:paraId="7094F956" w14:textId="77777777" w:rsidR="00A87FFB" w:rsidRPr="00A87FFB" w:rsidRDefault="00A87FFB" w:rsidP="00A87FFB">
            <w:pPr>
              <w:spacing w:after="0"/>
              <w:jc w:val="left"/>
              <w:rPr>
                <w:rFonts w:eastAsia="Times New Roman" w:cs="Times New Roman"/>
                <w:b/>
                <w:bCs/>
                <w:color w:val="000000"/>
                <w:sz w:val="18"/>
                <w:szCs w:val="18"/>
              </w:rPr>
            </w:pPr>
            <w:r w:rsidRPr="00A87FFB">
              <w:rPr>
                <w:rFonts w:eastAsia="Times New Roman" w:cs="Times New Roman"/>
                <w:b/>
                <w:bCs/>
                <w:color w:val="000000"/>
                <w:sz w:val="18"/>
                <w:szCs w:val="18"/>
              </w:rPr>
              <w:t>ПРИХОДИ, ПОМОЩИ И ДАРЕНИЯ</w:t>
            </w:r>
          </w:p>
        </w:tc>
        <w:tc>
          <w:tcPr>
            <w:tcW w:w="1046" w:type="dxa"/>
            <w:tcBorders>
              <w:top w:val="nil"/>
              <w:left w:val="nil"/>
              <w:bottom w:val="nil"/>
              <w:right w:val="nil"/>
            </w:tcBorders>
            <w:shd w:val="clear" w:color="auto" w:fill="auto"/>
            <w:noWrap/>
            <w:vAlign w:val="center"/>
            <w:hideMark/>
          </w:tcPr>
          <w:p w14:paraId="1E2E44D1"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42 372,7</w:t>
            </w:r>
          </w:p>
        </w:tc>
        <w:tc>
          <w:tcPr>
            <w:tcW w:w="1047" w:type="dxa"/>
            <w:tcBorders>
              <w:top w:val="nil"/>
              <w:left w:val="nil"/>
              <w:bottom w:val="nil"/>
              <w:right w:val="nil"/>
            </w:tcBorders>
            <w:shd w:val="clear" w:color="auto" w:fill="auto"/>
            <w:noWrap/>
            <w:vAlign w:val="center"/>
            <w:hideMark/>
          </w:tcPr>
          <w:p w14:paraId="7012C10B"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41 031,9</w:t>
            </w:r>
          </w:p>
        </w:tc>
        <w:tc>
          <w:tcPr>
            <w:tcW w:w="1000" w:type="dxa"/>
            <w:tcBorders>
              <w:top w:val="nil"/>
              <w:left w:val="nil"/>
              <w:bottom w:val="nil"/>
              <w:right w:val="nil"/>
            </w:tcBorders>
            <w:shd w:val="clear" w:color="auto" w:fill="auto"/>
            <w:noWrap/>
            <w:vAlign w:val="center"/>
            <w:hideMark/>
          </w:tcPr>
          <w:p w14:paraId="1A84A8E7"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46 304,4</w:t>
            </w:r>
          </w:p>
        </w:tc>
        <w:tc>
          <w:tcPr>
            <w:tcW w:w="994" w:type="dxa"/>
            <w:tcBorders>
              <w:top w:val="nil"/>
              <w:left w:val="nil"/>
              <w:bottom w:val="nil"/>
              <w:right w:val="nil"/>
            </w:tcBorders>
            <w:shd w:val="clear" w:color="auto" w:fill="auto"/>
            <w:noWrap/>
            <w:vAlign w:val="center"/>
            <w:hideMark/>
          </w:tcPr>
          <w:p w14:paraId="6E505A97"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48 400,3</w:t>
            </w:r>
          </w:p>
        </w:tc>
        <w:tc>
          <w:tcPr>
            <w:tcW w:w="1000" w:type="dxa"/>
            <w:tcBorders>
              <w:top w:val="nil"/>
              <w:left w:val="nil"/>
              <w:bottom w:val="nil"/>
              <w:right w:val="nil"/>
            </w:tcBorders>
            <w:shd w:val="clear" w:color="auto" w:fill="auto"/>
            <w:noWrap/>
            <w:vAlign w:val="center"/>
            <w:hideMark/>
          </w:tcPr>
          <w:p w14:paraId="1BB0474C"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51 157,0</w:t>
            </w:r>
          </w:p>
        </w:tc>
      </w:tr>
      <w:tr w:rsidR="00A87FFB" w:rsidRPr="00A87FFB" w14:paraId="62A77E55" w14:textId="77777777" w:rsidTr="00A87FFB">
        <w:trPr>
          <w:trHeight w:val="240"/>
        </w:trPr>
        <w:tc>
          <w:tcPr>
            <w:tcW w:w="3969" w:type="dxa"/>
            <w:tcBorders>
              <w:top w:val="nil"/>
              <w:left w:val="nil"/>
              <w:bottom w:val="nil"/>
              <w:right w:val="nil"/>
            </w:tcBorders>
            <w:shd w:val="clear" w:color="auto" w:fill="auto"/>
            <w:vAlign w:val="center"/>
            <w:hideMark/>
          </w:tcPr>
          <w:p w14:paraId="629FA58E"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 от БВП</w:t>
            </w:r>
          </w:p>
        </w:tc>
        <w:tc>
          <w:tcPr>
            <w:tcW w:w="1046" w:type="dxa"/>
            <w:tcBorders>
              <w:top w:val="nil"/>
              <w:left w:val="nil"/>
              <w:bottom w:val="nil"/>
              <w:right w:val="nil"/>
            </w:tcBorders>
            <w:shd w:val="clear" w:color="auto" w:fill="auto"/>
            <w:noWrap/>
            <w:vAlign w:val="center"/>
            <w:hideMark/>
          </w:tcPr>
          <w:p w14:paraId="219F36D8"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38,5%</w:t>
            </w:r>
          </w:p>
        </w:tc>
        <w:tc>
          <w:tcPr>
            <w:tcW w:w="1047" w:type="dxa"/>
            <w:tcBorders>
              <w:top w:val="nil"/>
              <w:left w:val="nil"/>
              <w:bottom w:val="nil"/>
              <w:right w:val="nil"/>
            </w:tcBorders>
            <w:shd w:val="clear" w:color="auto" w:fill="auto"/>
            <w:noWrap/>
            <w:vAlign w:val="center"/>
            <w:hideMark/>
          </w:tcPr>
          <w:p w14:paraId="7407B26A"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36,3%</w:t>
            </w:r>
          </w:p>
        </w:tc>
        <w:tc>
          <w:tcPr>
            <w:tcW w:w="1000" w:type="dxa"/>
            <w:tcBorders>
              <w:top w:val="nil"/>
              <w:left w:val="nil"/>
              <w:bottom w:val="nil"/>
              <w:right w:val="nil"/>
            </w:tcBorders>
            <w:shd w:val="clear" w:color="auto" w:fill="auto"/>
            <w:noWrap/>
            <w:vAlign w:val="center"/>
            <w:hideMark/>
          </w:tcPr>
          <w:p w14:paraId="66548451"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38,5%</w:t>
            </w:r>
          </w:p>
        </w:tc>
        <w:tc>
          <w:tcPr>
            <w:tcW w:w="994" w:type="dxa"/>
            <w:tcBorders>
              <w:top w:val="nil"/>
              <w:left w:val="nil"/>
              <w:bottom w:val="nil"/>
              <w:right w:val="nil"/>
            </w:tcBorders>
            <w:shd w:val="clear" w:color="auto" w:fill="auto"/>
            <w:noWrap/>
            <w:vAlign w:val="center"/>
            <w:hideMark/>
          </w:tcPr>
          <w:p w14:paraId="53650259"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38,1%</w:t>
            </w:r>
          </w:p>
        </w:tc>
        <w:tc>
          <w:tcPr>
            <w:tcW w:w="1000" w:type="dxa"/>
            <w:tcBorders>
              <w:top w:val="nil"/>
              <w:left w:val="nil"/>
              <w:bottom w:val="nil"/>
              <w:right w:val="nil"/>
            </w:tcBorders>
            <w:shd w:val="clear" w:color="auto" w:fill="auto"/>
            <w:noWrap/>
            <w:vAlign w:val="center"/>
            <w:hideMark/>
          </w:tcPr>
          <w:p w14:paraId="6517F1E3"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38,3%</w:t>
            </w:r>
          </w:p>
        </w:tc>
      </w:tr>
      <w:tr w:rsidR="00A87FFB" w:rsidRPr="00A87FFB" w14:paraId="289FE909" w14:textId="77777777" w:rsidTr="00A87FFB">
        <w:trPr>
          <w:trHeight w:val="240"/>
        </w:trPr>
        <w:tc>
          <w:tcPr>
            <w:tcW w:w="3969" w:type="dxa"/>
            <w:tcBorders>
              <w:top w:val="nil"/>
              <w:left w:val="nil"/>
              <w:bottom w:val="nil"/>
              <w:right w:val="nil"/>
            </w:tcBorders>
            <w:shd w:val="clear" w:color="auto" w:fill="auto"/>
            <w:vAlign w:val="center"/>
            <w:hideMark/>
          </w:tcPr>
          <w:p w14:paraId="4EA68029" w14:textId="77777777" w:rsidR="00A87FFB" w:rsidRPr="00A87FFB" w:rsidRDefault="00A87FFB" w:rsidP="00A87FFB">
            <w:pPr>
              <w:spacing w:after="0"/>
              <w:ind w:firstLineChars="100" w:firstLine="180"/>
              <w:jc w:val="left"/>
              <w:rPr>
                <w:rFonts w:eastAsia="Times New Roman" w:cs="Times New Roman"/>
                <w:color w:val="000000"/>
                <w:sz w:val="18"/>
                <w:szCs w:val="18"/>
              </w:rPr>
            </w:pPr>
            <w:r w:rsidRPr="00A87FFB">
              <w:rPr>
                <w:rFonts w:eastAsia="Times New Roman" w:cs="Times New Roman"/>
                <w:color w:val="000000"/>
                <w:sz w:val="18"/>
                <w:szCs w:val="18"/>
              </w:rPr>
              <w:t>Данъчно-осигурителни приходи</w:t>
            </w:r>
          </w:p>
        </w:tc>
        <w:tc>
          <w:tcPr>
            <w:tcW w:w="1046" w:type="dxa"/>
            <w:tcBorders>
              <w:top w:val="nil"/>
              <w:left w:val="nil"/>
              <w:bottom w:val="nil"/>
              <w:right w:val="nil"/>
            </w:tcBorders>
            <w:shd w:val="clear" w:color="auto" w:fill="auto"/>
            <w:noWrap/>
            <w:vAlign w:val="center"/>
            <w:hideMark/>
          </w:tcPr>
          <w:p w14:paraId="648F7358"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36 221,5</w:t>
            </w:r>
          </w:p>
        </w:tc>
        <w:tc>
          <w:tcPr>
            <w:tcW w:w="1047" w:type="dxa"/>
            <w:tcBorders>
              <w:top w:val="nil"/>
              <w:left w:val="nil"/>
              <w:bottom w:val="nil"/>
              <w:right w:val="nil"/>
            </w:tcBorders>
            <w:shd w:val="clear" w:color="auto" w:fill="auto"/>
            <w:noWrap/>
            <w:vAlign w:val="center"/>
            <w:hideMark/>
          </w:tcPr>
          <w:p w14:paraId="6E48D7A0"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34 781,2</w:t>
            </w:r>
          </w:p>
        </w:tc>
        <w:tc>
          <w:tcPr>
            <w:tcW w:w="1000" w:type="dxa"/>
            <w:tcBorders>
              <w:top w:val="nil"/>
              <w:left w:val="nil"/>
              <w:bottom w:val="nil"/>
              <w:right w:val="nil"/>
            </w:tcBorders>
            <w:shd w:val="clear" w:color="auto" w:fill="auto"/>
            <w:noWrap/>
            <w:vAlign w:val="center"/>
            <w:hideMark/>
          </w:tcPr>
          <w:p w14:paraId="7B84FB19"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40 482,0</w:t>
            </w:r>
          </w:p>
        </w:tc>
        <w:tc>
          <w:tcPr>
            <w:tcW w:w="994" w:type="dxa"/>
            <w:tcBorders>
              <w:top w:val="nil"/>
              <w:left w:val="nil"/>
              <w:bottom w:val="nil"/>
              <w:right w:val="nil"/>
            </w:tcBorders>
            <w:shd w:val="clear" w:color="auto" w:fill="auto"/>
            <w:noWrap/>
            <w:vAlign w:val="center"/>
            <w:hideMark/>
          </w:tcPr>
          <w:p w14:paraId="37A1F687"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42 706,5</w:t>
            </w:r>
          </w:p>
        </w:tc>
        <w:tc>
          <w:tcPr>
            <w:tcW w:w="1000" w:type="dxa"/>
            <w:tcBorders>
              <w:top w:val="nil"/>
              <w:left w:val="nil"/>
              <w:bottom w:val="nil"/>
              <w:right w:val="nil"/>
            </w:tcBorders>
            <w:shd w:val="clear" w:color="auto" w:fill="auto"/>
            <w:noWrap/>
            <w:vAlign w:val="center"/>
            <w:hideMark/>
          </w:tcPr>
          <w:p w14:paraId="5B7B6A0A"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45 451,4</w:t>
            </w:r>
          </w:p>
        </w:tc>
      </w:tr>
      <w:tr w:rsidR="00A87FFB" w:rsidRPr="00A87FFB" w14:paraId="335CC890" w14:textId="77777777" w:rsidTr="00A87FFB">
        <w:trPr>
          <w:trHeight w:val="225"/>
        </w:trPr>
        <w:tc>
          <w:tcPr>
            <w:tcW w:w="3969" w:type="dxa"/>
            <w:tcBorders>
              <w:top w:val="nil"/>
              <w:left w:val="nil"/>
              <w:bottom w:val="nil"/>
              <w:right w:val="nil"/>
            </w:tcBorders>
            <w:shd w:val="clear" w:color="auto" w:fill="auto"/>
            <w:vAlign w:val="center"/>
            <w:hideMark/>
          </w:tcPr>
          <w:p w14:paraId="19BBCB39" w14:textId="77777777" w:rsidR="00A87FFB" w:rsidRPr="00A87FFB" w:rsidRDefault="00A87FFB" w:rsidP="00A87FFB">
            <w:pPr>
              <w:spacing w:after="0"/>
              <w:ind w:firstLineChars="100" w:firstLine="180"/>
              <w:jc w:val="left"/>
              <w:rPr>
                <w:rFonts w:eastAsia="Times New Roman" w:cs="Times New Roman"/>
                <w:color w:val="000000"/>
                <w:sz w:val="18"/>
                <w:szCs w:val="18"/>
              </w:rPr>
            </w:pPr>
            <w:r w:rsidRPr="00A87FFB">
              <w:rPr>
                <w:rFonts w:eastAsia="Times New Roman" w:cs="Times New Roman"/>
                <w:color w:val="000000"/>
                <w:sz w:val="18"/>
                <w:szCs w:val="18"/>
              </w:rPr>
              <w:t>Неданъчни приходи</w:t>
            </w:r>
          </w:p>
        </w:tc>
        <w:tc>
          <w:tcPr>
            <w:tcW w:w="1046" w:type="dxa"/>
            <w:tcBorders>
              <w:top w:val="nil"/>
              <w:left w:val="nil"/>
              <w:bottom w:val="nil"/>
              <w:right w:val="nil"/>
            </w:tcBorders>
            <w:shd w:val="clear" w:color="auto" w:fill="auto"/>
            <w:noWrap/>
            <w:vAlign w:val="center"/>
            <w:hideMark/>
          </w:tcPr>
          <w:p w14:paraId="54701216"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6 129,7</w:t>
            </w:r>
          </w:p>
        </w:tc>
        <w:tc>
          <w:tcPr>
            <w:tcW w:w="1047" w:type="dxa"/>
            <w:tcBorders>
              <w:top w:val="nil"/>
              <w:left w:val="nil"/>
              <w:bottom w:val="nil"/>
              <w:right w:val="nil"/>
            </w:tcBorders>
            <w:shd w:val="clear" w:color="auto" w:fill="auto"/>
            <w:noWrap/>
            <w:vAlign w:val="center"/>
            <w:hideMark/>
          </w:tcPr>
          <w:p w14:paraId="6A72C1A9"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6 046,0</w:t>
            </w:r>
          </w:p>
        </w:tc>
        <w:tc>
          <w:tcPr>
            <w:tcW w:w="1000" w:type="dxa"/>
            <w:tcBorders>
              <w:top w:val="nil"/>
              <w:left w:val="nil"/>
              <w:bottom w:val="nil"/>
              <w:right w:val="nil"/>
            </w:tcBorders>
            <w:shd w:val="clear" w:color="auto" w:fill="auto"/>
            <w:noWrap/>
            <w:vAlign w:val="center"/>
            <w:hideMark/>
          </w:tcPr>
          <w:p w14:paraId="4F7C7145"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5 800,8</w:t>
            </w:r>
          </w:p>
        </w:tc>
        <w:tc>
          <w:tcPr>
            <w:tcW w:w="994" w:type="dxa"/>
            <w:tcBorders>
              <w:top w:val="nil"/>
              <w:left w:val="nil"/>
              <w:bottom w:val="nil"/>
              <w:right w:val="nil"/>
            </w:tcBorders>
            <w:shd w:val="clear" w:color="auto" w:fill="auto"/>
            <w:noWrap/>
            <w:vAlign w:val="center"/>
            <w:hideMark/>
          </w:tcPr>
          <w:p w14:paraId="74124E16"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5 672,2</w:t>
            </w:r>
          </w:p>
        </w:tc>
        <w:tc>
          <w:tcPr>
            <w:tcW w:w="1000" w:type="dxa"/>
            <w:tcBorders>
              <w:top w:val="nil"/>
              <w:left w:val="nil"/>
              <w:bottom w:val="nil"/>
              <w:right w:val="nil"/>
            </w:tcBorders>
            <w:shd w:val="clear" w:color="auto" w:fill="auto"/>
            <w:noWrap/>
            <w:vAlign w:val="center"/>
            <w:hideMark/>
          </w:tcPr>
          <w:p w14:paraId="7D4AA304"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5 684,1</w:t>
            </w:r>
          </w:p>
        </w:tc>
      </w:tr>
      <w:tr w:rsidR="00A87FFB" w:rsidRPr="00A87FFB" w14:paraId="4168EFA6" w14:textId="77777777" w:rsidTr="00A87FFB">
        <w:trPr>
          <w:trHeight w:val="240"/>
        </w:trPr>
        <w:tc>
          <w:tcPr>
            <w:tcW w:w="3969" w:type="dxa"/>
            <w:tcBorders>
              <w:top w:val="nil"/>
              <w:left w:val="nil"/>
              <w:bottom w:val="nil"/>
              <w:right w:val="nil"/>
            </w:tcBorders>
            <w:shd w:val="clear" w:color="auto" w:fill="auto"/>
            <w:vAlign w:val="center"/>
            <w:hideMark/>
          </w:tcPr>
          <w:p w14:paraId="09871CC0" w14:textId="77777777" w:rsidR="00A87FFB" w:rsidRPr="00A87FFB" w:rsidRDefault="00A87FFB" w:rsidP="00A87FFB">
            <w:pPr>
              <w:spacing w:after="0"/>
              <w:ind w:firstLineChars="100" w:firstLine="180"/>
              <w:jc w:val="left"/>
              <w:rPr>
                <w:rFonts w:eastAsia="Times New Roman" w:cs="Times New Roman"/>
                <w:color w:val="000000"/>
                <w:sz w:val="18"/>
                <w:szCs w:val="18"/>
              </w:rPr>
            </w:pPr>
            <w:r w:rsidRPr="00A87FFB">
              <w:rPr>
                <w:rFonts w:eastAsia="Times New Roman" w:cs="Times New Roman"/>
                <w:color w:val="000000"/>
                <w:sz w:val="18"/>
                <w:szCs w:val="18"/>
              </w:rPr>
              <w:t>Помощи и дарения</w:t>
            </w:r>
          </w:p>
        </w:tc>
        <w:tc>
          <w:tcPr>
            <w:tcW w:w="1046" w:type="dxa"/>
            <w:tcBorders>
              <w:top w:val="nil"/>
              <w:left w:val="nil"/>
              <w:bottom w:val="nil"/>
              <w:right w:val="nil"/>
            </w:tcBorders>
            <w:shd w:val="clear" w:color="auto" w:fill="auto"/>
            <w:noWrap/>
            <w:vAlign w:val="center"/>
            <w:hideMark/>
          </w:tcPr>
          <w:p w14:paraId="1F669C76"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21,4</w:t>
            </w:r>
          </w:p>
        </w:tc>
        <w:tc>
          <w:tcPr>
            <w:tcW w:w="1047" w:type="dxa"/>
            <w:tcBorders>
              <w:top w:val="nil"/>
              <w:left w:val="nil"/>
              <w:bottom w:val="nil"/>
              <w:right w:val="nil"/>
            </w:tcBorders>
            <w:shd w:val="clear" w:color="auto" w:fill="auto"/>
            <w:noWrap/>
            <w:vAlign w:val="center"/>
            <w:hideMark/>
          </w:tcPr>
          <w:p w14:paraId="3E8D22E0"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204,6</w:t>
            </w:r>
          </w:p>
        </w:tc>
        <w:tc>
          <w:tcPr>
            <w:tcW w:w="1000" w:type="dxa"/>
            <w:tcBorders>
              <w:top w:val="nil"/>
              <w:left w:val="nil"/>
              <w:bottom w:val="nil"/>
              <w:right w:val="nil"/>
            </w:tcBorders>
            <w:shd w:val="clear" w:color="auto" w:fill="auto"/>
            <w:noWrap/>
            <w:vAlign w:val="center"/>
            <w:hideMark/>
          </w:tcPr>
          <w:p w14:paraId="477FB435"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21,5</w:t>
            </w:r>
          </w:p>
        </w:tc>
        <w:tc>
          <w:tcPr>
            <w:tcW w:w="994" w:type="dxa"/>
            <w:tcBorders>
              <w:top w:val="nil"/>
              <w:left w:val="nil"/>
              <w:bottom w:val="nil"/>
              <w:right w:val="nil"/>
            </w:tcBorders>
            <w:shd w:val="clear" w:color="auto" w:fill="auto"/>
            <w:noWrap/>
            <w:vAlign w:val="center"/>
            <w:hideMark/>
          </w:tcPr>
          <w:p w14:paraId="09311E03"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21,5</w:t>
            </w:r>
          </w:p>
        </w:tc>
        <w:tc>
          <w:tcPr>
            <w:tcW w:w="1000" w:type="dxa"/>
            <w:tcBorders>
              <w:top w:val="nil"/>
              <w:left w:val="nil"/>
              <w:bottom w:val="nil"/>
              <w:right w:val="nil"/>
            </w:tcBorders>
            <w:shd w:val="clear" w:color="auto" w:fill="auto"/>
            <w:noWrap/>
            <w:vAlign w:val="center"/>
            <w:hideMark/>
          </w:tcPr>
          <w:p w14:paraId="3C591AE1"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21,5</w:t>
            </w:r>
          </w:p>
        </w:tc>
      </w:tr>
      <w:tr w:rsidR="00A87FFB" w:rsidRPr="00A87FFB" w14:paraId="25FF59D6" w14:textId="77777777" w:rsidTr="00A87FFB">
        <w:trPr>
          <w:trHeight w:val="180"/>
        </w:trPr>
        <w:tc>
          <w:tcPr>
            <w:tcW w:w="3969" w:type="dxa"/>
            <w:tcBorders>
              <w:top w:val="nil"/>
              <w:left w:val="nil"/>
              <w:bottom w:val="nil"/>
              <w:right w:val="nil"/>
            </w:tcBorders>
            <w:shd w:val="clear" w:color="auto" w:fill="auto"/>
            <w:vAlign w:val="center"/>
            <w:hideMark/>
          </w:tcPr>
          <w:p w14:paraId="71BE78D6" w14:textId="77777777" w:rsidR="00A87FFB" w:rsidRPr="00A87FFB" w:rsidRDefault="00A87FFB" w:rsidP="00A87FFB">
            <w:pPr>
              <w:spacing w:after="0"/>
              <w:jc w:val="right"/>
              <w:rPr>
                <w:rFonts w:eastAsia="Times New Roman" w:cs="Times New Roman"/>
                <w:color w:val="000000"/>
                <w:sz w:val="18"/>
                <w:szCs w:val="18"/>
              </w:rPr>
            </w:pPr>
          </w:p>
        </w:tc>
        <w:tc>
          <w:tcPr>
            <w:tcW w:w="1046" w:type="dxa"/>
            <w:tcBorders>
              <w:top w:val="nil"/>
              <w:left w:val="nil"/>
              <w:bottom w:val="nil"/>
              <w:right w:val="nil"/>
            </w:tcBorders>
            <w:shd w:val="clear" w:color="auto" w:fill="auto"/>
            <w:noWrap/>
            <w:vAlign w:val="center"/>
            <w:hideMark/>
          </w:tcPr>
          <w:p w14:paraId="332E9929" w14:textId="77777777" w:rsidR="00A87FFB" w:rsidRPr="00A87FFB" w:rsidRDefault="00A87FFB" w:rsidP="00A87FFB">
            <w:pPr>
              <w:spacing w:after="0"/>
              <w:jc w:val="left"/>
              <w:rPr>
                <w:rFonts w:eastAsia="Times New Roman" w:cs="Times New Roman"/>
                <w:sz w:val="20"/>
                <w:szCs w:val="20"/>
              </w:rPr>
            </w:pPr>
          </w:p>
        </w:tc>
        <w:tc>
          <w:tcPr>
            <w:tcW w:w="1047" w:type="dxa"/>
            <w:tcBorders>
              <w:top w:val="nil"/>
              <w:left w:val="nil"/>
              <w:bottom w:val="nil"/>
              <w:right w:val="nil"/>
            </w:tcBorders>
            <w:shd w:val="clear" w:color="auto" w:fill="auto"/>
            <w:noWrap/>
            <w:vAlign w:val="center"/>
            <w:hideMark/>
          </w:tcPr>
          <w:p w14:paraId="1DB697A2"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00E3DE3F" w14:textId="77777777" w:rsidR="00A87FFB" w:rsidRPr="00A87FFB" w:rsidRDefault="00A87FFB" w:rsidP="00A87FFB">
            <w:pPr>
              <w:spacing w:after="0"/>
              <w:jc w:val="right"/>
              <w:rPr>
                <w:rFonts w:eastAsia="Times New Roman" w:cs="Times New Roman"/>
                <w:sz w:val="20"/>
                <w:szCs w:val="20"/>
              </w:rPr>
            </w:pPr>
          </w:p>
        </w:tc>
        <w:tc>
          <w:tcPr>
            <w:tcW w:w="994" w:type="dxa"/>
            <w:tcBorders>
              <w:top w:val="nil"/>
              <w:left w:val="nil"/>
              <w:bottom w:val="nil"/>
              <w:right w:val="nil"/>
            </w:tcBorders>
            <w:shd w:val="clear" w:color="auto" w:fill="auto"/>
            <w:noWrap/>
            <w:vAlign w:val="center"/>
            <w:hideMark/>
          </w:tcPr>
          <w:p w14:paraId="40D1D9CC"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4D9D48D1" w14:textId="77777777" w:rsidR="00A87FFB" w:rsidRPr="00A87FFB" w:rsidRDefault="00A87FFB" w:rsidP="00A87FFB">
            <w:pPr>
              <w:spacing w:after="0"/>
              <w:jc w:val="right"/>
              <w:rPr>
                <w:rFonts w:eastAsia="Times New Roman" w:cs="Times New Roman"/>
                <w:sz w:val="20"/>
                <w:szCs w:val="20"/>
              </w:rPr>
            </w:pPr>
          </w:p>
        </w:tc>
      </w:tr>
      <w:tr w:rsidR="00A87FFB" w:rsidRPr="00A87FFB" w14:paraId="48B13F41" w14:textId="77777777" w:rsidTr="00A87FFB">
        <w:trPr>
          <w:trHeight w:val="465"/>
        </w:trPr>
        <w:tc>
          <w:tcPr>
            <w:tcW w:w="3969" w:type="dxa"/>
            <w:tcBorders>
              <w:top w:val="nil"/>
              <w:left w:val="nil"/>
              <w:bottom w:val="nil"/>
              <w:right w:val="nil"/>
            </w:tcBorders>
            <w:shd w:val="clear" w:color="auto" w:fill="auto"/>
            <w:vAlign w:val="center"/>
            <w:hideMark/>
          </w:tcPr>
          <w:p w14:paraId="50262D66" w14:textId="77777777" w:rsidR="00A87FFB" w:rsidRPr="00A87FFB" w:rsidRDefault="00A87FFB" w:rsidP="00A87FFB">
            <w:pPr>
              <w:spacing w:after="0"/>
              <w:jc w:val="left"/>
              <w:rPr>
                <w:rFonts w:eastAsia="Times New Roman" w:cs="Times New Roman"/>
                <w:b/>
                <w:bCs/>
                <w:color w:val="000000"/>
                <w:sz w:val="18"/>
                <w:szCs w:val="18"/>
              </w:rPr>
            </w:pPr>
            <w:r w:rsidRPr="00A87FFB">
              <w:rPr>
                <w:rFonts w:eastAsia="Times New Roman" w:cs="Times New Roman"/>
                <w:b/>
                <w:bCs/>
                <w:color w:val="000000"/>
                <w:sz w:val="18"/>
                <w:szCs w:val="18"/>
              </w:rPr>
              <w:t xml:space="preserve">ОБЩО РАЗХОДИ И ВНОСКА В БЮДЖЕТА НА ЕС  </w:t>
            </w:r>
          </w:p>
        </w:tc>
        <w:tc>
          <w:tcPr>
            <w:tcW w:w="1046" w:type="dxa"/>
            <w:tcBorders>
              <w:top w:val="nil"/>
              <w:left w:val="nil"/>
              <w:bottom w:val="nil"/>
              <w:right w:val="nil"/>
            </w:tcBorders>
            <w:shd w:val="clear" w:color="auto" w:fill="auto"/>
            <w:noWrap/>
            <w:vAlign w:val="center"/>
            <w:hideMark/>
          </w:tcPr>
          <w:p w14:paraId="63A886E8"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44 026,8</w:t>
            </w:r>
          </w:p>
        </w:tc>
        <w:tc>
          <w:tcPr>
            <w:tcW w:w="1047" w:type="dxa"/>
            <w:tcBorders>
              <w:top w:val="nil"/>
              <w:left w:val="nil"/>
              <w:bottom w:val="nil"/>
              <w:right w:val="nil"/>
            </w:tcBorders>
            <w:shd w:val="clear" w:color="auto" w:fill="auto"/>
            <w:noWrap/>
            <w:vAlign w:val="center"/>
            <w:hideMark/>
          </w:tcPr>
          <w:p w14:paraId="534C5EDA"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43 633,1</w:t>
            </w:r>
          </w:p>
        </w:tc>
        <w:tc>
          <w:tcPr>
            <w:tcW w:w="1000" w:type="dxa"/>
            <w:tcBorders>
              <w:top w:val="nil"/>
              <w:left w:val="nil"/>
              <w:bottom w:val="nil"/>
              <w:right w:val="nil"/>
            </w:tcBorders>
            <w:shd w:val="clear" w:color="auto" w:fill="auto"/>
            <w:noWrap/>
            <w:vAlign w:val="center"/>
            <w:hideMark/>
          </w:tcPr>
          <w:p w14:paraId="33DFB29A"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48 244,8</w:t>
            </w:r>
          </w:p>
        </w:tc>
        <w:tc>
          <w:tcPr>
            <w:tcW w:w="994" w:type="dxa"/>
            <w:tcBorders>
              <w:top w:val="nil"/>
              <w:left w:val="nil"/>
              <w:bottom w:val="nil"/>
              <w:right w:val="nil"/>
            </w:tcBorders>
            <w:shd w:val="clear" w:color="auto" w:fill="auto"/>
            <w:noWrap/>
            <w:vAlign w:val="center"/>
            <w:hideMark/>
          </w:tcPr>
          <w:p w14:paraId="27D39CE2"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50 743,2</w:t>
            </w:r>
          </w:p>
        </w:tc>
        <w:tc>
          <w:tcPr>
            <w:tcW w:w="1000" w:type="dxa"/>
            <w:tcBorders>
              <w:top w:val="nil"/>
              <w:left w:val="nil"/>
              <w:bottom w:val="nil"/>
              <w:right w:val="nil"/>
            </w:tcBorders>
            <w:shd w:val="clear" w:color="auto" w:fill="auto"/>
            <w:noWrap/>
            <w:vAlign w:val="center"/>
            <w:hideMark/>
          </w:tcPr>
          <w:p w14:paraId="7C3642E5"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53 489,5</w:t>
            </w:r>
          </w:p>
        </w:tc>
      </w:tr>
      <w:tr w:rsidR="00A87FFB" w:rsidRPr="00A87FFB" w14:paraId="3DF5AE3C" w14:textId="77777777" w:rsidTr="00A87FFB">
        <w:trPr>
          <w:trHeight w:val="225"/>
        </w:trPr>
        <w:tc>
          <w:tcPr>
            <w:tcW w:w="3969" w:type="dxa"/>
            <w:tcBorders>
              <w:top w:val="nil"/>
              <w:left w:val="nil"/>
              <w:bottom w:val="nil"/>
              <w:right w:val="nil"/>
            </w:tcBorders>
            <w:shd w:val="clear" w:color="auto" w:fill="auto"/>
            <w:vAlign w:val="center"/>
            <w:hideMark/>
          </w:tcPr>
          <w:p w14:paraId="52D48863"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 от БВП</w:t>
            </w:r>
          </w:p>
        </w:tc>
        <w:tc>
          <w:tcPr>
            <w:tcW w:w="1046" w:type="dxa"/>
            <w:tcBorders>
              <w:top w:val="nil"/>
              <w:left w:val="nil"/>
              <w:bottom w:val="nil"/>
              <w:right w:val="nil"/>
            </w:tcBorders>
            <w:shd w:val="clear" w:color="auto" w:fill="auto"/>
            <w:noWrap/>
            <w:vAlign w:val="center"/>
            <w:hideMark/>
          </w:tcPr>
          <w:p w14:paraId="3E812DC2"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40,0%</w:t>
            </w:r>
          </w:p>
        </w:tc>
        <w:tc>
          <w:tcPr>
            <w:tcW w:w="1047" w:type="dxa"/>
            <w:tcBorders>
              <w:top w:val="nil"/>
              <w:left w:val="nil"/>
              <w:bottom w:val="nil"/>
              <w:right w:val="nil"/>
            </w:tcBorders>
            <w:shd w:val="clear" w:color="auto" w:fill="auto"/>
            <w:noWrap/>
            <w:vAlign w:val="center"/>
            <w:hideMark/>
          </w:tcPr>
          <w:p w14:paraId="7CC5459D"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38,6%</w:t>
            </w:r>
          </w:p>
        </w:tc>
        <w:tc>
          <w:tcPr>
            <w:tcW w:w="1000" w:type="dxa"/>
            <w:tcBorders>
              <w:top w:val="nil"/>
              <w:left w:val="nil"/>
              <w:bottom w:val="nil"/>
              <w:right w:val="nil"/>
            </w:tcBorders>
            <w:shd w:val="clear" w:color="auto" w:fill="auto"/>
            <w:noWrap/>
            <w:vAlign w:val="center"/>
            <w:hideMark/>
          </w:tcPr>
          <w:p w14:paraId="370C8595"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40,1%</w:t>
            </w:r>
          </w:p>
        </w:tc>
        <w:tc>
          <w:tcPr>
            <w:tcW w:w="994" w:type="dxa"/>
            <w:tcBorders>
              <w:top w:val="nil"/>
              <w:left w:val="nil"/>
              <w:bottom w:val="nil"/>
              <w:right w:val="nil"/>
            </w:tcBorders>
            <w:shd w:val="clear" w:color="auto" w:fill="auto"/>
            <w:noWrap/>
            <w:vAlign w:val="center"/>
            <w:hideMark/>
          </w:tcPr>
          <w:p w14:paraId="766D6E2E"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39,9%</w:t>
            </w:r>
          </w:p>
        </w:tc>
        <w:tc>
          <w:tcPr>
            <w:tcW w:w="1000" w:type="dxa"/>
            <w:tcBorders>
              <w:top w:val="nil"/>
              <w:left w:val="nil"/>
              <w:bottom w:val="nil"/>
              <w:right w:val="nil"/>
            </w:tcBorders>
            <w:shd w:val="clear" w:color="auto" w:fill="auto"/>
            <w:noWrap/>
            <w:vAlign w:val="center"/>
            <w:hideMark/>
          </w:tcPr>
          <w:p w14:paraId="5F28DEBC"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40,0%</w:t>
            </w:r>
          </w:p>
        </w:tc>
      </w:tr>
      <w:tr w:rsidR="00A87FFB" w:rsidRPr="00A87FFB" w14:paraId="216D0333" w14:textId="77777777" w:rsidTr="00A87FFB">
        <w:trPr>
          <w:trHeight w:val="240"/>
        </w:trPr>
        <w:tc>
          <w:tcPr>
            <w:tcW w:w="3969" w:type="dxa"/>
            <w:tcBorders>
              <w:top w:val="nil"/>
              <w:left w:val="nil"/>
              <w:bottom w:val="nil"/>
              <w:right w:val="nil"/>
            </w:tcBorders>
            <w:shd w:val="clear" w:color="auto" w:fill="auto"/>
            <w:noWrap/>
            <w:vAlign w:val="center"/>
            <w:hideMark/>
          </w:tcPr>
          <w:p w14:paraId="152A08C5" w14:textId="77777777" w:rsidR="00A87FFB" w:rsidRPr="00A87FFB" w:rsidRDefault="00A87FFB" w:rsidP="00A87FFB">
            <w:pPr>
              <w:spacing w:after="0"/>
              <w:ind w:firstLineChars="100" w:firstLine="180"/>
              <w:jc w:val="left"/>
              <w:rPr>
                <w:rFonts w:eastAsia="Times New Roman" w:cs="Times New Roman"/>
                <w:color w:val="000000"/>
                <w:sz w:val="18"/>
                <w:szCs w:val="18"/>
              </w:rPr>
            </w:pPr>
            <w:r w:rsidRPr="00A87FFB">
              <w:rPr>
                <w:rFonts w:eastAsia="Times New Roman" w:cs="Times New Roman"/>
                <w:color w:val="000000"/>
                <w:sz w:val="18"/>
                <w:szCs w:val="18"/>
              </w:rPr>
              <w:t xml:space="preserve">Разходи </w:t>
            </w:r>
          </w:p>
        </w:tc>
        <w:tc>
          <w:tcPr>
            <w:tcW w:w="1046" w:type="dxa"/>
            <w:tcBorders>
              <w:top w:val="nil"/>
              <w:left w:val="nil"/>
              <w:bottom w:val="nil"/>
              <w:right w:val="nil"/>
            </w:tcBorders>
            <w:shd w:val="clear" w:color="auto" w:fill="auto"/>
            <w:noWrap/>
            <w:vAlign w:val="center"/>
            <w:hideMark/>
          </w:tcPr>
          <w:p w14:paraId="089F204C"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42 993,7</w:t>
            </w:r>
          </w:p>
        </w:tc>
        <w:tc>
          <w:tcPr>
            <w:tcW w:w="1047" w:type="dxa"/>
            <w:tcBorders>
              <w:top w:val="nil"/>
              <w:left w:val="nil"/>
              <w:bottom w:val="nil"/>
              <w:right w:val="nil"/>
            </w:tcBorders>
            <w:shd w:val="clear" w:color="auto" w:fill="auto"/>
            <w:noWrap/>
            <w:vAlign w:val="center"/>
            <w:hideMark/>
          </w:tcPr>
          <w:p w14:paraId="5BA6B5F6"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42 600,0</w:t>
            </w:r>
          </w:p>
        </w:tc>
        <w:tc>
          <w:tcPr>
            <w:tcW w:w="1000" w:type="dxa"/>
            <w:tcBorders>
              <w:top w:val="nil"/>
              <w:left w:val="nil"/>
              <w:bottom w:val="nil"/>
              <w:right w:val="nil"/>
            </w:tcBorders>
            <w:shd w:val="clear" w:color="auto" w:fill="auto"/>
            <w:noWrap/>
            <w:vAlign w:val="center"/>
            <w:hideMark/>
          </w:tcPr>
          <w:p w14:paraId="259F7A9B"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47 035,8</w:t>
            </w:r>
          </w:p>
        </w:tc>
        <w:tc>
          <w:tcPr>
            <w:tcW w:w="994" w:type="dxa"/>
            <w:tcBorders>
              <w:top w:val="nil"/>
              <w:left w:val="nil"/>
              <w:bottom w:val="nil"/>
              <w:right w:val="nil"/>
            </w:tcBorders>
            <w:shd w:val="clear" w:color="auto" w:fill="auto"/>
            <w:noWrap/>
            <w:vAlign w:val="center"/>
            <w:hideMark/>
          </w:tcPr>
          <w:p w14:paraId="722F56C9"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49 433,2</w:t>
            </w:r>
          </w:p>
        </w:tc>
        <w:tc>
          <w:tcPr>
            <w:tcW w:w="1000" w:type="dxa"/>
            <w:tcBorders>
              <w:top w:val="nil"/>
              <w:left w:val="nil"/>
              <w:bottom w:val="nil"/>
              <w:right w:val="nil"/>
            </w:tcBorders>
            <w:shd w:val="clear" w:color="auto" w:fill="auto"/>
            <w:noWrap/>
            <w:vAlign w:val="center"/>
            <w:hideMark/>
          </w:tcPr>
          <w:p w14:paraId="1D214BFE"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51 830,4</w:t>
            </w:r>
          </w:p>
        </w:tc>
      </w:tr>
      <w:tr w:rsidR="00A87FFB" w:rsidRPr="00A87FFB" w14:paraId="164C4629" w14:textId="77777777" w:rsidTr="00A87FFB">
        <w:trPr>
          <w:trHeight w:val="240"/>
        </w:trPr>
        <w:tc>
          <w:tcPr>
            <w:tcW w:w="3969" w:type="dxa"/>
            <w:tcBorders>
              <w:top w:val="nil"/>
              <w:left w:val="nil"/>
              <w:bottom w:val="nil"/>
              <w:right w:val="nil"/>
            </w:tcBorders>
            <w:shd w:val="clear" w:color="auto" w:fill="auto"/>
            <w:vAlign w:val="center"/>
            <w:hideMark/>
          </w:tcPr>
          <w:p w14:paraId="6E2090A5" w14:textId="77777777" w:rsidR="00A87FFB" w:rsidRPr="00A87FFB" w:rsidRDefault="00A87FFB" w:rsidP="00A87FFB">
            <w:pPr>
              <w:spacing w:after="0"/>
              <w:ind w:firstLineChars="200" w:firstLine="360"/>
              <w:jc w:val="left"/>
              <w:rPr>
                <w:rFonts w:eastAsia="Times New Roman" w:cs="Times New Roman"/>
                <w:color w:val="000000"/>
                <w:sz w:val="18"/>
                <w:szCs w:val="18"/>
              </w:rPr>
            </w:pPr>
            <w:r w:rsidRPr="00A87FFB">
              <w:rPr>
                <w:rFonts w:eastAsia="Times New Roman" w:cs="Times New Roman"/>
                <w:color w:val="000000"/>
                <w:sz w:val="18"/>
                <w:szCs w:val="18"/>
              </w:rPr>
              <w:t>Нелихвени разходи</w:t>
            </w:r>
          </w:p>
        </w:tc>
        <w:tc>
          <w:tcPr>
            <w:tcW w:w="1046" w:type="dxa"/>
            <w:tcBorders>
              <w:top w:val="nil"/>
              <w:left w:val="nil"/>
              <w:bottom w:val="nil"/>
              <w:right w:val="nil"/>
            </w:tcBorders>
            <w:shd w:val="clear" w:color="auto" w:fill="auto"/>
            <w:noWrap/>
            <w:vAlign w:val="center"/>
            <w:hideMark/>
          </w:tcPr>
          <w:p w14:paraId="7259F0F7"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42 163,7</w:t>
            </w:r>
          </w:p>
        </w:tc>
        <w:tc>
          <w:tcPr>
            <w:tcW w:w="1047" w:type="dxa"/>
            <w:tcBorders>
              <w:top w:val="nil"/>
              <w:left w:val="nil"/>
              <w:bottom w:val="nil"/>
              <w:right w:val="nil"/>
            </w:tcBorders>
            <w:shd w:val="clear" w:color="auto" w:fill="auto"/>
            <w:noWrap/>
            <w:vAlign w:val="center"/>
            <w:hideMark/>
          </w:tcPr>
          <w:p w14:paraId="7F7E2AA3"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41 855,9</w:t>
            </w:r>
          </w:p>
        </w:tc>
        <w:tc>
          <w:tcPr>
            <w:tcW w:w="1000" w:type="dxa"/>
            <w:tcBorders>
              <w:top w:val="nil"/>
              <w:left w:val="nil"/>
              <w:bottom w:val="nil"/>
              <w:right w:val="nil"/>
            </w:tcBorders>
            <w:shd w:val="clear" w:color="auto" w:fill="auto"/>
            <w:noWrap/>
            <w:vAlign w:val="center"/>
            <w:hideMark/>
          </w:tcPr>
          <w:p w14:paraId="2636B99C"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45 937,6</w:t>
            </w:r>
          </w:p>
        </w:tc>
        <w:tc>
          <w:tcPr>
            <w:tcW w:w="994" w:type="dxa"/>
            <w:tcBorders>
              <w:top w:val="nil"/>
              <w:left w:val="nil"/>
              <w:bottom w:val="nil"/>
              <w:right w:val="nil"/>
            </w:tcBorders>
            <w:shd w:val="clear" w:color="auto" w:fill="auto"/>
            <w:noWrap/>
            <w:vAlign w:val="center"/>
            <w:hideMark/>
          </w:tcPr>
          <w:p w14:paraId="1C7B5C08"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47 986,0</w:t>
            </w:r>
          </w:p>
        </w:tc>
        <w:tc>
          <w:tcPr>
            <w:tcW w:w="1000" w:type="dxa"/>
            <w:tcBorders>
              <w:top w:val="nil"/>
              <w:left w:val="nil"/>
              <w:bottom w:val="nil"/>
              <w:right w:val="nil"/>
            </w:tcBorders>
            <w:shd w:val="clear" w:color="auto" w:fill="auto"/>
            <w:noWrap/>
            <w:vAlign w:val="center"/>
            <w:hideMark/>
          </w:tcPr>
          <w:p w14:paraId="438667E3"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50 072,3</w:t>
            </w:r>
          </w:p>
        </w:tc>
      </w:tr>
      <w:tr w:rsidR="00A87FFB" w:rsidRPr="00A87FFB" w14:paraId="0D3EE40A" w14:textId="77777777" w:rsidTr="00A87FFB">
        <w:trPr>
          <w:trHeight w:val="240"/>
        </w:trPr>
        <w:tc>
          <w:tcPr>
            <w:tcW w:w="3969" w:type="dxa"/>
            <w:tcBorders>
              <w:top w:val="nil"/>
              <w:left w:val="nil"/>
              <w:bottom w:val="nil"/>
              <w:right w:val="nil"/>
            </w:tcBorders>
            <w:shd w:val="clear" w:color="auto" w:fill="auto"/>
            <w:vAlign w:val="center"/>
            <w:hideMark/>
          </w:tcPr>
          <w:p w14:paraId="072C4C71" w14:textId="77777777" w:rsidR="00A87FFB" w:rsidRPr="00A87FFB" w:rsidRDefault="00A87FFB" w:rsidP="00A87FFB">
            <w:pPr>
              <w:spacing w:after="0"/>
              <w:ind w:firstLineChars="200" w:firstLine="360"/>
              <w:jc w:val="left"/>
              <w:rPr>
                <w:rFonts w:eastAsia="Times New Roman" w:cs="Times New Roman"/>
                <w:color w:val="000000"/>
                <w:sz w:val="18"/>
                <w:szCs w:val="18"/>
              </w:rPr>
            </w:pPr>
            <w:r w:rsidRPr="00A87FFB">
              <w:rPr>
                <w:rFonts w:eastAsia="Times New Roman" w:cs="Times New Roman"/>
                <w:color w:val="000000"/>
                <w:sz w:val="18"/>
                <w:szCs w:val="18"/>
              </w:rPr>
              <w:t>Лихви</w:t>
            </w:r>
          </w:p>
        </w:tc>
        <w:tc>
          <w:tcPr>
            <w:tcW w:w="1046" w:type="dxa"/>
            <w:tcBorders>
              <w:top w:val="nil"/>
              <w:left w:val="nil"/>
              <w:bottom w:val="nil"/>
              <w:right w:val="nil"/>
            </w:tcBorders>
            <w:shd w:val="clear" w:color="auto" w:fill="auto"/>
            <w:noWrap/>
            <w:vAlign w:val="center"/>
            <w:hideMark/>
          </w:tcPr>
          <w:p w14:paraId="497D51B5"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830,0</w:t>
            </w:r>
          </w:p>
        </w:tc>
        <w:tc>
          <w:tcPr>
            <w:tcW w:w="1047" w:type="dxa"/>
            <w:tcBorders>
              <w:top w:val="nil"/>
              <w:left w:val="nil"/>
              <w:bottom w:val="nil"/>
              <w:right w:val="nil"/>
            </w:tcBorders>
            <w:shd w:val="clear" w:color="auto" w:fill="auto"/>
            <w:noWrap/>
            <w:vAlign w:val="center"/>
            <w:hideMark/>
          </w:tcPr>
          <w:p w14:paraId="67B4719B"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744,1</w:t>
            </w:r>
          </w:p>
        </w:tc>
        <w:tc>
          <w:tcPr>
            <w:tcW w:w="1000" w:type="dxa"/>
            <w:tcBorders>
              <w:top w:val="nil"/>
              <w:left w:val="nil"/>
              <w:bottom w:val="nil"/>
              <w:right w:val="nil"/>
            </w:tcBorders>
            <w:shd w:val="clear" w:color="auto" w:fill="auto"/>
            <w:noWrap/>
            <w:vAlign w:val="center"/>
            <w:hideMark/>
          </w:tcPr>
          <w:p w14:paraId="107733E2"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1 098,2</w:t>
            </w:r>
          </w:p>
        </w:tc>
        <w:tc>
          <w:tcPr>
            <w:tcW w:w="994" w:type="dxa"/>
            <w:tcBorders>
              <w:top w:val="nil"/>
              <w:left w:val="nil"/>
              <w:bottom w:val="nil"/>
              <w:right w:val="nil"/>
            </w:tcBorders>
            <w:shd w:val="clear" w:color="auto" w:fill="auto"/>
            <w:noWrap/>
            <w:vAlign w:val="center"/>
            <w:hideMark/>
          </w:tcPr>
          <w:p w14:paraId="480E2025"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1 447,2</w:t>
            </w:r>
          </w:p>
        </w:tc>
        <w:tc>
          <w:tcPr>
            <w:tcW w:w="1000" w:type="dxa"/>
            <w:tcBorders>
              <w:top w:val="nil"/>
              <w:left w:val="nil"/>
              <w:bottom w:val="nil"/>
              <w:right w:val="nil"/>
            </w:tcBorders>
            <w:shd w:val="clear" w:color="auto" w:fill="auto"/>
            <w:noWrap/>
            <w:vAlign w:val="center"/>
            <w:hideMark/>
          </w:tcPr>
          <w:p w14:paraId="60F40A60"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1 758,1</w:t>
            </w:r>
          </w:p>
        </w:tc>
      </w:tr>
      <w:tr w:rsidR="00A87FFB" w:rsidRPr="00A87FFB" w14:paraId="55FDF0E7" w14:textId="77777777" w:rsidTr="00A87FFB">
        <w:trPr>
          <w:trHeight w:val="240"/>
        </w:trPr>
        <w:tc>
          <w:tcPr>
            <w:tcW w:w="3969" w:type="dxa"/>
            <w:tcBorders>
              <w:top w:val="nil"/>
              <w:left w:val="nil"/>
              <w:bottom w:val="nil"/>
              <w:right w:val="nil"/>
            </w:tcBorders>
            <w:shd w:val="clear" w:color="auto" w:fill="auto"/>
            <w:vAlign w:val="center"/>
            <w:hideMark/>
          </w:tcPr>
          <w:p w14:paraId="40BEFAF8" w14:textId="77777777" w:rsidR="00A87FFB" w:rsidRPr="00A87FFB" w:rsidRDefault="00A87FFB" w:rsidP="00A87FFB">
            <w:pPr>
              <w:spacing w:after="0"/>
              <w:ind w:firstLineChars="100" w:firstLine="180"/>
              <w:jc w:val="left"/>
              <w:rPr>
                <w:rFonts w:eastAsia="Times New Roman" w:cs="Times New Roman"/>
                <w:color w:val="000000"/>
                <w:sz w:val="18"/>
                <w:szCs w:val="18"/>
              </w:rPr>
            </w:pPr>
            <w:r w:rsidRPr="00A87FFB">
              <w:rPr>
                <w:rFonts w:eastAsia="Times New Roman" w:cs="Times New Roman"/>
                <w:color w:val="000000"/>
                <w:sz w:val="18"/>
                <w:szCs w:val="18"/>
              </w:rPr>
              <w:t>Вноска в общия бюджет на ЕС</w:t>
            </w:r>
          </w:p>
        </w:tc>
        <w:tc>
          <w:tcPr>
            <w:tcW w:w="1046" w:type="dxa"/>
            <w:tcBorders>
              <w:top w:val="nil"/>
              <w:left w:val="nil"/>
              <w:bottom w:val="nil"/>
              <w:right w:val="nil"/>
            </w:tcBorders>
            <w:shd w:val="clear" w:color="auto" w:fill="auto"/>
            <w:noWrap/>
            <w:vAlign w:val="center"/>
            <w:hideMark/>
          </w:tcPr>
          <w:p w14:paraId="79AEE3CB"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1 033,1</w:t>
            </w:r>
          </w:p>
        </w:tc>
        <w:tc>
          <w:tcPr>
            <w:tcW w:w="1047" w:type="dxa"/>
            <w:tcBorders>
              <w:top w:val="nil"/>
              <w:left w:val="nil"/>
              <w:bottom w:val="nil"/>
              <w:right w:val="nil"/>
            </w:tcBorders>
            <w:shd w:val="clear" w:color="auto" w:fill="auto"/>
            <w:noWrap/>
            <w:vAlign w:val="center"/>
            <w:hideMark/>
          </w:tcPr>
          <w:p w14:paraId="4565CB92"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1 033,1</w:t>
            </w:r>
          </w:p>
        </w:tc>
        <w:tc>
          <w:tcPr>
            <w:tcW w:w="1000" w:type="dxa"/>
            <w:tcBorders>
              <w:top w:val="nil"/>
              <w:left w:val="nil"/>
              <w:bottom w:val="nil"/>
              <w:right w:val="nil"/>
            </w:tcBorders>
            <w:shd w:val="clear" w:color="auto" w:fill="auto"/>
            <w:noWrap/>
            <w:vAlign w:val="center"/>
            <w:hideMark/>
          </w:tcPr>
          <w:p w14:paraId="6D3F7E5F"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1 209,1</w:t>
            </w:r>
          </w:p>
        </w:tc>
        <w:tc>
          <w:tcPr>
            <w:tcW w:w="994" w:type="dxa"/>
            <w:tcBorders>
              <w:top w:val="nil"/>
              <w:left w:val="nil"/>
              <w:bottom w:val="nil"/>
              <w:right w:val="nil"/>
            </w:tcBorders>
            <w:shd w:val="clear" w:color="auto" w:fill="auto"/>
            <w:noWrap/>
            <w:vAlign w:val="center"/>
            <w:hideMark/>
          </w:tcPr>
          <w:p w14:paraId="37DFF6A7"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1 309,9</w:t>
            </w:r>
          </w:p>
        </w:tc>
        <w:tc>
          <w:tcPr>
            <w:tcW w:w="1000" w:type="dxa"/>
            <w:tcBorders>
              <w:top w:val="nil"/>
              <w:left w:val="nil"/>
              <w:bottom w:val="nil"/>
              <w:right w:val="nil"/>
            </w:tcBorders>
            <w:shd w:val="clear" w:color="auto" w:fill="auto"/>
            <w:noWrap/>
            <w:vAlign w:val="center"/>
            <w:hideMark/>
          </w:tcPr>
          <w:p w14:paraId="26062D20" w14:textId="77777777" w:rsidR="00A87FFB" w:rsidRPr="00A87FFB" w:rsidRDefault="00A87FFB" w:rsidP="00A87FFB">
            <w:pPr>
              <w:spacing w:after="0"/>
              <w:jc w:val="right"/>
              <w:rPr>
                <w:rFonts w:eastAsia="Times New Roman" w:cs="Times New Roman"/>
                <w:color w:val="000000"/>
                <w:sz w:val="18"/>
                <w:szCs w:val="18"/>
              </w:rPr>
            </w:pPr>
            <w:r w:rsidRPr="00A87FFB">
              <w:rPr>
                <w:rFonts w:eastAsia="Times New Roman" w:cs="Times New Roman"/>
                <w:color w:val="000000"/>
                <w:sz w:val="18"/>
                <w:szCs w:val="18"/>
              </w:rPr>
              <w:t>1 659,1</w:t>
            </w:r>
          </w:p>
        </w:tc>
      </w:tr>
      <w:tr w:rsidR="00A87FFB" w:rsidRPr="00A87FFB" w14:paraId="5E445704" w14:textId="77777777" w:rsidTr="00A87FFB">
        <w:trPr>
          <w:trHeight w:val="240"/>
        </w:trPr>
        <w:tc>
          <w:tcPr>
            <w:tcW w:w="3969" w:type="dxa"/>
            <w:tcBorders>
              <w:top w:val="nil"/>
              <w:left w:val="nil"/>
              <w:bottom w:val="nil"/>
              <w:right w:val="nil"/>
            </w:tcBorders>
            <w:shd w:val="clear" w:color="auto" w:fill="auto"/>
            <w:vAlign w:val="center"/>
            <w:hideMark/>
          </w:tcPr>
          <w:p w14:paraId="0A0FA450" w14:textId="77777777" w:rsidR="00A87FFB" w:rsidRPr="00A87FFB" w:rsidRDefault="00A87FFB" w:rsidP="00A87FFB">
            <w:pPr>
              <w:spacing w:after="0"/>
              <w:jc w:val="right"/>
              <w:rPr>
                <w:rFonts w:eastAsia="Times New Roman" w:cs="Times New Roman"/>
                <w:color w:val="000000"/>
                <w:sz w:val="18"/>
                <w:szCs w:val="18"/>
              </w:rPr>
            </w:pPr>
          </w:p>
        </w:tc>
        <w:tc>
          <w:tcPr>
            <w:tcW w:w="1046" w:type="dxa"/>
            <w:tcBorders>
              <w:top w:val="nil"/>
              <w:left w:val="nil"/>
              <w:bottom w:val="nil"/>
              <w:right w:val="nil"/>
            </w:tcBorders>
            <w:shd w:val="clear" w:color="auto" w:fill="auto"/>
            <w:noWrap/>
            <w:vAlign w:val="center"/>
            <w:hideMark/>
          </w:tcPr>
          <w:p w14:paraId="151F551A" w14:textId="77777777" w:rsidR="00A87FFB" w:rsidRPr="00A87FFB" w:rsidRDefault="00A87FFB" w:rsidP="00A87FFB">
            <w:pPr>
              <w:spacing w:after="0"/>
              <w:ind w:firstLineChars="100" w:firstLine="200"/>
              <w:jc w:val="left"/>
              <w:rPr>
                <w:rFonts w:eastAsia="Times New Roman" w:cs="Times New Roman"/>
                <w:sz w:val="20"/>
                <w:szCs w:val="20"/>
              </w:rPr>
            </w:pPr>
          </w:p>
        </w:tc>
        <w:tc>
          <w:tcPr>
            <w:tcW w:w="1047" w:type="dxa"/>
            <w:tcBorders>
              <w:top w:val="nil"/>
              <w:left w:val="nil"/>
              <w:bottom w:val="nil"/>
              <w:right w:val="nil"/>
            </w:tcBorders>
            <w:shd w:val="clear" w:color="auto" w:fill="auto"/>
            <w:noWrap/>
            <w:vAlign w:val="center"/>
            <w:hideMark/>
          </w:tcPr>
          <w:p w14:paraId="6E107739"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08BAA911" w14:textId="77777777" w:rsidR="00A87FFB" w:rsidRPr="00A87FFB" w:rsidRDefault="00A87FFB" w:rsidP="00A87FFB">
            <w:pPr>
              <w:spacing w:after="0"/>
              <w:jc w:val="right"/>
              <w:rPr>
                <w:rFonts w:eastAsia="Times New Roman" w:cs="Times New Roman"/>
                <w:sz w:val="20"/>
                <w:szCs w:val="20"/>
              </w:rPr>
            </w:pPr>
          </w:p>
        </w:tc>
        <w:tc>
          <w:tcPr>
            <w:tcW w:w="994" w:type="dxa"/>
            <w:tcBorders>
              <w:top w:val="nil"/>
              <w:left w:val="nil"/>
              <w:bottom w:val="nil"/>
              <w:right w:val="nil"/>
            </w:tcBorders>
            <w:shd w:val="clear" w:color="auto" w:fill="auto"/>
            <w:noWrap/>
            <w:vAlign w:val="center"/>
            <w:hideMark/>
          </w:tcPr>
          <w:p w14:paraId="7BF49F41"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728E75A6" w14:textId="77777777" w:rsidR="00A87FFB" w:rsidRPr="00A87FFB" w:rsidRDefault="00A87FFB" w:rsidP="00A87FFB">
            <w:pPr>
              <w:spacing w:after="0"/>
              <w:jc w:val="right"/>
              <w:rPr>
                <w:rFonts w:eastAsia="Times New Roman" w:cs="Times New Roman"/>
                <w:sz w:val="20"/>
                <w:szCs w:val="20"/>
              </w:rPr>
            </w:pPr>
          </w:p>
        </w:tc>
      </w:tr>
      <w:tr w:rsidR="00A87FFB" w:rsidRPr="00A87FFB" w14:paraId="3E6728BA" w14:textId="77777777" w:rsidTr="00A87FFB">
        <w:trPr>
          <w:trHeight w:val="525"/>
        </w:trPr>
        <w:tc>
          <w:tcPr>
            <w:tcW w:w="3969" w:type="dxa"/>
            <w:tcBorders>
              <w:top w:val="nil"/>
              <w:left w:val="nil"/>
              <w:bottom w:val="nil"/>
              <w:right w:val="nil"/>
            </w:tcBorders>
            <w:shd w:val="clear" w:color="auto" w:fill="auto"/>
            <w:vAlign w:val="center"/>
            <w:hideMark/>
          </w:tcPr>
          <w:p w14:paraId="7ECB1C13" w14:textId="77777777" w:rsidR="00A87FFB" w:rsidRPr="00A87FFB" w:rsidRDefault="00A87FFB" w:rsidP="00A87FFB">
            <w:pPr>
              <w:spacing w:after="0"/>
              <w:jc w:val="left"/>
              <w:rPr>
                <w:rFonts w:eastAsia="Times New Roman" w:cs="Times New Roman"/>
                <w:b/>
                <w:bCs/>
                <w:color w:val="000000"/>
                <w:sz w:val="18"/>
                <w:szCs w:val="18"/>
              </w:rPr>
            </w:pPr>
            <w:r w:rsidRPr="00A87FFB">
              <w:rPr>
                <w:rFonts w:eastAsia="Times New Roman" w:cs="Times New Roman"/>
                <w:b/>
                <w:bCs/>
                <w:color w:val="000000"/>
                <w:sz w:val="18"/>
                <w:szCs w:val="18"/>
              </w:rPr>
              <w:t>ТРАНСФЕР ЗА СМЕТКИ ЗА СРЕДСТВА ОТ ЕС (НЕТО)</w:t>
            </w:r>
          </w:p>
        </w:tc>
        <w:tc>
          <w:tcPr>
            <w:tcW w:w="1046" w:type="dxa"/>
            <w:tcBorders>
              <w:top w:val="nil"/>
              <w:left w:val="nil"/>
              <w:bottom w:val="nil"/>
              <w:right w:val="nil"/>
            </w:tcBorders>
            <w:shd w:val="clear" w:color="auto" w:fill="auto"/>
            <w:noWrap/>
            <w:vAlign w:val="center"/>
            <w:hideMark/>
          </w:tcPr>
          <w:p w14:paraId="51010D1F"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-1 099,9</w:t>
            </w:r>
          </w:p>
        </w:tc>
        <w:tc>
          <w:tcPr>
            <w:tcW w:w="1047" w:type="dxa"/>
            <w:tcBorders>
              <w:top w:val="nil"/>
              <w:left w:val="nil"/>
              <w:bottom w:val="nil"/>
              <w:right w:val="nil"/>
            </w:tcBorders>
            <w:shd w:val="clear" w:color="auto" w:fill="auto"/>
            <w:noWrap/>
            <w:vAlign w:val="center"/>
            <w:hideMark/>
          </w:tcPr>
          <w:p w14:paraId="306140CB"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-948,9</w:t>
            </w:r>
          </w:p>
        </w:tc>
        <w:tc>
          <w:tcPr>
            <w:tcW w:w="1000" w:type="dxa"/>
            <w:tcBorders>
              <w:top w:val="nil"/>
              <w:left w:val="nil"/>
              <w:bottom w:val="nil"/>
              <w:right w:val="nil"/>
            </w:tcBorders>
            <w:shd w:val="clear" w:color="auto" w:fill="auto"/>
            <w:noWrap/>
            <w:vAlign w:val="center"/>
            <w:hideMark/>
          </w:tcPr>
          <w:p w14:paraId="1DFF801E"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-1 262,2</w:t>
            </w:r>
          </w:p>
        </w:tc>
        <w:tc>
          <w:tcPr>
            <w:tcW w:w="994" w:type="dxa"/>
            <w:tcBorders>
              <w:top w:val="nil"/>
              <w:left w:val="nil"/>
              <w:bottom w:val="nil"/>
              <w:right w:val="nil"/>
            </w:tcBorders>
            <w:shd w:val="clear" w:color="auto" w:fill="auto"/>
            <w:noWrap/>
            <w:vAlign w:val="center"/>
            <w:hideMark/>
          </w:tcPr>
          <w:p w14:paraId="6DE2C69A"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-1 258,0</w:t>
            </w:r>
          </w:p>
        </w:tc>
        <w:tc>
          <w:tcPr>
            <w:tcW w:w="1000" w:type="dxa"/>
            <w:tcBorders>
              <w:top w:val="nil"/>
              <w:left w:val="nil"/>
              <w:bottom w:val="nil"/>
              <w:right w:val="nil"/>
            </w:tcBorders>
            <w:shd w:val="clear" w:color="auto" w:fill="auto"/>
            <w:noWrap/>
            <w:vAlign w:val="center"/>
            <w:hideMark/>
          </w:tcPr>
          <w:p w14:paraId="2FE9FBA1"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-1 317,4</w:t>
            </w:r>
          </w:p>
        </w:tc>
      </w:tr>
      <w:tr w:rsidR="00A87FFB" w:rsidRPr="00A87FFB" w14:paraId="13AA15EA" w14:textId="77777777" w:rsidTr="00A87FFB">
        <w:trPr>
          <w:trHeight w:val="225"/>
        </w:trPr>
        <w:tc>
          <w:tcPr>
            <w:tcW w:w="3969" w:type="dxa"/>
            <w:tcBorders>
              <w:top w:val="nil"/>
              <w:left w:val="nil"/>
              <w:bottom w:val="nil"/>
              <w:right w:val="nil"/>
            </w:tcBorders>
            <w:shd w:val="clear" w:color="auto" w:fill="auto"/>
            <w:vAlign w:val="center"/>
            <w:hideMark/>
          </w:tcPr>
          <w:p w14:paraId="16924E3A"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 от БВП</w:t>
            </w:r>
          </w:p>
        </w:tc>
        <w:tc>
          <w:tcPr>
            <w:tcW w:w="1046" w:type="dxa"/>
            <w:tcBorders>
              <w:top w:val="nil"/>
              <w:left w:val="nil"/>
              <w:bottom w:val="nil"/>
              <w:right w:val="nil"/>
            </w:tcBorders>
            <w:shd w:val="clear" w:color="auto" w:fill="auto"/>
            <w:noWrap/>
            <w:vAlign w:val="center"/>
            <w:hideMark/>
          </w:tcPr>
          <w:p w14:paraId="05CFB4B5"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-1,0%</w:t>
            </w:r>
          </w:p>
        </w:tc>
        <w:tc>
          <w:tcPr>
            <w:tcW w:w="1047" w:type="dxa"/>
            <w:tcBorders>
              <w:top w:val="nil"/>
              <w:left w:val="nil"/>
              <w:bottom w:val="nil"/>
              <w:right w:val="nil"/>
            </w:tcBorders>
            <w:shd w:val="clear" w:color="auto" w:fill="auto"/>
            <w:noWrap/>
            <w:vAlign w:val="center"/>
            <w:hideMark/>
          </w:tcPr>
          <w:p w14:paraId="0C54289F"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-0,8%</w:t>
            </w:r>
          </w:p>
        </w:tc>
        <w:tc>
          <w:tcPr>
            <w:tcW w:w="1000" w:type="dxa"/>
            <w:tcBorders>
              <w:top w:val="nil"/>
              <w:left w:val="nil"/>
              <w:bottom w:val="nil"/>
              <w:right w:val="nil"/>
            </w:tcBorders>
            <w:shd w:val="clear" w:color="auto" w:fill="auto"/>
            <w:noWrap/>
            <w:vAlign w:val="center"/>
            <w:hideMark/>
          </w:tcPr>
          <w:p w14:paraId="13A71D54"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-1,1%</w:t>
            </w:r>
          </w:p>
        </w:tc>
        <w:tc>
          <w:tcPr>
            <w:tcW w:w="994" w:type="dxa"/>
            <w:tcBorders>
              <w:top w:val="nil"/>
              <w:left w:val="nil"/>
              <w:bottom w:val="nil"/>
              <w:right w:val="nil"/>
            </w:tcBorders>
            <w:shd w:val="clear" w:color="auto" w:fill="auto"/>
            <w:noWrap/>
            <w:vAlign w:val="center"/>
            <w:hideMark/>
          </w:tcPr>
          <w:p w14:paraId="0D1CD086"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-1,0%</w:t>
            </w:r>
          </w:p>
        </w:tc>
        <w:tc>
          <w:tcPr>
            <w:tcW w:w="1000" w:type="dxa"/>
            <w:tcBorders>
              <w:top w:val="nil"/>
              <w:left w:val="nil"/>
              <w:bottom w:val="nil"/>
              <w:right w:val="nil"/>
            </w:tcBorders>
            <w:shd w:val="clear" w:color="auto" w:fill="auto"/>
            <w:noWrap/>
            <w:vAlign w:val="center"/>
            <w:hideMark/>
          </w:tcPr>
          <w:p w14:paraId="25785037"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-1,0%</w:t>
            </w:r>
          </w:p>
        </w:tc>
      </w:tr>
      <w:tr w:rsidR="00A87FFB" w:rsidRPr="00A87FFB" w14:paraId="7DCE7DBF" w14:textId="77777777" w:rsidTr="00A87FFB">
        <w:trPr>
          <w:trHeight w:val="195"/>
        </w:trPr>
        <w:tc>
          <w:tcPr>
            <w:tcW w:w="3969" w:type="dxa"/>
            <w:tcBorders>
              <w:top w:val="nil"/>
              <w:left w:val="nil"/>
              <w:bottom w:val="nil"/>
              <w:right w:val="nil"/>
            </w:tcBorders>
            <w:shd w:val="clear" w:color="auto" w:fill="auto"/>
            <w:vAlign w:val="center"/>
            <w:hideMark/>
          </w:tcPr>
          <w:p w14:paraId="7F1773DE" w14:textId="77777777" w:rsidR="00A87FFB" w:rsidRPr="00A87FFB" w:rsidRDefault="00A87FFB" w:rsidP="00A87FFB">
            <w:pPr>
              <w:spacing w:after="0"/>
              <w:jc w:val="right"/>
              <w:rPr>
                <w:rFonts w:eastAsia="Times New Roman" w:cs="Times New Roman"/>
                <w:i/>
                <w:iCs/>
                <w:color w:val="000000"/>
                <w:sz w:val="18"/>
                <w:szCs w:val="18"/>
              </w:rPr>
            </w:pPr>
          </w:p>
        </w:tc>
        <w:tc>
          <w:tcPr>
            <w:tcW w:w="1046" w:type="dxa"/>
            <w:tcBorders>
              <w:top w:val="nil"/>
              <w:left w:val="nil"/>
              <w:bottom w:val="nil"/>
              <w:right w:val="nil"/>
            </w:tcBorders>
            <w:shd w:val="clear" w:color="auto" w:fill="auto"/>
            <w:noWrap/>
            <w:vAlign w:val="center"/>
            <w:hideMark/>
          </w:tcPr>
          <w:p w14:paraId="41C4FEE3" w14:textId="77777777" w:rsidR="00A87FFB" w:rsidRPr="00A87FFB" w:rsidRDefault="00A87FFB" w:rsidP="00A87FFB">
            <w:pPr>
              <w:spacing w:after="0"/>
              <w:jc w:val="left"/>
              <w:rPr>
                <w:rFonts w:eastAsia="Times New Roman" w:cs="Times New Roman"/>
                <w:sz w:val="20"/>
                <w:szCs w:val="20"/>
              </w:rPr>
            </w:pPr>
          </w:p>
        </w:tc>
        <w:tc>
          <w:tcPr>
            <w:tcW w:w="1047" w:type="dxa"/>
            <w:tcBorders>
              <w:top w:val="nil"/>
              <w:left w:val="nil"/>
              <w:bottom w:val="nil"/>
              <w:right w:val="nil"/>
            </w:tcBorders>
            <w:shd w:val="clear" w:color="auto" w:fill="auto"/>
            <w:noWrap/>
            <w:vAlign w:val="center"/>
            <w:hideMark/>
          </w:tcPr>
          <w:p w14:paraId="3D733264"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0760FDB3" w14:textId="77777777" w:rsidR="00A87FFB" w:rsidRPr="00A87FFB" w:rsidRDefault="00A87FFB" w:rsidP="00A87FFB">
            <w:pPr>
              <w:spacing w:after="0"/>
              <w:jc w:val="right"/>
              <w:rPr>
                <w:rFonts w:eastAsia="Times New Roman" w:cs="Times New Roman"/>
                <w:sz w:val="20"/>
                <w:szCs w:val="20"/>
              </w:rPr>
            </w:pPr>
          </w:p>
        </w:tc>
        <w:tc>
          <w:tcPr>
            <w:tcW w:w="994" w:type="dxa"/>
            <w:tcBorders>
              <w:top w:val="nil"/>
              <w:left w:val="nil"/>
              <w:bottom w:val="nil"/>
              <w:right w:val="nil"/>
            </w:tcBorders>
            <w:shd w:val="clear" w:color="auto" w:fill="auto"/>
            <w:noWrap/>
            <w:vAlign w:val="center"/>
            <w:hideMark/>
          </w:tcPr>
          <w:p w14:paraId="2EF16790"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7E1EC73D" w14:textId="77777777" w:rsidR="00A87FFB" w:rsidRPr="00A87FFB" w:rsidRDefault="00A87FFB" w:rsidP="00A87FFB">
            <w:pPr>
              <w:spacing w:after="0"/>
              <w:jc w:val="right"/>
              <w:rPr>
                <w:rFonts w:eastAsia="Times New Roman" w:cs="Times New Roman"/>
                <w:sz w:val="20"/>
                <w:szCs w:val="20"/>
              </w:rPr>
            </w:pPr>
          </w:p>
        </w:tc>
      </w:tr>
      <w:tr w:rsidR="00A87FFB" w:rsidRPr="00A87FFB" w14:paraId="099A8EB5" w14:textId="77777777" w:rsidTr="00A87FFB">
        <w:trPr>
          <w:trHeight w:val="240"/>
        </w:trPr>
        <w:tc>
          <w:tcPr>
            <w:tcW w:w="3969" w:type="dxa"/>
            <w:tcBorders>
              <w:top w:val="nil"/>
              <w:left w:val="nil"/>
              <w:bottom w:val="nil"/>
              <w:right w:val="nil"/>
            </w:tcBorders>
            <w:shd w:val="clear" w:color="auto" w:fill="auto"/>
            <w:vAlign w:val="center"/>
            <w:hideMark/>
          </w:tcPr>
          <w:p w14:paraId="75BAFBB3" w14:textId="77777777" w:rsidR="00A87FFB" w:rsidRPr="00A87FFB" w:rsidRDefault="00A87FFB" w:rsidP="00A87FFB">
            <w:pPr>
              <w:spacing w:after="0"/>
              <w:jc w:val="left"/>
              <w:rPr>
                <w:rFonts w:eastAsia="Times New Roman" w:cs="Times New Roman"/>
                <w:b/>
                <w:bCs/>
                <w:color w:val="000000"/>
                <w:sz w:val="18"/>
                <w:szCs w:val="18"/>
              </w:rPr>
            </w:pPr>
            <w:r w:rsidRPr="00A87FFB">
              <w:rPr>
                <w:rFonts w:eastAsia="Times New Roman" w:cs="Times New Roman"/>
                <w:b/>
                <w:bCs/>
                <w:color w:val="000000"/>
                <w:sz w:val="18"/>
                <w:szCs w:val="18"/>
              </w:rPr>
              <w:t>БЮДЖЕТНО САЛДО (+/-)</w:t>
            </w:r>
          </w:p>
        </w:tc>
        <w:tc>
          <w:tcPr>
            <w:tcW w:w="1046" w:type="dxa"/>
            <w:tcBorders>
              <w:top w:val="nil"/>
              <w:left w:val="nil"/>
              <w:bottom w:val="nil"/>
              <w:right w:val="nil"/>
            </w:tcBorders>
            <w:shd w:val="clear" w:color="auto" w:fill="auto"/>
            <w:noWrap/>
            <w:vAlign w:val="center"/>
            <w:hideMark/>
          </w:tcPr>
          <w:p w14:paraId="2156F0D9"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-2 753,9</w:t>
            </w:r>
          </w:p>
        </w:tc>
        <w:tc>
          <w:tcPr>
            <w:tcW w:w="1047" w:type="dxa"/>
            <w:tcBorders>
              <w:top w:val="nil"/>
              <w:left w:val="nil"/>
              <w:bottom w:val="nil"/>
              <w:right w:val="nil"/>
            </w:tcBorders>
            <w:shd w:val="clear" w:color="auto" w:fill="auto"/>
            <w:noWrap/>
            <w:vAlign w:val="center"/>
            <w:hideMark/>
          </w:tcPr>
          <w:p w14:paraId="1F628130"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-3 550,1</w:t>
            </w:r>
          </w:p>
        </w:tc>
        <w:tc>
          <w:tcPr>
            <w:tcW w:w="1000" w:type="dxa"/>
            <w:tcBorders>
              <w:top w:val="nil"/>
              <w:left w:val="nil"/>
              <w:bottom w:val="nil"/>
              <w:right w:val="nil"/>
            </w:tcBorders>
            <w:shd w:val="clear" w:color="auto" w:fill="auto"/>
            <w:noWrap/>
            <w:vAlign w:val="center"/>
            <w:hideMark/>
          </w:tcPr>
          <w:p w14:paraId="2102C570"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-3 202,7</w:t>
            </w:r>
          </w:p>
        </w:tc>
        <w:tc>
          <w:tcPr>
            <w:tcW w:w="994" w:type="dxa"/>
            <w:tcBorders>
              <w:top w:val="nil"/>
              <w:left w:val="nil"/>
              <w:bottom w:val="nil"/>
              <w:right w:val="nil"/>
            </w:tcBorders>
            <w:shd w:val="clear" w:color="auto" w:fill="auto"/>
            <w:noWrap/>
            <w:vAlign w:val="center"/>
            <w:hideMark/>
          </w:tcPr>
          <w:p w14:paraId="025D199B"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-3 600,9</w:t>
            </w:r>
          </w:p>
        </w:tc>
        <w:tc>
          <w:tcPr>
            <w:tcW w:w="1000" w:type="dxa"/>
            <w:tcBorders>
              <w:top w:val="nil"/>
              <w:left w:val="nil"/>
              <w:bottom w:val="nil"/>
              <w:right w:val="nil"/>
            </w:tcBorders>
            <w:shd w:val="clear" w:color="auto" w:fill="auto"/>
            <w:noWrap/>
            <w:vAlign w:val="center"/>
            <w:hideMark/>
          </w:tcPr>
          <w:p w14:paraId="48AC0076"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-3 649,8</w:t>
            </w:r>
          </w:p>
        </w:tc>
      </w:tr>
      <w:tr w:rsidR="00A87FFB" w:rsidRPr="00A87FFB" w14:paraId="3D6208B9" w14:textId="77777777" w:rsidTr="00A87FFB">
        <w:trPr>
          <w:trHeight w:val="240"/>
        </w:trPr>
        <w:tc>
          <w:tcPr>
            <w:tcW w:w="3969" w:type="dxa"/>
            <w:tcBorders>
              <w:top w:val="nil"/>
              <w:left w:val="nil"/>
              <w:bottom w:val="nil"/>
              <w:right w:val="nil"/>
            </w:tcBorders>
            <w:shd w:val="clear" w:color="auto" w:fill="auto"/>
            <w:vAlign w:val="center"/>
            <w:hideMark/>
          </w:tcPr>
          <w:p w14:paraId="09616616"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 от БВП</w:t>
            </w:r>
          </w:p>
        </w:tc>
        <w:tc>
          <w:tcPr>
            <w:tcW w:w="1046" w:type="dxa"/>
            <w:tcBorders>
              <w:top w:val="nil"/>
              <w:left w:val="nil"/>
              <w:bottom w:val="nil"/>
              <w:right w:val="nil"/>
            </w:tcBorders>
            <w:shd w:val="clear" w:color="auto" w:fill="auto"/>
            <w:noWrap/>
            <w:vAlign w:val="center"/>
            <w:hideMark/>
          </w:tcPr>
          <w:p w14:paraId="78961389"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-2,5%</w:t>
            </w:r>
          </w:p>
        </w:tc>
        <w:tc>
          <w:tcPr>
            <w:tcW w:w="1047" w:type="dxa"/>
            <w:tcBorders>
              <w:top w:val="nil"/>
              <w:left w:val="nil"/>
              <w:bottom w:val="nil"/>
              <w:right w:val="nil"/>
            </w:tcBorders>
            <w:shd w:val="clear" w:color="auto" w:fill="auto"/>
            <w:noWrap/>
            <w:vAlign w:val="center"/>
            <w:hideMark/>
          </w:tcPr>
          <w:p w14:paraId="30785BCB"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-3,1%</w:t>
            </w:r>
          </w:p>
        </w:tc>
        <w:tc>
          <w:tcPr>
            <w:tcW w:w="1000" w:type="dxa"/>
            <w:tcBorders>
              <w:top w:val="nil"/>
              <w:left w:val="nil"/>
              <w:bottom w:val="nil"/>
              <w:right w:val="nil"/>
            </w:tcBorders>
            <w:shd w:val="clear" w:color="auto" w:fill="auto"/>
            <w:noWrap/>
            <w:vAlign w:val="center"/>
            <w:hideMark/>
          </w:tcPr>
          <w:p w14:paraId="14663950"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-2,7%</w:t>
            </w:r>
          </w:p>
        </w:tc>
        <w:tc>
          <w:tcPr>
            <w:tcW w:w="994" w:type="dxa"/>
            <w:tcBorders>
              <w:top w:val="nil"/>
              <w:left w:val="nil"/>
              <w:bottom w:val="nil"/>
              <w:right w:val="nil"/>
            </w:tcBorders>
            <w:shd w:val="clear" w:color="auto" w:fill="auto"/>
            <w:noWrap/>
            <w:vAlign w:val="center"/>
            <w:hideMark/>
          </w:tcPr>
          <w:p w14:paraId="30B17F3D"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-2,8%</w:t>
            </w:r>
          </w:p>
        </w:tc>
        <w:tc>
          <w:tcPr>
            <w:tcW w:w="1000" w:type="dxa"/>
            <w:tcBorders>
              <w:top w:val="nil"/>
              <w:left w:val="nil"/>
              <w:bottom w:val="nil"/>
              <w:right w:val="nil"/>
            </w:tcBorders>
            <w:shd w:val="clear" w:color="auto" w:fill="auto"/>
            <w:noWrap/>
            <w:vAlign w:val="center"/>
            <w:hideMark/>
          </w:tcPr>
          <w:p w14:paraId="246B2473"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-2,7%</w:t>
            </w:r>
          </w:p>
        </w:tc>
      </w:tr>
      <w:tr w:rsidR="00A87FFB" w:rsidRPr="00A87FFB" w14:paraId="20357EDD" w14:textId="77777777" w:rsidTr="00A87FFB">
        <w:trPr>
          <w:trHeight w:val="195"/>
        </w:trPr>
        <w:tc>
          <w:tcPr>
            <w:tcW w:w="3969" w:type="dxa"/>
            <w:tcBorders>
              <w:top w:val="nil"/>
              <w:left w:val="nil"/>
              <w:bottom w:val="nil"/>
              <w:right w:val="nil"/>
            </w:tcBorders>
            <w:shd w:val="clear" w:color="auto" w:fill="auto"/>
            <w:vAlign w:val="center"/>
            <w:hideMark/>
          </w:tcPr>
          <w:p w14:paraId="74F57CD7" w14:textId="77777777" w:rsidR="00A87FFB" w:rsidRPr="00A87FFB" w:rsidRDefault="00A87FFB" w:rsidP="00A87FFB">
            <w:pPr>
              <w:spacing w:after="0"/>
              <w:jc w:val="right"/>
              <w:rPr>
                <w:rFonts w:eastAsia="Times New Roman" w:cs="Times New Roman"/>
                <w:i/>
                <w:iCs/>
                <w:color w:val="000000"/>
                <w:sz w:val="18"/>
                <w:szCs w:val="18"/>
              </w:rPr>
            </w:pPr>
          </w:p>
        </w:tc>
        <w:tc>
          <w:tcPr>
            <w:tcW w:w="1046" w:type="dxa"/>
            <w:tcBorders>
              <w:top w:val="nil"/>
              <w:left w:val="nil"/>
              <w:bottom w:val="nil"/>
              <w:right w:val="nil"/>
            </w:tcBorders>
            <w:shd w:val="clear" w:color="auto" w:fill="auto"/>
            <w:noWrap/>
            <w:vAlign w:val="center"/>
            <w:hideMark/>
          </w:tcPr>
          <w:p w14:paraId="08C349EE" w14:textId="77777777" w:rsidR="00A87FFB" w:rsidRPr="00A87FFB" w:rsidRDefault="00A87FFB" w:rsidP="00A87FFB">
            <w:pPr>
              <w:spacing w:after="0"/>
              <w:jc w:val="left"/>
              <w:rPr>
                <w:rFonts w:eastAsia="Times New Roman" w:cs="Times New Roman"/>
                <w:sz w:val="20"/>
                <w:szCs w:val="20"/>
              </w:rPr>
            </w:pPr>
          </w:p>
        </w:tc>
        <w:tc>
          <w:tcPr>
            <w:tcW w:w="1047" w:type="dxa"/>
            <w:tcBorders>
              <w:top w:val="nil"/>
              <w:left w:val="nil"/>
              <w:bottom w:val="nil"/>
              <w:right w:val="nil"/>
            </w:tcBorders>
            <w:shd w:val="clear" w:color="auto" w:fill="auto"/>
            <w:noWrap/>
            <w:vAlign w:val="center"/>
            <w:hideMark/>
          </w:tcPr>
          <w:p w14:paraId="46F7F2D2"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312B4772" w14:textId="77777777" w:rsidR="00A87FFB" w:rsidRPr="00A87FFB" w:rsidRDefault="00A87FFB" w:rsidP="00A87FFB">
            <w:pPr>
              <w:spacing w:after="0"/>
              <w:jc w:val="right"/>
              <w:rPr>
                <w:rFonts w:eastAsia="Times New Roman" w:cs="Times New Roman"/>
                <w:sz w:val="20"/>
                <w:szCs w:val="20"/>
              </w:rPr>
            </w:pPr>
          </w:p>
        </w:tc>
        <w:tc>
          <w:tcPr>
            <w:tcW w:w="994" w:type="dxa"/>
            <w:tcBorders>
              <w:top w:val="nil"/>
              <w:left w:val="nil"/>
              <w:bottom w:val="nil"/>
              <w:right w:val="nil"/>
            </w:tcBorders>
            <w:shd w:val="clear" w:color="auto" w:fill="auto"/>
            <w:noWrap/>
            <w:vAlign w:val="center"/>
            <w:hideMark/>
          </w:tcPr>
          <w:p w14:paraId="64609C21" w14:textId="77777777" w:rsidR="00A87FFB" w:rsidRPr="00A87FFB" w:rsidRDefault="00A87FFB" w:rsidP="00A87FFB">
            <w:pPr>
              <w:spacing w:after="0"/>
              <w:jc w:val="right"/>
              <w:rPr>
                <w:rFonts w:eastAsia="Times New Roman" w:cs="Times New Roman"/>
                <w:sz w:val="20"/>
                <w:szCs w:val="20"/>
              </w:rPr>
            </w:pPr>
          </w:p>
        </w:tc>
        <w:tc>
          <w:tcPr>
            <w:tcW w:w="1000" w:type="dxa"/>
            <w:tcBorders>
              <w:top w:val="nil"/>
              <w:left w:val="nil"/>
              <w:bottom w:val="nil"/>
              <w:right w:val="nil"/>
            </w:tcBorders>
            <w:shd w:val="clear" w:color="auto" w:fill="auto"/>
            <w:noWrap/>
            <w:vAlign w:val="center"/>
            <w:hideMark/>
          </w:tcPr>
          <w:p w14:paraId="69529546" w14:textId="77777777" w:rsidR="00A87FFB" w:rsidRPr="00A87FFB" w:rsidRDefault="00A87FFB" w:rsidP="00A87FFB">
            <w:pPr>
              <w:spacing w:after="0"/>
              <w:jc w:val="right"/>
              <w:rPr>
                <w:rFonts w:eastAsia="Times New Roman" w:cs="Times New Roman"/>
                <w:sz w:val="20"/>
                <w:szCs w:val="20"/>
              </w:rPr>
            </w:pPr>
          </w:p>
        </w:tc>
      </w:tr>
      <w:tr w:rsidR="00A87FFB" w:rsidRPr="00A87FFB" w14:paraId="7B53C74C" w14:textId="77777777" w:rsidTr="00A87FFB">
        <w:trPr>
          <w:trHeight w:val="345"/>
        </w:trPr>
        <w:tc>
          <w:tcPr>
            <w:tcW w:w="3969" w:type="dxa"/>
            <w:tcBorders>
              <w:top w:val="nil"/>
              <w:left w:val="nil"/>
              <w:bottom w:val="nil"/>
              <w:right w:val="nil"/>
            </w:tcBorders>
            <w:shd w:val="clear" w:color="auto" w:fill="auto"/>
            <w:vAlign w:val="center"/>
            <w:hideMark/>
          </w:tcPr>
          <w:p w14:paraId="3F50B55C" w14:textId="77777777" w:rsidR="00A87FFB" w:rsidRPr="00A87FFB" w:rsidRDefault="00A87FFB" w:rsidP="00A87FFB">
            <w:pPr>
              <w:spacing w:after="0"/>
              <w:jc w:val="left"/>
              <w:rPr>
                <w:rFonts w:eastAsia="Times New Roman" w:cs="Times New Roman"/>
                <w:b/>
                <w:bCs/>
                <w:color w:val="000000"/>
                <w:sz w:val="18"/>
                <w:szCs w:val="18"/>
              </w:rPr>
            </w:pPr>
            <w:r w:rsidRPr="00A87FFB">
              <w:rPr>
                <w:rFonts w:eastAsia="Times New Roman" w:cs="Times New Roman"/>
                <w:b/>
                <w:bCs/>
                <w:color w:val="000000"/>
                <w:sz w:val="18"/>
                <w:szCs w:val="18"/>
              </w:rPr>
              <w:lastRenderedPageBreak/>
              <w:t>ФИНАНСИРАНЕ (+/-)</w:t>
            </w:r>
          </w:p>
        </w:tc>
        <w:tc>
          <w:tcPr>
            <w:tcW w:w="1046" w:type="dxa"/>
            <w:tcBorders>
              <w:top w:val="nil"/>
              <w:left w:val="nil"/>
              <w:bottom w:val="nil"/>
              <w:right w:val="nil"/>
            </w:tcBorders>
            <w:shd w:val="clear" w:color="auto" w:fill="auto"/>
            <w:noWrap/>
            <w:vAlign w:val="center"/>
            <w:hideMark/>
          </w:tcPr>
          <w:p w14:paraId="164A526E"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2 753,9</w:t>
            </w:r>
          </w:p>
        </w:tc>
        <w:tc>
          <w:tcPr>
            <w:tcW w:w="1047" w:type="dxa"/>
            <w:tcBorders>
              <w:top w:val="nil"/>
              <w:left w:val="nil"/>
              <w:bottom w:val="nil"/>
              <w:right w:val="nil"/>
            </w:tcBorders>
            <w:shd w:val="clear" w:color="auto" w:fill="auto"/>
            <w:noWrap/>
            <w:vAlign w:val="center"/>
            <w:hideMark/>
          </w:tcPr>
          <w:p w14:paraId="3C490ECB"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3 550,1</w:t>
            </w:r>
          </w:p>
        </w:tc>
        <w:tc>
          <w:tcPr>
            <w:tcW w:w="1000" w:type="dxa"/>
            <w:tcBorders>
              <w:top w:val="nil"/>
              <w:left w:val="nil"/>
              <w:bottom w:val="nil"/>
              <w:right w:val="nil"/>
            </w:tcBorders>
            <w:shd w:val="clear" w:color="auto" w:fill="auto"/>
            <w:noWrap/>
            <w:vAlign w:val="center"/>
            <w:hideMark/>
          </w:tcPr>
          <w:p w14:paraId="59C94A80"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3 202,7</w:t>
            </w:r>
          </w:p>
        </w:tc>
        <w:tc>
          <w:tcPr>
            <w:tcW w:w="994" w:type="dxa"/>
            <w:tcBorders>
              <w:top w:val="nil"/>
              <w:left w:val="nil"/>
              <w:bottom w:val="nil"/>
              <w:right w:val="nil"/>
            </w:tcBorders>
            <w:shd w:val="clear" w:color="auto" w:fill="auto"/>
            <w:noWrap/>
            <w:vAlign w:val="center"/>
            <w:hideMark/>
          </w:tcPr>
          <w:p w14:paraId="1A3BF8A7"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3 600,9</w:t>
            </w:r>
          </w:p>
        </w:tc>
        <w:tc>
          <w:tcPr>
            <w:tcW w:w="1000" w:type="dxa"/>
            <w:tcBorders>
              <w:top w:val="nil"/>
              <w:left w:val="nil"/>
              <w:bottom w:val="nil"/>
              <w:right w:val="nil"/>
            </w:tcBorders>
            <w:shd w:val="clear" w:color="auto" w:fill="auto"/>
            <w:noWrap/>
            <w:vAlign w:val="center"/>
            <w:hideMark/>
          </w:tcPr>
          <w:p w14:paraId="09BEE494" w14:textId="77777777" w:rsidR="00A87FFB" w:rsidRPr="00A87FFB" w:rsidRDefault="00A87FFB" w:rsidP="00A87FFB">
            <w:pPr>
              <w:spacing w:after="0"/>
              <w:jc w:val="right"/>
              <w:rPr>
                <w:rFonts w:eastAsia="Times New Roman" w:cs="Times New Roman"/>
                <w:b/>
                <w:bCs/>
                <w:color w:val="000000"/>
                <w:sz w:val="18"/>
                <w:szCs w:val="18"/>
              </w:rPr>
            </w:pPr>
            <w:r w:rsidRPr="00A87FFB">
              <w:rPr>
                <w:rFonts w:eastAsia="Times New Roman" w:cs="Times New Roman"/>
                <w:b/>
                <w:bCs/>
                <w:color w:val="000000"/>
                <w:sz w:val="18"/>
                <w:szCs w:val="18"/>
              </w:rPr>
              <w:t>3 649,8</w:t>
            </w:r>
          </w:p>
        </w:tc>
      </w:tr>
      <w:tr w:rsidR="00A87FFB" w:rsidRPr="00A87FFB" w14:paraId="4BE43ADE" w14:textId="77777777" w:rsidTr="00A87FFB">
        <w:trPr>
          <w:trHeight w:val="240"/>
        </w:trPr>
        <w:tc>
          <w:tcPr>
            <w:tcW w:w="3969" w:type="dxa"/>
            <w:tcBorders>
              <w:top w:val="nil"/>
              <w:left w:val="nil"/>
              <w:bottom w:val="single" w:sz="4" w:space="0" w:color="auto"/>
              <w:right w:val="nil"/>
            </w:tcBorders>
            <w:shd w:val="clear" w:color="auto" w:fill="auto"/>
            <w:vAlign w:val="center"/>
            <w:hideMark/>
          </w:tcPr>
          <w:p w14:paraId="58119E07"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 от БВП</w:t>
            </w:r>
          </w:p>
        </w:tc>
        <w:tc>
          <w:tcPr>
            <w:tcW w:w="1046" w:type="dxa"/>
            <w:tcBorders>
              <w:top w:val="nil"/>
              <w:left w:val="nil"/>
              <w:bottom w:val="single" w:sz="4" w:space="0" w:color="auto"/>
              <w:right w:val="nil"/>
            </w:tcBorders>
            <w:shd w:val="clear" w:color="auto" w:fill="auto"/>
            <w:noWrap/>
            <w:vAlign w:val="center"/>
            <w:hideMark/>
          </w:tcPr>
          <w:p w14:paraId="36E85047"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2,5%</w:t>
            </w:r>
          </w:p>
        </w:tc>
        <w:tc>
          <w:tcPr>
            <w:tcW w:w="1047" w:type="dxa"/>
            <w:tcBorders>
              <w:top w:val="nil"/>
              <w:left w:val="nil"/>
              <w:bottom w:val="single" w:sz="4" w:space="0" w:color="auto"/>
              <w:right w:val="nil"/>
            </w:tcBorders>
            <w:shd w:val="clear" w:color="auto" w:fill="auto"/>
            <w:noWrap/>
            <w:vAlign w:val="center"/>
            <w:hideMark/>
          </w:tcPr>
          <w:p w14:paraId="095C968D"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3,1%</w:t>
            </w:r>
          </w:p>
        </w:tc>
        <w:tc>
          <w:tcPr>
            <w:tcW w:w="1000" w:type="dxa"/>
            <w:tcBorders>
              <w:top w:val="nil"/>
              <w:left w:val="nil"/>
              <w:bottom w:val="single" w:sz="4" w:space="0" w:color="auto"/>
              <w:right w:val="nil"/>
            </w:tcBorders>
            <w:shd w:val="clear" w:color="auto" w:fill="auto"/>
            <w:noWrap/>
            <w:vAlign w:val="center"/>
            <w:hideMark/>
          </w:tcPr>
          <w:p w14:paraId="40086222"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2,7%</w:t>
            </w:r>
          </w:p>
        </w:tc>
        <w:tc>
          <w:tcPr>
            <w:tcW w:w="994" w:type="dxa"/>
            <w:tcBorders>
              <w:top w:val="nil"/>
              <w:left w:val="nil"/>
              <w:bottom w:val="single" w:sz="4" w:space="0" w:color="auto"/>
              <w:right w:val="nil"/>
            </w:tcBorders>
            <w:shd w:val="clear" w:color="auto" w:fill="auto"/>
            <w:noWrap/>
            <w:vAlign w:val="center"/>
            <w:hideMark/>
          </w:tcPr>
          <w:p w14:paraId="1CA9940F"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2,8%</w:t>
            </w:r>
          </w:p>
        </w:tc>
        <w:tc>
          <w:tcPr>
            <w:tcW w:w="1000" w:type="dxa"/>
            <w:tcBorders>
              <w:top w:val="nil"/>
              <w:left w:val="nil"/>
              <w:bottom w:val="single" w:sz="4" w:space="0" w:color="auto"/>
              <w:right w:val="nil"/>
            </w:tcBorders>
            <w:shd w:val="clear" w:color="auto" w:fill="auto"/>
            <w:noWrap/>
            <w:vAlign w:val="center"/>
            <w:hideMark/>
          </w:tcPr>
          <w:p w14:paraId="30A1D7E5" w14:textId="77777777" w:rsidR="00A87FFB" w:rsidRPr="00A87FFB" w:rsidRDefault="00A87FFB" w:rsidP="00A87FFB">
            <w:pPr>
              <w:spacing w:after="0"/>
              <w:jc w:val="right"/>
              <w:rPr>
                <w:rFonts w:eastAsia="Times New Roman" w:cs="Times New Roman"/>
                <w:i/>
                <w:iCs/>
                <w:color w:val="000000"/>
                <w:sz w:val="18"/>
                <w:szCs w:val="18"/>
              </w:rPr>
            </w:pPr>
            <w:r w:rsidRPr="00A87FFB">
              <w:rPr>
                <w:rFonts w:eastAsia="Times New Roman" w:cs="Times New Roman"/>
                <w:i/>
                <w:iCs/>
                <w:color w:val="000000"/>
                <w:sz w:val="18"/>
                <w:szCs w:val="18"/>
              </w:rPr>
              <w:t>2,7%</w:t>
            </w:r>
          </w:p>
        </w:tc>
      </w:tr>
    </w:tbl>
    <w:p w14:paraId="0DB325DA" w14:textId="77777777" w:rsidR="006140A3" w:rsidRDefault="006140A3" w:rsidP="00D52114">
      <w:pPr>
        <w:spacing w:before="60" w:after="0"/>
        <w:jc w:val="right"/>
        <w:rPr>
          <w:rFonts w:eastAsia="Batang" w:cs="Times New Roman"/>
          <w:sz w:val="18"/>
          <w:szCs w:val="18"/>
        </w:rPr>
      </w:pPr>
      <w:r w:rsidRPr="002F4780">
        <w:rPr>
          <w:rFonts w:eastAsia="Batang" w:cs="Times New Roman"/>
          <w:sz w:val="18"/>
          <w:szCs w:val="18"/>
        </w:rPr>
        <w:t>Източник: МФ</w:t>
      </w:r>
    </w:p>
    <w:p w14:paraId="2CBFCF73" w14:textId="77777777" w:rsidR="00675419" w:rsidRDefault="00675419" w:rsidP="00825016"/>
    <w:p w14:paraId="55862B8B" w14:textId="77777777" w:rsidR="002F4777" w:rsidRPr="00E82F76" w:rsidRDefault="002F4777" w:rsidP="00825016">
      <w:r w:rsidRPr="00E82F76">
        <w:t xml:space="preserve">И през следващия </w:t>
      </w:r>
      <w:r>
        <w:t>тригодишен</w:t>
      </w:r>
      <w:r w:rsidRPr="00E82F76">
        <w:t xml:space="preserve"> период приоритет за страната ни остава успешното усвояване на средствата от европейските фондове и програми на ЕС.</w:t>
      </w:r>
    </w:p>
    <w:p w14:paraId="17415940" w14:textId="77777777" w:rsidR="002F4777" w:rsidRDefault="002F4777" w:rsidP="00825016">
      <w:r w:rsidRPr="00E82F76">
        <w:t>Въздействието върху бюджета за периода 202</w:t>
      </w:r>
      <w:r>
        <w:t>4</w:t>
      </w:r>
      <w:r w:rsidRPr="00E82F76">
        <w:t>-202</w:t>
      </w:r>
      <w:r>
        <w:t>8</w:t>
      </w:r>
      <w:r w:rsidRPr="00E82F76">
        <w:t> г. от финансовите взаимоотношения с ЕС е представено в Табл. II-</w:t>
      </w:r>
      <w:r w:rsidRPr="00C4275A">
        <w:t>4</w:t>
      </w:r>
      <w:r w:rsidRPr="00E82F76">
        <w:t>.</w:t>
      </w:r>
    </w:p>
    <w:p w14:paraId="4109B95A" w14:textId="77777777" w:rsidR="002F4777" w:rsidRDefault="002F4777" w:rsidP="00645C6D">
      <w:pPr>
        <w:pStyle w:val="Caption"/>
        <w:keepNext/>
        <w:spacing w:before="240"/>
        <w:ind w:left="0" w:firstLine="0"/>
        <w:rPr>
          <w:vertAlign w:val="superscript"/>
        </w:rPr>
      </w:pPr>
      <w:bookmarkStart w:id="202" w:name="_Toc191051714"/>
      <w:bookmarkStart w:id="203" w:name="_Toc213229056"/>
      <w:r w:rsidRPr="003E2F6D">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3E2F6D">
        <w:noBreakHyphen/>
      </w:r>
      <w:r w:rsidR="00974F02">
        <w:fldChar w:fldCharType="begin"/>
      </w:r>
      <w:r w:rsidR="00974F02">
        <w:instrText xml:space="preserve"> SEQ Табл. \* ARABIC \s 1 </w:instrText>
      </w:r>
      <w:r w:rsidR="00974F02">
        <w:fldChar w:fldCharType="separate"/>
      </w:r>
      <w:r w:rsidR="00841DFA">
        <w:rPr>
          <w:noProof/>
        </w:rPr>
        <w:t>4</w:t>
      </w:r>
      <w:r w:rsidR="00974F02">
        <w:rPr>
          <w:noProof/>
        </w:rPr>
        <w:fldChar w:fldCharType="end"/>
      </w:r>
      <w:r w:rsidRPr="003E2F6D">
        <w:t>:</w:t>
      </w:r>
      <w:r w:rsidRPr="003E2F6D">
        <w:tab/>
      </w:r>
      <w:r w:rsidRPr="003E2F6D">
        <w:rPr>
          <w:color w:val="000000"/>
        </w:rPr>
        <w:t xml:space="preserve">КФП – Сметки за средства от </w:t>
      </w:r>
      <w:r w:rsidRPr="00891FE0">
        <w:rPr>
          <w:color w:val="000000"/>
        </w:rPr>
        <w:t>ЕС (202</w:t>
      </w:r>
      <w:r w:rsidR="00B34E8E">
        <w:rPr>
          <w:color w:val="000000"/>
        </w:rPr>
        <w:t>6</w:t>
      </w:r>
      <w:r w:rsidRPr="00891FE0">
        <w:rPr>
          <w:color w:val="000000"/>
        </w:rPr>
        <w:t>-2028 г.</w:t>
      </w:r>
      <w:r w:rsidRPr="003E2F6D">
        <w:rPr>
          <w:color w:val="000000"/>
        </w:rPr>
        <w:t>)</w:t>
      </w:r>
      <w:r w:rsidRPr="003E2F6D">
        <w:rPr>
          <w:vertAlign w:val="superscript"/>
        </w:rPr>
        <w:t xml:space="preserve"> </w:t>
      </w:r>
      <w:r w:rsidRPr="003E2F6D">
        <w:rPr>
          <w:vertAlign w:val="superscript"/>
        </w:rPr>
        <w:footnoteReference w:id="16"/>
      </w:r>
      <w:bookmarkEnd w:id="202"/>
      <w:bookmarkEnd w:id="203"/>
    </w:p>
    <w:tbl>
      <w:tblPr>
        <w:tblW w:w="8883" w:type="dxa"/>
        <w:tblCellMar>
          <w:left w:w="70" w:type="dxa"/>
          <w:right w:w="70" w:type="dxa"/>
        </w:tblCellMar>
        <w:tblLook w:val="04A0" w:firstRow="1" w:lastRow="0" w:firstColumn="1" w:lastColumn="0" w:noHBand="0" w:noVBand="1"/>
      </w:tblPr>
      <w:tblGrid>
        <w:gridCol w:w="3648"/>
        <w:gridCol w:w="1076"/>
        <w:gridCol w:w="1078"/>
        <w:gridCol w:w="1029"/>
        <w:gridCol w:w="1023"/>
        <w:gridCol w:w="1029"/>
      </w:tblGrid>
      <w:tr w:rsidR="00820EA1" w:rsidRPr="00820EA1" w14:paraId="15F5B15E" w14:textId="77777777" w:rsidTr="00580843">
        <w:trPr>
          <w:trHeight w:val="517"/>
          <w:tblHeader/>
        </w:trPr>
        <w:tc>
          <w:tcPr>
            <w:tcW w:w="3648" w:type="dxa"/>
            <w:vMerge w:val="restart"/>
            <w:tcBorders>
              <w:top w:val="single" w:sz="4" w:space="0" w:color="595959"/>
              <w:left w:val="nil"/>
              <w:bottom w:val="single" w:sz="4" w:space="0" w:color="000000"/>
              <w:right w:val="nil"/>
            </w:tcBorders>
            <w:shd w:val="clear" w:color="auto" w:fill="auto"/>
            <w:vAlign w:val="center"/>
            <w:hideMark/>
          </w:tcPr>
          <w:p w14:paraId="2D188804" w14:textId="77777777" w:rsidR="00820EA1" w:rsidRPr="00820EA1" w:rsidRDefault="00820EA1" w:rsidP="00820EA1">
            <w:pPr>
              <w:spacing w:after="0"/>
              <w:jc w:val="center"/>
              <w:rPr>
                <w:rFonts w:eastAsia="Times New Roman" w:cs="Times New Roman"/>
                <w:b/>
                <w:bCs/>
                <w:sz w:val="20"/>
                <w:szCs w:val="20"/>
              </w:rPr>
            </w:pPr>
            <w:r w:rsidRPr="00820EA1">
              <w:rPr>
                <w:rFonts w:eastAsia="Times New Roman" w:cs="Times New Roman"/>
                <w:b/>
                <w:bCs/>
                <w:sz w:val="20"/>
                <w:szCs w:val="20"/>
              </w:rPr>
              <w:t>КФП                                                                             СМЕТКИ ЗА СРЕДСТВА ОТ ЕС</w:t>
            </w:r>
            <w:r w:rsidRPr="00820EA1">
              <w:rPr>
                <w:rFonts w:eastAsia="Times New Roman" w:cs="Times New Roman"/>
                <w:b/>
                <w:bCs/>
                <w:sz w:val="20"/>
                <w:szCs w:val="20"/>
              </w:rPr>
              <w:br/>
              <w:t xml:space="preserve">млн. </w:t>
            </w:r>
            <w:proofErr w:type="spellStart"/>
            <w:r w:rsidRPr="00820EA1">
              <w:rPr>
                <w:rFonts w:eastAsia="Times New Roman" w:cs="Times New Roman"/>
                <w:b/>
                <w:bCs/>
                <w:sz w:val="20"/>
                <w:szCs w:val="20"/>
              </w:rPr>
              <w:t>eвро</w:t>
            </w:r>
            <w:proofErr w:type="spellEnd"/>
          </w:p>
        </w:tc>
        <w:tc>
          <w:tcPr>
            <w:tcW w:w="1076" w:type="dxa"/>
            <w:vMerge w:val="restart"/>
            <w:tcBorders>
              <w:top w:val="single" w:sz="4" w:space="0" w:color="595959"/>
              <w:left w:val="nil"/>
              <w:bottom w:val="single" w:sz="4" w:space="0" w:color="000000"/>
              <w:right w:val="nil"/>
            </w:tcBorders>
            <w:shd w:val="clear" w:color="auto" w:fill="auto"/>
            <w:hideMark/>
          </w:tcPr>
          <w:p w14:paraId="2126BE86" w14:textId="77777777" w:rsidR="00820EA1" w:rsidRPr="00820EA1" w:rsidRDefault="00820EA1" w:rsidP="00820EA1">
            <w:pPr>
              <w:spacing w:after="0"/>
              <w:jc w:val="center"/>
              <w:rPr>
                <w:rFonts w:eastAsia="Times New Roman" w:cs="Times New Roman"/>
                <w:b/>
                <w:bCs/>
                <w:sz w:val="20"/>
                <w:szCs w:val="20"/>
              </w:rPr>
            </w:pPr>
            <w:r w:rsidRPr="00820EA1">
              <w:rPr>
                <w:rFonts w:eastAsia="Times New Roman" w:cs="Times New Roman"/>
                <w:b/>
                <w:bCs/>
                <w:sz w:val="20"/>
                <w:szCs w:val="20"/>
              </w:rPr>
              <w:t>2025</w:t>
            </w:r>
            <w:r w:rsidRPr="00820EA1">
              <w:rPr>
                <w:rFonts w:eastAsia="Times New Roman" w:cs="Times New Roman"/>
                <w:b/>
                <w:bCs/>
                <w:sz w:val="20"/>
                <w:szCs w:val="20"/>
              </w:rPr>
              <w:br/>
              <w:t>Програма</w:t>
            </w:r>
          </w:p>
        </w:tc>
        <w:tc>
          <w:tcPr>
            <w:tcW w:w="1078" w:type="dxa"/>
            <w:vMerge w:val="restart"/>
            <w:tcBorders>
              <w:top w:val="single" w:sz="4" w:space="0" w:color="595959"/>
              <w:left w:val="nil"/>
              <w:bottom w:val="single" w:sz="4" w:space="0" w:color="000000"/>
              <w:right w:val="nil"/>
            </w:tcBorders>
            <w:shd w:val="clear" w:color="auto" w:fill="auto"/>
            <w:hideMark/>
          </w:tcPr>
          <w:p w14:paraId="6667CF94" w14:textId="77777777" w:rsidR="00820EA1" w:rsidRPr="00820EA1" w:rsidRDefault="00820EA1" w:rsidP="00820EA1">
            <w:pPr>
              <w:spacing w:after="0"/>
              <w:jc w:val="center"/>
              <w:rPr>
                <w:rFonts w:eastAsia="Times New Roman" w:cs="Times New Roman"/>
                <w:b/>
                <w:bCs/>
                <w:sz w:val="20"/>
                <w:szCs w:val="20"/>
              </w:rPr>
            </w:pPr>
            <w:r w:rsidRPr="00820EA1">
              <w:rPr>
                <w:rFonts w:eastAsia="Times New Roman" w:cs="Times New Roman"/>
                <w:b/>
                <w:bCs/>
                <w:sz w:val="20"/>
                <w:szCs w:val="20"/>
              </w:rPr>
              <w:t>2025</w:t>
            </w:r>
            <w:r w:rsidRPr="00820EA1">
              <w:rPr>
                <w:rFonts w:eastAsia="Times New Roman" w:cs="Times New Roman"/>
                <w:b/>
                <w:bCs/>
                <w:sz w:val="20"/>
                <w:szCs w:val="20"/>
              </w:rPr>
              <w:br/>
              <w:t>Очаквано</w:t>
            </w:r>
          </w:p>
        </w:tc>
        <w:tc>
          <w:tcPr>
            <w:tcW w:w="1029" w:type="dxa"/>
            <w:vMerge w:val="restart"/>
            <w:tcBorders>
              <w:top w:val="single" w:sz="4" w:space="0" w:color="595959"/>
              <w:left w:val="nil"/>
              <w:bottom w:val="single" w:sz="4" w:space="0" w:color="000000"/>
              <w:right w:val="nil"/>
            </w:tcBorders>
            <w:shd w:val="clear" w:color="auto" w:fill="auto"/>
            <w:hideMark/>
          </w:tcPr>
          <w:p w14:paraId="379343BF" w14:textId="77777777" w:rsidR="00820EA1" w:rsidRPr="00820EA1" w:rsidRDefault="00820EA1" w:rsidP="00820EA1">
            <w:pPr>
              <w:spacing w:after="0"/>
              <w:jc w:val="center"/>
              <w:rPr>
                <w:rFonts w:eastAsia="Times New Roman" w:cs="Times New Roman"/>
                <w:b/>
                <w:bCs/>
                <w:sz w:val="20"/>
                <w:szCs w:val="20"/>
              </w:rPr>
            </w:pPr>
            <w:r w:rsidRPr="00820EA1">
              <w:rPr>
                <w:rFonts w:eastAsia="Times New Roman" w:cs="Times New Roman"/>
                <w:b/>
                <w:bCs/>
                <w:sz w:val="20"/>
                <w:szCs w:val="20"/>
              </w:rPr>
              <w:t>2026</w:t>
            </w:r>
            <w:r w:rsidRPr="00820EA1">
              <w:rPr>
                <w:rFonts w:eastAsia="Times New Roman" w:cs="Times New Roman"/>
                <w:b/>
                <w:bCs/>
                <w:sz w:val="20"/>
                <w:szCs w:val="20"/>
              </w:rPr>
              <w:br/>
              <w:t>Проект</w:t>
            </w:r>
          </w:p>
        </w:tc>
        <w:tc>
          <w:tcPr>
            <w:tcW w:w="1023" w:type="dxa"/>
            <w:vMerge w:val="restart"/>
            <w:tcBorders>
              <w:top w:val="single" w:sz="4" w:space="0" w:color="595959"/>
              <w:left w:val="nil"/>
              <w:bottom w:val="single" w:sz="4" w:space="0" w:color="000000"/>
              <w:right w:val="nil"/>
            </w:tcBorders>
            <w:shd w:val="clear" w:color="auto" w:fill="auto"/>
            <w:hideMark/>
          </w:tcPr>
          <w:p w14:paraId="279ACE34" w14:textId="77777777" w:rsidR="00820EA1" w:rsidRPr="00820EA1" w:rsidRDefault="00820EA1" w:rsidP="00820EA1">
            <w:pPr>
              <w:spacing w:after="0"/>
              <w:jc w:val="center"/>
              <w:rPr>
                <w:rFonts w:eastAsia="Times New Roman" w:cs="Times New Roman"/>
                <w:b/>
                <w:bCs/>
                <w:sz w:val="20"/>
                <w:szCs w:val="20"/>
              </w:rPr>
            </w:pPr>
            <w:r w:rsidRPr="00820EA1">
              <w:rPr>
                <w:rFonts w:eastAsia="Times New Roman" w:cs="Times New Roman"/>
                <w:b/>
                <w:bCs/>
                <w:sz w:val="20"/>
                <w:szCs w:val="20"/>
              </w:rPr>
              <w:t>2027</w:t>
            </w:r>
            <w:r w:rsidRPr="00820EA1">
              <w:rPr>
                <w:rFonts w:eastAsia="Times New Roman" w:cs="Times New Roman"/>
                <w:b/>
                <w:bCs/>
                <w:sz w:val="20"/>
                <w:szCs w:val="20"/>
              </w:rPr>
              <w:br/>
              <w:t>Прогноза</w:t>
            </w:r>
          </w:p>
        </w:tc>
        <w:tc>
          <w:tcPr>
            <w:tcW w:w="1029" w:type="dxa"/>
            <w:vMerge w:val="restart"/>
            <w:tcBorders>
              <w:top w:val="single" w:sz="4" w:space="0" w:color="595959"/>
              <w:left w:val="nil"/>
              <w:bottom w:val="single" w:sz="4" w:space="0" w:color="000000"/>
              <w:right w:val="nil"/>
            </w:tcBorders>
            <w:shd w:val="clear" w:color="auto" w:fill="auto"/>
            <w:hideMark/>
          </w:tcPr>
          <w:p w14:paraId="78E5763B" w14:textId="77777777" w:rsidR="00820EA1" w:rsidRPr="00820EA1" w:rsidRDefault="00820EA1" w:rsidP="00820EA1">
            <w:pPr>
              <w:spacing w:after="0"/>
              <w:jc w:val="center"/>
              <w:rPr>
                <w:rFonts w:eastAsia="Times New Roman" w:cs="Times New Roman"/>
                <w:b/>
                <w:bCs/>
                <w:sz w:val="20"/>
                <w:szCs w:val="20"/>
              </w:rPr>
            </w:pPr>
            <w:r w:rsidRPr="00820EA1">
              <w:rPr>
                <w:rFonts w:eastAsia="Times New Roman" w:cs="Times New Roman"/>
                <w:b/>
                <w:bCs/>
                <w:sz w:val="20"/>
                <w:szCs w:val="20"/>
              </w:rPr>
              <w:t>2028</w:t>
            </w:r>
            <w:r w:rsidRPr="00820EA1">
              <w:rPr>
                <w:rFonts w:eastAsia="Times New Roman" w:cs="Times New Roman"/>
                <w:b/>
                <w:bCs/>
                <w:sz w:val="20"/>
                <w:szCs w:val="20"/>
              </w:rPr>
              <w:br/>
              <w:t>Прогноза</w:t>
            </w:r>
          </w:p>
        </w:tc>
      </w:tr>
      <w:tr w:rsidR="00820EA1" w:rsidRPr="00820EA1" w14:paraId="26516079" w14:textId="77777777" w:rsidTr="00580843">
        <w:trPr>
          <w:trHeight w:val="517"/>
        </w:trPr>
        <w:tc>
          <w:tcPr>
            <w:tcW w:w="3648" w:type="dxa"/>
            <w:vMerge/>
            <w:tcBorders>
              <w:top w:val="single" w:sz="4" w:space="0" w:color="595959"/>
              <w:left w:val="nil"/>
              <w:bottom w:val="single" w:sz="4" w:space="0" w:color="000000"/>
              <w:right w:val="nil"/>
            </w:tcBorders>
            <w:vAlign w:val="center"/>
            <w:hideMark/>
          </w:tcPr>
          <w:p w14:paraId="0DA22769" w14:textId="77777777" w:rsidR="00820EA1" w:rsidRPr="00820EA1" w:rsidRDefault="00820EA1" w:rsidP="00820EA1">
            <w:pPr>
              <w:spacing w:after="0"/>
              <w:jc w:val="left"/>
              <w:rPr>
                <w:rFonts w:eastAsia="Times New Roman" w:cs="Times New Roman"/>
                <w:b/>
                <w:bCs/>
                <w:sz w:val="20"/>
                <w:szCs w:val="20"/>
              </w:rPr>
            </w:pPr>
          </w:p>
        </w:tc>
        <w:tc>
          <w:tcPr>
            <w:tcW w:w="1076" w:type="dxa"/>
            <w:vMerge/>
            <w:tcBorders>
              <w:top w:val="single" w:sz="4" w:space="0" w:color="595959"/>
              <w:left w:val="nil"/>
              <w:bottom w:val="single" w:sz="4" w:space="0" w:color="000000"/>
              <w:right w:val="nil"/>
            </w:tcBorders>
            <w:vAlign w:val="center"/>
            <w:hideMark/>
          </w:tcPr>
          <w:p w14:paraId="20CEACD4" w14:textId="77777777" w:rsidR="00820EA1" w:rsidRPr="00820EA1" w:rsidRDefault="00820EA1" w:rsidP="00820EA1">
            <w:pPr>
              <w:spacing w:after="0"/>
              <w:jc w:val="left"/>
              <w:rPr>
                <w:rFonts w:eastAsia="Times New Roman" w:cs="Times New Roman"/>
                <w:b/>
                <w:bCs/>
                <w:sz w:val="20"/>
                <w:szCs w:val="20"/>
              </w:rPr>
            </w:pPr>
          </w:p>
        </w:tc>
        <w:tc>
          <w:tcPr>
            <w:tcW w:w="1078" w:type="dxa"/>
            <w:vMerge/>
            <w:tcBorders>
              <w:top w:val="single" w:sz="4" w:space="0" w:color="595959"/>
              <w:left w:val="nil"/>
              <w:bottom w:val="single" w:sz="4" w:space="0" w:color="000000"/>
              <w:right w:val="nil"/>
            </w:tcBorders>
            <w:vAlign w:val="center"/>
            <w:hideMark/>
          </w:tcPr>
          <w:p w14:paraId="33C91802" w14:textId="77777777" w:rsidR="00820EA1" w:rsidRPr="00820EA1" w:rsidRDefault="00820EA1" w:rsidP="00820EA1">
            <w:pPr>
              <w:spacing w:after="0"/>
              <w:jc w:val="left"/>
              <w:rPr>
                <w:rFonts w:eastAsia="Times New Roman" w:cs="Times New Roman"/>
                <w:b/>
                <w:bCs/>
                <w:sz w:val="20"/>
                <w:szCs w:val="20"/>
              </w:rPr>
            </w:pPr>
          </w:p>
        </w:tc>
        <w:tc>
          <w:tcPr>
            <w:tcW w:w="1029" w:type="dxa"/>
            <w:vMerge/>
            <w:tcBorders>
              <w:top w:val="single" w:sz="4" w:space="0" w:color="595959"/>
              <w:left w:val="nil"/>
              <w:bottom w:val="single" w:sz="4" w:space="0" w:color="000000"/>
              <w:right w:val="nil"/>
            </w:tcBorders>
            <w:vAlign w:val="center"/>
            <w:hideMark/>
          </w:tcPr>
          <w:p w14:paraId="44AADA25" w14:textId="77777777" w:rsidR="00820EA1" w:rsidRPr="00820EA1" w:rsidRDefault="00820EA1" w:rsidP="00820EA1">
            <w:pPr>
              <w:spacing w:after="0"/>
              <w:jc w:val="left"/>
              <w:rPr>
                <w:rFonts w:eastAsia="Times New Roman" w:cs="Times New Roman"/>
                <w:b/>
                <w:bCs/>
                <w:sz w:val="20"/>
                <w:szCs w:val="20"/>
              </w:rPr>
            </w:pPr>
          </w:p>
        </w:tc>
        <w:tc>
          <w:tcPr>
            <w:tcW w:w="1023" w:type="dxa"/>
            <w:vMerge/>
            <w:tcBorders>
              <w:top w:val="single" w:sz="4" w:space="0" w:color="595959"/>
              <w:left w:val="nil"/>
              <w:bottom w:val="single" w:sz="4" w:space="0" w:color="000000"/>
              <w:right w:val="nil"/>
            </w:tcBorders>
            <w:vAlign w:val="center"/>
            <w:hideMark/>
          </w:tcPr>
          <w:p w14:paraId="697F99FA" w14:textId="77777777" w:rsidR="00820EA1" w:rsidRPr="00820EA1" w:rsidRDefault="00820EA1" w:rsidP="00820EA1">
            <w:pPr>
              <w:spacing w:after="0"/>
              <w:jc w:val="left"/>
              <w:rPr>
                <w:rFonts w:eastAsia="Times New Roman" w:cs="Times New Roman"/>
                <w:b/>
                <w:bCs/>
                <w:sz w:val="20"/>
                <w:szCs w:val="20"/>
              </w:rPr>
            </w:pPr>
          </w:p>
        </w:tc>
        <w:tc>
          <w:tcPr>
            <w:tcW w:w="1029" w:type="dxa"/>
            <w:vMerge/>
            <w:tcBorders>
              <w:top w:val="single" w:sz="4" w:space="0" w:color="595959"/>
              <w:left w:val="nil"/>
              <w:bottom w:val="single" w:sz="4" w:space="0" w:color="000000"/>
              <w:right w:val="nil"/>
            </w:tcBorders>
            <w:vAlign w:val="center"/>
            <w:hideMark/>
          </w:tcPr>
          <w:p w14:paraId="5F42F22C" w14:textId="77777777" w:rsidR="00820EA1" w:rsidRPr="00820EA1" w:rsidRDefault="00820EA1" w:rsidP="00820EA1">
            <w:pPr>
              <w:spacing w:after="0"/>
              <w:jc w:val="left"/>
              <w:rPr>
                <w:rFonts w:eastAsia="Times New Roman" w:cs="Times New Roman"/>
                <w:b/>
                <w:bCs/>
                <w:sz w:val="20"/>
                <w:szCs w:val="20"/>
              </w:rPr>
            </w:pPr>
          </w:p>
        </w:tc>
      </w:tr>
      <w:tr w:rsidR="00820EA1" w:rsidRPr="00820EA1" w14:paraId="7C3EB3F2" w14:textId="77777777" w:rsidTr="00580843">
        <w:trPr>
          <w:trHeight w:val="517"/>
        </w:trPr>
        <w:tc>
          <w:tcPr>
            <w:tcW w:w="3648" w:type="dxa"/>
            <w:vMerge/>
            <w:tcBorders>
              <w:top w:val="single" w:sz="4" w:space="0" w:color="595959"/>
              <w:left w:val="nil"/>
              <w:bottom w:val="single" w:sz="4" w:space="0" w:color="000000"/>
              <w:right w:val="nil"/>
            </w:tcBorders>
            <w:vAlign w:val="center"/>
            <w:hideMark/>
          </w:tcPr>
          <w:p w14:paraId="1AEEB74F" w14:textId="77777777" w:rsidR="00820EA1" w:rsidRPr="00820EA1" w:rsidRDefault="00820EA1" w:rsidP="00820EA1">
            <w:pPr>
              <w:spacing w:after="0"/>
              <w:jc w:val="left"/>
              <w:rPr>
                <w:rFonts w:eastAsia="Times New Roman" w:cs="Times New Roman"/>
                <w:b/>
                <w:bCs/>
                <w:sz w:val="20"/>
                <w:szCs w:val="20"/>
              </w:rPr>
            </w:pPr>
          </w:p>
        </w:tc>
        <w:tc>
          <w:tcPr>
            <w:tcW w:w="1076" w:type="dxa"/>
            <w:vMerge/>
            <w:tcBorders>
              <w:top w:val="single" w:sz="4" w:space="0" w:color="595959"/>
              <w:left w:val="nil"/>
              <w:bottom w:val="single" w:sz="4" w:space="0" w:color="000000"/>
              <w:right w:val="nil"/>
            </w:tcBorders>
            <w:vAlign w:val="center"/>
            <w:hideMark/>
          </w:tcPr>
          <w:p w14:paraId="52FB11C3" w14:textId="77777777" w:rsidR="00820EA1" w:rsidRPr="00820EA1" w:rsidRDefault="00820EA1" w:rsidP="00820EA1">
            <w:pPr>
              <w:spacing w:after="0"/>
              <w:jc w:val="left"/>
              <w:rPr>
                <w:rFonts w:eastAsia="Times New Roman" w:cs="Times New Roman"/>
                <w:b/>
                <w:bCs/>
                <w:sz w:val="20"/>
                <w:szCs w:val="20"/>
              </w:rPr>
            </w:pPr>
          </w:p>
        </w:tc>
        <w:tc>
          <w:tcPr>
            <w:tcW w:w="1078" w:type="dxa"/>
            <w:vMerge/>
            <w:tcBorders>
              <w:top w:val="single" w:sz="4" w:space="0" w:color="595959"/>
              <w:left w:val="nil"/>
              <w:bottom w:val="single" w:sz="4" w:space="0" w:color="000000"/>
              <w:right w:val="nil"/>
            </w:tcBorders>
            <w:vAlign w:val="center"/>
            <w:hideMark/>
          </w:tcPr>
          <w:p w14:paraId="04E54B4C" w14:textId="77777777" w:rsidR="00820EA1" w:rsidRPr="00820EA1" w:rsidRDefault="00820EA1" w:rsidP="00820EA1">
            <w:pPr>
              <w:spacing w:after="0"/>
              <w:jc w:val="left"/>
              <w:rPr>
                <w:rFonts w:eastAsia="Times New Roman" w:cs="Times New Roman"/>
                <w:b/>
                <w:bCs/>
                <w:sz w:val="20"/>
                <w:szCs w:val="20"/>
              </w:rPr>
            </w:pPr>
          </w:p>
        </w:tc>
        <w:tc>
          <w:tcPr>
            <w:tcW w:w="1029" w:type="dxa"/>
            <w:vMerge/>
            <w:tcBorders>
              <w:top w:val="single" w:sz="4" w:space="0" w:color="595959"/>
              <w:left w:val="nil"/>
              <w:bottom w:val="single" w:sz="4" w:space="0" w:color="000000"/>
              <w:right w:val="nil"/>
            </w:tcBorders>
            <w:vAlign w:val="center"/>
            <w:hideMark/>
          </w:tcPr>
          <w:p w14:paraId="6B8653D6" w14:textId="77777777" w:rsidR="00820EA1" w:rsidRPr="00820EA1" w:rsidRDefault="00820EA1" w:rsidP="00820EA1">
            <w:pPr>
              <w:spacing w:after="0"/>
              <w:jc w:val="left"/>
              <w:rPr>
                <w:rFonts w:eastAsia="Times New Roman" w:cs="Times New Roman"/>
                <w:b/>
                <w:bCs/>
                <w:sz w:val="20"/>
                <w:szCs w:val="20"/>
              </w:rPr>
            </w:pPr>
          </w:p>
        </w:tc>
        <w:tc>
          <w:tcPr>
            <w:tcW w:w="1023" w:type="dxa"/>
            <w:vMerge/>
            <w:tcBorders>
              <w:top w:val="single" w:sz="4" w:space="0" w:color="595959"/>
              <w:left w:val="nil"/>
              <w:bottom w:val="single" w:sz="4" w:space="0" w:color="000000"/>
              <w:right w:val="nil"/>
            </w:tcBorders>
            <w:vAlign w:val="center"/>
            <w:hideMark/>
          </w:tcPr>
          <w:p w14:paraId="1B4B1F8C" w14:textId="77777777" w:rsidR="00820EA1" w:rsidRPr="00820EA1" w:rsidRDefault="00820EA1" w:rsidP="00820EA1">
            <w:pPr>
              <w:spacing w:after="0"/>
              <w:jc w:val="left"/>
              <w:rPr>
                <w:rFonts w:eastAsia="Times New Roman" w:cs="Times New Roman"/>
                <w:b/>
                <w:bCs/>
                <w:sz w:val="20"/>
                <w:szCs w:val="20"/>
              </w:rPr>
            </w:pPr>
          </w:p>
        </w:tc>
        <w:tc>
          <w:tcPr>
            <w:tcW w:w="1029" w:type="dxa"/>
            <w:vMerge/>
            <w:tcBorders>
              <w:top w:val="single" w:sz="4" w:space="0" w:color="595959"/>
              <w:left w:val="nil"/>
              <w:bottom w:val="single" w:sz="4" w:space="0" w:color="000000"/>
              <w:right w:val="nil"/>
            </w:tcBorders>
            <w:vAlign w:val="center"/>
            <w:hideMark/>
          </w:tcPr>
          <w:p w14:paraId="2C05F96E" w14:textId="77777777" w:rsidR="00820EA1" w:rsidRPr="00820EA1" w:rsidRDefault="00820EA1" w:rsidP="00820EA1">
            <w:pPr>
              <w:spacing w:after="0"/>
              <w:jc w:val="left"/>
              <w:rPr>
                <w:rFonts w:eastAsia="Times New Roman" w:cs="Times New Roman"/>
                <w:b/>
                <w:bCs/>
                <w:sz w:val="20"/>
                <w:szCs w:val="20"/>
              </w:rPr>
            </w:pPr>
          </w:p>
        </w:tc>
      </w:tr>
      <w:tr w:rsidR="00820EA1" w:rsidRPr="00820EA1" w14:paraId="01E55096" w14:textId="77777777" w:rsidTr="00580843">
        <w:trPr>
          <w:trHeight w:val="239"/>
        </w:trPr>
        <w:tc>
          <w:tcPr>
            <w:tcW w:w="3648" w:type="dxa"/>
            <w:tcBorders>
              <w:top w:val="nil"/>
              <w:left w:val="nil"/>
              <w:bottom w:val="nil"/>
              <w:right w:val="nil"/>
            </w:tcBorders>
            <w:shd w:val="clear" w:color="auto" w:fill="auto"/>
            <w:vAlign w:val="center"/>
            <w:hideMark/>
          </w:tcPr>
          <w:p w14:paraId="0C8A3398" w14:textId="77777777" w:rsidR="00820EA1" w:rsidRPr="00820EA1" w:rsidRDefault="00820EA1" w:rsidP="00820EA1">
            <w:pPr>
              <w:spacing w:after="0"/>
              <w:jc w:val="left"/>
              <w:rPr>
                <w:rFonts w:eastAsia="Times New Roman" w:cs="Times New Roman"/>
                <w:b/>
                <w:bCs/>
                <w:color w:val="000000"/>
                <w:sz w:val="18"/>
                <w:szCs w:val="18"/>
              </w:rPr>
            </w:pPr>
            <w:r w:rsidRPr="00820EA1">
              <w:rPr>
                <w:rFonts w:eastAsia="Times New Roman" w:cs="Times New Roman"/>
                <w:b/>
                <w:bCs/>
                <w:color w:val="000000"/>
                <w:sz w:val="18"/>
                <w:szCs w:val="18"/>
              </w:rPr>
              <w:t>ПРИХОДИ, ПОМОЩИ И ДАРЕНИЯ</w:t>
            </w:r>
          </w:p>
        </w:tc>
        <w:tc>
          <w:tcPr>
            <w:tcW w:w="1076" w:type="dxa"/>
            <w:tcBorders>
              <w:top w:val="nil"/>
              <w:left w:val="nil"/>
              <w:bottom w:val="nil"/>
              <w:right w:val="nil"/>
            </w:tcBorders>
            <w:shd w:val="clear" w:color="auto" w:fill="auto"/>
            <w:noWrap/>
            <w:vAlign w:val="center"/>
            <w:hideMark/>
          </w:tcPr>
          <w:p w14:paraId="2CE9F841"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3 782,0</w:t>
            </w:r>
          </w:p>
        </w:tc>
        <w:tc>
          <w:tcPr>
            <w:tcW w:w="1078" w:type="dxa"/>
            <w:tcBorders>
              <w:top w:val="nil"/>
              <w:left w:val="nil"/>
              <w:bottom w:val="nil"/>
              <w:right w:val="nil"/>
            </w:tcBorders>
            <w:shd w:val="clear" w:color="auto" w:fill="auto"/>
            <w:noWrap/>
            <w:vAlign w:val="center"/>
            <w:hideMark/>
          </w:tcPr>
          <w:p w14:paraId="26E5ABA2"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3 467,3</w:t>
            </w:r>
          </w:p>
        </w:tc>
        <w:tc>
          <w:tcPr>
            <w:tcW w:w="1029" w:type="dxa"/>
            <w:tcBorders>
              <w:top w:val="nil"/>
              <w:left w:val="nil"/>
              <w:bottom w:val="nil"/>
              <w:right w:val="nil"/>
            </w:tcBorders>
            <w:shd w:val="clear" w:color="auto" w:fill="auto"/>
            <w:noWrap/>
            <w:vAlign w:val="center"/>
            <w:hideMark/>
          </w:tcPr>
          <w:p w14:paraId="53F62D68"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4 097,9</w:t>
            </w:r>
          </w:p>
        </w:tc>
        <w:tc>
          <w:tcPr>
            <w:tcW w:w="1023" w:type="dxa"/>
            <w:tcBorders>
              <w:top w:val="nil"/>
              <w:left w:val="nil"/>
              <w:bottom w:val="nil"/>
              <w:right w:val="nil"/>
            </w:tcBorders>
            <w:shd w:val="clear" w:color="auto" w:fill="auto"/>
            <w:noWrap/>
            <w:vAlign w:val="center"/>
            <w:hideMark/>
          </w:tcPr>
          <w:p w14:paraId="2638DA88"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3 146,7</w:t>
            </w:r>
          </w:p>
        </w:tc>
        <w:tc>
          <w:tcPr>
            <w:tcW w:w="1029" w:type="dxa"/>
            <w:tcBorders>
              <w:top w:val="nil"/>
              <w:left w:val="nil"/>
              <w:bottom w:val="nil"/>
              <w:right w:val="nil"/>
            </w:tcBorders>
            <w:shd w:val="clear" w:color="auto" w:fill="auto"/>
            <w:noWrap/>
            <w:vAlign w:val="center"/>
            <w:hideMark/>
          </w:tcPr>
          <w:p w14:paraId="6E244E86"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3 588,6</w:t>
            </w:r>
          </w:p>
        </w:tc>
      </w:tr>
      <w:tr w:rsidR="00820EA1" w:rsidRPr="00820EA1" w14:paraId="7921DE37" w14:textId="77777777" w:rsidTr="00580843">
        <w:trPr>
          <w:trHeight w:val="239"/>
        </w:trPr>
        <w:tc>
          <w:tcPr>
            <w:tcW w:w="3648" w:type="dxa"/>
            <w:tcBorders>
              <w:top w:val="nil"/>
              <w:left w:val="nil"/>
              <w:bottom w:val="nil"/>
              <w:right w:val="nil"/>
            </w:tcBorders>
            <w:shd w:val="clear" w:color="auto" w:fill="auto"/>
            <w:vAlign w:val="center"/>
            <w:hideMark/>
          </w:tcPr>
          <w:p w14:paraId="55513F2A"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 от БВП</w:t>
            </w:r>
          </w:p>
        </w:tc>
        <w:tc>
          <w:tcPr>
            <w:tcW w:w="1076" w:type="dxa"/>
            <w:tcBorders>
              <w:top w:val="nil"/>
              <w:left w:val="nil"/>
              <w:bottom w:val="nil"/>
              <w:right w:val="nil"/>
            </w:tcBorders>
            <w:shd w:val="clear" w:color="auto" w:fill="auto"/>
            <w:noWrap/>
            <w:vAlign w:val="center"/>
            <w:hideMark/>
          </w:tcPr>
          <w:p w14:paraId="28F122B3"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3,4%</w:t>
            </w:r>
          </w:p>
        </w:tc>
        <w:tc>
          <w:tcPr>
            <w:tcW w:w="1078" w:type="dxa"/>
            <w:tcBorders>
              <w:top w:val="nil"/>
              <w:left w:val="nil"/>
              <w:bottom w:val="nil"/>
              <w:right w:val="nil"/>
            </w:tcBorders>
            <w:shd w:val="clear" w:color="auto" w:fill="auto"/>
            <w:noWrap/>
            <w:vAlign w:val="center"/>
            <w:hideMark/>
          </w:tcPr>
          <w:p w14:paraId="45CD01D9"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3,1%</w:t>
            </w:r>
          </w:p>
        </w:tc>
        <w:tc>
          <w:tcPr>
            <w:tcW w:w="1029" w:type="dxa"/>
            <w:tcBorders>
              <w:top w:val="nil"/>
              <w:left w:val="nil"/>
              <w:bottom w:val="nil"/>
              <w:right w:val="nil"/>
            </w:tcBorders>
            <w:shd w:val="clear" w:color="auto" w:fill="auto"/>
            <w:noWrap/>
            <w:vAlign w:val="center"/>
            <w:hideMark/>
          </w:tcPr>
          <w:p w14:paraId="64CCACFC"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3,4%</w:t>
            </w:r>
          </w:p>
        </w:tc>
        <w:tc>
          <w:tcPr>
            <w:tcW w:w="1023" w:type="dxa"/>
            <w:tcBorders>
              <w:top w:val="nil"/>
              <w:left w:val="nil"/>
              <w:bottom w:val="nil"/>
              <w:right w:val="nil"/>
            </w:tcBorders>
            <w:shd w:val="clear" w:color="auto" w:fill="auto"/>
            <w:noWrap/>
            <w:vAlign w:val="center"/>
            <w:hideMark/>
          </w:tcPr>
          <w:p w14:paraId="1B152082"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2,5%</w:t>
            </w:r>
          </w:p>
        </w:tc>
        <w:tc>
          <w:tcPr>
            <w:tcW w:w="1029" w:type="dxa"/>
            <w:tcBorders>
              <w:top w:val="nil"/>
              <w:left w:val="nil"/>
              <w:bottom w:val="nil"/>
              <w:right w:val="nil"/>
            </w:tcBorders>
            <w:shd w:val="clear" w:color="auto" w:fill="auto"/>
            <w:noWrap/>
            <w:vAlign w:val="center"/>
            <w:hideMark/>
          </w:tcPr>
          <w:p w14:paraId="148CD05B"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2,7%</w:t>
            </w:r>
          </w:p>
        </w:tc>
      </w:tr>
      <w:tr w:rsidR="00820EA1" w:rsidRPr="00820EA1" w14:paraId="31F6A617" w14:textId="77777777" w:rsidTr="00580843">
        <w:trPr>
          <w:trHeight w:val="209"/>
        </w:trPr>
        <w:tc>
          <w:tcPr>
            <w:tcW w:w="3648" w:type="dxa"/>
            <w:tcBorders>
              <w:top w:val="nil"/>
              <w:left w:val="nil"/>
              <w:bottom w:val="nil"/>
              <w:right w:val="nil"/>
            </w:tcBorders>
            <w:shd w:val="clear" w:color="auto" w:fill="auto"/>
            <w:vAlign w:val="center"/>
            <w:hideMark/>
          </w:tcPr>
          <w:p w14:paraId="2356D5CC" w14:textId="77777777" w:rsidR="00820EA1" w:rsidRPr="00820EA1" w:rsidRDefault="00820EA1" w:rsidP="00820EA1">
            <w:pPr>
              <w:spacing w:after="0"/>
              <w:jc w:val="right"/>
              <w:rPr>
                <w:rFonts w:eastAsia="Times New Roman" w:cs="Times New Roman"/>
                <w:i/>
                <w:iCs/>
                <w:color w:val="000000"/>
                <w:sz w:val="18"/>
                <w:szCs w:val="18"/>
              </w:rPr>
            </w:pPr>
          </w:p>
        </w:tc>
        <w:tc>
          <w:tcPr>
            <w:tcW w:w="1076" w:type="dxa"/>
            <w:tcBorders>
              <w:top w:val="nil"/>
              <w:left w:val="nil"/>
              <w:bottom w:val="nil"/>
              <w:right w:val="nil"/>
            </w:tcBorders>
            <w:shd w:val="clear" w:color="auto" w:fill="auto"/>
            <w:noWrap/>
            <w:vAlign w:val="center"/>
            <w:hideMark/>
          </w:tcPr>
          <w:p w14:paraId="5554C9A7" w14:textId="77777777" w:rsidR="00820EA1" w:rsidRPr="00820EA1" w:rsidRDefault="00820EA1" w:rsidP="00820EA1">
            <w:pPr>
              <w:spacing w:after="0"/>
              <w:jc w:val="left"/>
              <w:rPr>
                <w:rFonts w:eastAsia="Times New Roman" w:cs="Times New Roman"/>
                <w:sz w:val="20"/>
                <w:szCs w:val="20"/>
              </w:rPr>
            </w:pPr>
          </w:p>
        </w:tc>
        <w:tc>
          <w:tcPr>
            <w:tcW w:w="1078" w:type="dxa"/>
            <w:tcBorders>
              <w:top w:val="nil"/>
              <w:left w:val="nil"/>
              <w:bottom w:val="nil"/>
              <w:right w:val="nil"/>
            </w:tcBorders>
            <w:shd w:val="clear" w:color="auto" w:fill="auto"/>
            <w:noWrap/>
            <w:vAlign w:val="center"/>
            <w:hideMark/>
          </w:tcPr>
          <w:p w14:paraId="30C8DDA4"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24EBAB7B" w14:textId="77777777" w:rsidR="00820EA1" w:rsidRPr="00820EA1" w:rsidRDefault="00820EA1" w:rsidP="00820EA1">
            <w:pPr>
              <w:spacing w:after="0"/>
              <w:jc w:val="right"/>
              <w:rPr>
                <w:rFonts w:eastAsia="Times New Roman" w:cs="Times New Roman"/>
                <w:sz w:val="20"/>
                <w:szCs w:val="20"/>
              </w:rPr>
            </w:pPr>
          </w:p>
        </w:tc>
        <w:tc>
          <w:tcPr>
            <w:tcW w:w="1023" w:type="dxa"/>
            <w:tcBorders>
              <w:top w:val="nil"/>
              <w:left w:val="nil"/>
              <w:bottom w:val="nil"/>
              <w:right w:val="nil"/>
            </w:tcBorders>
            <w:shd w:val="clear" w:color="auto" w:fill="auto"/>
            <w:noWrap/>
            <w:vAlign w:val="center"/>
            <w:hideMark/>
          </w:tcPr>
          <w:p w14:paraId="001E4B6E"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254061DA" w14:textId="77777777" w:rsidR="00820EA1" w:rsidRPr="00820EA1" w:rsidRDefault="00820EA1" w:rsidP="00820EA1">
            <w:pPr>
              <w:spacing w:after="0"/>
              <w:jc w:val="right"/>
              <w:rPr>
                <w:rFonts w:eastAsia="Times New Roman" w:cs="Times New Roman"/>
                <w:sz w:val="20"/>
                <w:szCs w:val="20"/>
              </w:rPr>
            </w:pPr>
          </w:p>
        </w:tc>
      </w:tr>
      <w:tr w:rsidR="00820EA1" w:rsidRPr="00820EA1" w14:paraId="0048087D" w14:textId="77777777" w:rsidTr="00580843">
        <w:trPr>
          <w:trHeight w:val="284"/>
        </w:trPr>
        <w:tc>
          <w:tcPr>
            <w:tcW w:w="3648" w:type="dxa"/>
            <w:tcBorders>
              <w:top w:val="nil"/>
              <w:left w:val="nil"/>
              <w:bottom w:val="nil"/>
              <w:right w:val="nil"/>
            </w:tcBorders>
            <w:shd w:val="clear" w:color="auto" w:fill="auto"/>
            <w:vAlign w:val="center"/>
            <w:hideMark/>
          </w:tcPr>
          <w:p w14:paraId="5E4E8391" w14:textId="77777777" w:rsidR="00820EA1" w:rsidRPr="00820EA1" w:rsidRDefault="00820EA1" w:rsidP="00820EA1">
            <w:pPr>
              <w:spacing w:after="0"/>
              <w:jc w:val="left"/>
              <w:rPr>
                <w:rFonts w:eastAsia="Times New Roman" w:cs="Times New Roman"/>
                <w:b/>
                <w:bCs/>
                <w:color w:val="000000"/>
                <w:sz w:val="18"/>
                <w:szCs w:val="18"/>
              </w:rPr>
            </w:pPr>
            <w:r w:rsidRPr="00820EA1">
              <w:rPr>
                <w:rFonts w:eastAsia="Times New Roman" w:cs="Times New Roman"/>
                <w:b/>
                <w:bCs/>
                <w:color w:val="000000"/>
                <w:sz w:val="18"/>
                <w:szCs w:val="18"/>
              </w:rPr>
              <w:t xml:space="preserve">ОБЩО РАЗХОДИ </w:t>
            </w:r>
          </w:p>
        </w:tc>
        <w:tc>
          <w:tcPr>
            <w:tcW w:w="1076" w:type="dxa"/>
            <w:tcBorders>
              <w:top w:val="nil"/>
              <w:left w:val="nil"/>
              <w:bottom w:val="nil"/>
              <w:right w:val="nil"/>
            </w:tcBorders>
            <w:shd w:val="clear" w:color="auto" w:fill="auto"/>
            <w:noWrap/>
            <w:vAlign w:val="center"/>
            <w:hideMark/>
          </w:tcPr>
          <w:p w14:paraId="051A28E5"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5 418,2</w:t>
            </w:r>
          </w:p>
        </w:tc>
        <w:tc>
          <w:tcPr>
            <w:tcW w:w="1078" w:type="dxa"/>
            <w:tcBorders>
              <w:top w:val="nil"/>
              <w:left w:val="nil"/>
              <w:bottom w:val="nil"/>
              <w:right w:val="nil"/>
            </w:tcBorders>
            <w:shd w:val="clear" w:color="auto" w:fill="auto"/>
            <w:noWrap/>
            <w:vAlign w:val="center"/>
            <w:hideMark/>
          </w:tcPr>
          <w:p w14:paraId="579F9D26"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4 253,3</w:t>
            </w:r>
          </w:p>
        </w:tc>
        <w:tc>
          <w:tcPr>
            <w:tcW w:w="1029" w:type="dxa"/>
            <w:tcBorders>
              <w:top w:val="nil"/>
              <w:left w:val="nil"/>
              <w:bottom w:val="nil"/>
              <w:right w:val="nil"/>
            </w:tcBorders>
            <w:shd w:val="clear" w:color="auto" w:fill="auto"/>
            <w:noWrap/>
            <w:vAlign w:val="center"/>
            <w:hideMark/>
          </w:tcPr>
          <w:p w14:paraId="215CB158"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5 807,1</w:t>
            </w:r>
          </w:p>
        </w:tc>
        <w:tc>
          <w:tcPr>
            <w:tcW w:w="1023" w:type="dxa"/>
            <w:tcBorders>
              <w:top w:val="nil"/>
              <w:left w:val="nil"/>
              <w:bottom w:val="nil"/>
              <w:right w:val="nil"/>
            </w:tcBorders>
            <w:shd w:val="clear" w:color="auto" w:fill="auto"/>
            <w:noWrap/>
            <w:vAlign w:val="center"/>
            <w:hideMark/>
          </w:tcPr>
          <w:p w14:paraId="7C0C3E14"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4 348,0</w:t>
            </w:r>
          </w:p>
        </w:tc>
        <w:tc>
          <w:tcPr>
            <w:tcW w:w="1029" w:type="dxa"/>
            <w:tcBorders>
              <w:top w:val="nil"/>
              <w:left w:val="nil"/>
              <w:bottom w:val="nil"/>
              <w:right w:val="nil"/>
            </w:tcBorders>
            <w:shd w:val="clear" w:color="auto" w:fill="auto"/>
            <w:noWrap/>
            <w:vAlign w:val="center"/>
            <w:hideMark/>
          </w:tcPr>
          <w:p w14:paraId="7CB67F8C"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4 517,7</w:t>
            </w:r>
          </w:p>
        </w:tc>
      </w:tr>
      <w:tr w:rsidR="00820EA1" w:rsidRPr="00820EA1" w14:paraId="2CC80BF6" w14:textId="77777777" w:rsidTr="00580843">
        <w:trPr>
          <w:trHeight w:val="239"/>
        </w:trPr>
        <w:tc>
          <w:tcPr>
            <w:tcW w:w="3648" w:type="dxa"/>
            <w:tcBorders>
              <w:top w:val="nil"/>
              <w:left w:val="nil"/>
              <w:bottom w:val="nil"/>
              <w:right w:val="nil"/>
            </w:tcBorders>
            <w:shd w:val="clear" w:color="auto" w:fill="auto"/>
            <w:vAlign w:val="center"/>
            <w:hideMark/>
          </w:tcPr>
          <w:p w14:paraId="667A42CE"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 от БВП</w:t>
            </w:r>
          </w:p>
        </w:tc>
        <w:tc>
          <w:tcPr>
            <w:tcW w:w="1076" w:type="dxa"/>
            <w:tcBorders>
              <w:top w:val="nil"/>
              <w:left w:val="nil"/>
              <w:bottom w:val="nil"/>
              <w:right w:val="nil"/>
            </w:tcBorders>
            <w:shd w:val="clear" w:color="auto" w:fill="auto"/>
            <w:noWrap/>
            <w:vAlign w:val="center"/>
            <w:hideMark/>
          </w:tcPr>
          <w:p w14:paraId="7B61B6CB"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4,9%</w:t>
            </w:r>
          </w:p>
        </w:tc>
        <w:tc>
          <w:tcPr>
            <w:tcW w:w="1078" w:type="dxa"/>
            <w:tcBorders>
              <w:top w:val="nil"/>
              <w:left w:val="nil"/>
              <w:bottom w:val="nil"/>
              <w:right w:val="nil"/>
            </w:tcBorders>
            <w:shd w:val="clear" w:color="auto" w:fill="auto"/>
            <w:noWrap/>
            <w:vAlign w:val="center"/>
            <w:hideMark/>
          </w:tcPr>
          <w:p w14:paraId="6EAE8FCA"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3,8%</w:t>
            </w:r>
          </w:p>
        </w:tc>
        <w:tc>
          <w:tcPr>
            <w:tcW w:w="1029" w:type="dxa"/>
            <w:tcBorders>
              <w:top w:val="nil"/>
              <w:left w:val="nil"/>
              <w:bottom w:val="nil"/>
              <w:right w:val="nil"/>
            </w:tcBorders>
            <w:shd w:val="clear" w:color="auto" w:fill="auto"/>
            <w:noWrap/>
            <w:vAlign w:val="center"/>
            <w:hideMark/>
          </w:tcPr>
          <w:p w14:paraId="39CF36F0"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4,8%</w:t>
            </w:r>
          </w:p>
        </w:tc>
        <w:tc>
          <w:tcPr>
            <w:tcW w:w="1023" w:type="dxa"/>
            <w:tcBorders>
              <w:top w:val="nil"/>
              <w:left w:val="nil"/>
              <w:bottom w:val="nil"/>
              <w:right w:val="nil"/>
            </w:tcBorders>
            <w:shd w:val="clear" w:color="auto" w:fill="auto"/>
            <w:noWrap/>
            <w:vAlign w:val="center"/>
            <w:hideMark/>
          </w:tcPr>
          <w:p w14:paraId="5D7B6715"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3,4%</w:t>
            </w:r>
          </w:p>
        </w:tc>
        <w:tc>
          <w:tcPr>
            <w:tcW w:w="1029" w:type="dxa"/>
            <w:tcBorders>
              <w:top w:val="nil"/>
              <w:left w:val="nil"/>
              <w:bottom w:val="nil"/>
              <w:right w:val="nil"/>
            </w:tcBorders>
            <w:shd w:val="clear" w:color="auto" w:fill="auto"/>
            <w:noWrap/>
            <w:vAlign w:val="center"/>
            <w:hideMark/>
          </w:tcPr>
          <w:p w14:paraId="622E7EEC"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3,4%</w:t>
            </w:r>
          </w:p>
        </w:tc>
      </w:tr>
      <w:tr w:rsidR="00820EA1" w:rsidRPr="00820EA1" w14:paraId="5DDA08B3" w14:textId="77777777" w:rsidTr="00580843">
        <w:trPr>
          <w:trHeight w:val="239"/>
        </w:trPr>
        <w:tc>
          <w:tcPr>
            <w:tcW w:w="3648" w:type="dxa"/>
            <w:tcBorders>
              <w:top w:val="nil"/>
              <w:left w:val="nil"/>
              <w:bottom w:val="nil"/>
              <w:right w:val="nil"/>
            </w:tcBorders>
            <w:shd w:val="clear" w:color="auto" w:fill="auto"/>
            <w:vAlign w:val="center"/>
            <w:hideMark/>
          </w:tcPr>
          <w:p w14:paraId="117FA93F" w14:textId="77777777" w:rsidR="00820EA1" w:rsidRPr="00820EA1" w:rsidRDefault="00820EA1" w:rsidP="00820EA1">
            <w:pPr>
              <w:spacing w:after="0"/>
              <w:jc w:val="right"/>
              <w:rPr>
                <w:rFonts w:eastAsia="Times New Roman" w:cs="Times New Roman"/>
                <w:i/>
                <w:iCs/>
                <w:color w:val="000000"/>
                <w:sz w:val="18"/>
                <w:szCs w:val="18"/>
              </w:rPr>
            </w:pPr>
          </w:p>
        </w:tc>
        <w:tc>
          <w:tcPr>
            <w:tcW w:w="1076" w:type="dxa"/>
            <w:tcBorders>
              <w:top w:val="nil"/>
              <w:left w:val="nil"/>
              <w:bottom w:val="nil"/>
              <w:right w:val="nil"/>
            </w:tcBorders>
            <w:shd w:val="clear" w:color="auto" w:fill="auto"/>
            <w:noWrap/>
            <w:vAlign w:val="center"/>
            <w:hideMark/>
          </w:tcPr>
          <w:p w14:paraId="698C974C" w14:textId="77777777" w:rsidR="00820EA1" w:rsidRPr="00820EA1" w:rsidRDefault="00820EA1" w:rsidP="00820EA1">
            <w:pPr>
              <w:spacing w:after="0"/>
              <w:jc w:val="left"/>
              <w:rPr>
                <w:rFonts w:eastAsia="Times New Roman" w:cs="Times New Roman"/>
                <w:sz w:val="20"/>
                <w:szCs w:val="20"/>
              </w:rPr>
            </w:pPr>
          </w:p>
        </w:tc>
        <w:tc>
          <w:tcPr>
            <w:tcW w:w="1078" w:type="dxa"/>
            <w:tcBorders>
              <w:top w:val="nil"/>
              <w:left w:val="nil"/>
              <w:bottom w:val="nil"/>
              <w:right w:val="nil"/>
            </w:tcBorders>
            <w:shd w:val="clear" w:color="auto" w:fill="auto"/>
            <w:noWrap/>
            <w:vAlign w:val="center"/>
            <w:hideMark/>
          </w:tcPr>
          <w:p w14:paraId="51952E67"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6321FF8E" w14:textId="77777777" w:rsidR="00820EA1" w:rsidRPr="00820EA1" w:rsidRDefault="00820EA1" w:rsidP="00820EA1">
            <w:pPr>
              <w:spacing w:after="0"/>
              <w:jc w:val="right"/>
              <w:rPr>
                <w:rFonts w:eastAsia="Times New Roman" w:cs="Times New Roman"/>
                <w:sz w:val="20"/>
                <w:szCs w:val="20"/>
              </w:rPr>
            </w:pPr>
          </w:p>
        </w:tc>
        <w:tc>
          <w:tcPr>
            <w:tcW w:w="1023" w:type="dxa"/>
            <w:tcBorders>
              <w:top w:val="nil"/>
              <w:left w:val="nil"/>
              <w:bottom w:val="nil"/>
              <w:right w:val="nil"/>
            </w:tcBorders>
            <w:shd w:val="clear" w:color="auto" w:fill="auto"/>
            <w:noWrap/>
            <w:vAlign w:val="center"/>
            <w:hideMark/>
          </w:tcPr>
          <w:p w14:paraId="2A55D822"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3A515942" w14:textId="77777777" w:rsidR="00820EA1" w:rsidRPr="00820EA1" w:rsidRDefault="00820EA1" w:rsidP="00820EA1">
            <w:pPr>
              <w:spacing w:after="0"/>
              <w:jc w:val="right"/>
              <w:rPr>
                <w:rFonts w:eastAsia="Times New Roman" w:cs="Times New Roman"/>
                <w:sz w:val="20"/>
                <w:szCs w:val="20"/>
              </w:rPr>
            </w:pPr>
          </w:p>
        </w:tc>
      </w:tr>
      <w:tr w:rsidR="00820EA1" w:rsidRPr="00820EA1" w14:paraId="282A5723" w14:textId="77777777" w:rsidTr="00580843">
        <w:trPr>
          <w:trHeight w:val="478"/>
        </w:trPr>
        <w:tc>
          <w:tcPr>
            <w:tcW w:w="3648" w:type="dxa"/>
            <w:tcBorders>
              <w:top w:val="nil"/>
              <w:left w:val="nil"/>
              <w:bottom w:val="nil"/>
              <w:right w:val="nil"/>
            </w:tcBorders>
            <w:shd w:val="clear" w:color="auto" w:fill="auto"/>
            <w:vAlign w:val="center"/>
            <w:hideMark/>
          </w:tcPr>
          <w:p w14:paraId="108C9F0F" w14:textId="77777777" w:rsidR="00820EA1" w:rsidRPr="00820EA1" w:rsidRDefault="00820EA1" w:rsidP="00820EA1">
            <w:pPr>
              <w:spacing w:after="0"/>
              <w:jc w:val="left"/>
              <w:rPr>
                <w:rFonts w:eastAsia="Times New Roman" w:cs="Times New Roman"/>
                <w:b/>
                <w:bCs/>
                <w:color w:val="000000"/>
                <w:sz w:val="18"/>
                <w:szCs w:val="18"/>
              </w:rPr>
            </w:pPr>
            <w:r w:rsidRPr="00820EA1">
              <w:rPr>
                <w:rFonts w:eastAsia="Times New Roman" w:cs="Times New Roman"/>
                <w:b/>
                <w:bCs/>
                <w:color w:val="000000"/>
                <w:sz w:val="18"/>
                <w:szCs w:val="18"/>
              </w:rPr>
              <w:t>ТРАНСФЕР ОТ/ЗА ДЪРЖАВНИЯ БЮДЖЕТ (НЕТО)</w:t>
            </w:r>
          </w:p>
        </w:tc>
        <w:tc>
          <w:tcPr>
            <w:tcW w:w="1076" w:type="dxa"/>
            <w:tcBorders>
              <w:top w:val="nil"/>
              <w:left w:val="nil"/>
              <w:bottom w:val="nil"/>
              <w:right w:val="nil"/>
            </w:tcBorders>
            <w:shd w:val="clear" w:color="auto" w:fill="auto"/>
            <w:noWrap/>
            <w:vAlign w:val="center"/>
            <w:hideMark/>
          </w:tcPr>
          <w:p w14:paraId="7DBEC8BB"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1 099,9</w:t>
            </w:r>
          </w:p>
        </w:tc>
        <w:tc>
          <w:tcPr>
            <w:tcW w:w="1078" w:type="dxa"/>
            <w:tcBorders>
              <w:top w:val="nil"/>
              <w:left w:val="nil"/>
              <w:bottom w:val="nil"/>
              <w:right w:val="nil"/>
            </w:tcBorders>
            <w:shd w:val="clear" w:color="auto" w:fill="auto"/>
            <w:noWrap/>
            <w:vAlign w:val="center"/>
            <w:hideMark/>
          </w:tcPr>
          <w:p w14:paraId="1B279650"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948,9</w:t>
            </w:r>
          </w:p>
        </w:tc>
        <w:tc>
          <w:tcPr>
            <w:tcW w:w="1029" w:type="dxa"/>
            <w:tcBorders>
              <w:top w:val="nil"/>
              <w:left w:val="nil"/>
              <w:bottom w:val="nil"/>
              <w:right w:val="nil"/>
            </w:tcBorders>
            <w:shd w:val="clear" w:color="auto" w:fill="auto"/>
            <w:noWrap/>
            <w:vAlign w:val="center"/>
            <w:hideMark/>
          </w:tcPr>
          <w:p w14:paraId="58BE2F96"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1 262,2</w:t>
            </w:r>
          </w:p>
        </w:tc>
        <w:tc>
          <w:tcPr>
            <w:tcW w:w="1023" w:type="dxa"/>
            <w:tcBorders>
              <w:top w:val="nil"/>
              <w:left w:val="nil"/>
              <w:bottom w:val="nil"/>
              <w:right w:val="nil"/>
            </w:tcBorders>
            <w:shd w:val="clear" w:color="auto" w:fill="auto"/>
            <w:noWrap/>
            <w:vAlign w:val="center"/>
            <w:hideMark/>
          </w:tcPr>
          <w:p w14:paraId="133473FF"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1 258,0</w:t>
            </w:r>
          </w:p>
        </w:tc>
        <w:tc>
          <w:tcPr>
            <w:tcW w:w="1029" w:type="dxa"/>
            <w:tcBorders>
              <w:top w:val="nil"/>
              <w:left w:val="nil"/>
              <w:bottom w:val="nil"/>
              <w:right w:val="nil"/>
            </w:tcBorders>
            <w:shd w:val="clear" w:color="auto" w:fill="auto"/>
            <w:noWrap/>
            <w:vAlign w:val="center"/>
            <w:hideMark/>
          </w:tcPr>
          <w:p w14:paraId="5E52C3B1"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1 317,4</w:t>
            </w:r>
          </w:p>
        </w:tc>
      </w:tr>
      <w:tr w:rsidR="00820EA1" w:rsidRPr="00820EA1" w14:paraId="35903D86" w14:textId="77777777" w:rsidTr="00580843">
        <w:trPr>
          <w:trHeight w:val="239"/>
        </w:trPr>
        <w:tc>
          <w:tcPr>
            <w:tcW w:w="3648" w:type="dxa"/>
            <w:tcBorders>
              <w:top w:val="nil"/>
              <w:left w:val="nil"/>
              <w:bottom w:val="nil"/>
              <w:right w:val="nil"/>
            </w:tcBorders>
            <w:shd w:val="clear" w:color="auto" w:fill="auto"/>
            <w:vAlign w:val="center"/>
            <w:hideMark/>
          </w:tcPr>
          <w:p w14:paraId="7B5D9A86"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 от БВП</w:t>
            </w:r>
          </w:p>
        </w:tc>
        <w:tc>
          <w:tcPr>
            <w:tcW w:w="1076" w:type="dxa"/>
            <w:tcBorders>
              <w:top w:val="nil"/>
              <w:left w:val="nil"/>
              <w:bottom w:val="nil"/>
              <w:right w:val="nil"/>
            </w:tcBorders>
            <w:shd w:val="clear" w:color="auto" w:fill="auto"/>
            <w:noWrap/>
            <w:vAlign w:val="center"/>
            <w:hideMark/>
          </w:tcPr>
          <w:p w14:paraId="50FE0B74"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1,0%</w:t>
            </w:r>
          </w:p>
        </w:tc>
        <w:tc>
          <w:tcPr>
            <w:tcW w:w="1078" w:type="dxa"/>
            <w:tcBorders>
              <w:top w:val="nil"/>
              <w:left w:val="nil"/>
              <w:bottom w:val="nil"/>
              <w:right w:val="nil"/>
            </w:tcBorders>
            <w:shd w:val="clear" w:color="auto" w:fill="auto"/>
            <w:noWrap/>
            <w:vAlign w:val="center"/>
            <w:hideMark/>
          </w:tcPr>
          <w:p w14:paraId="3D0A35E3"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0,8%</w:t>
            </w:r>
          </w:p>
        </w:tc>
        <w:tc>
          <w:tcPr>
            <w:tcW w:w="1029" w:type="dxa"/>
            <w:tcBorders>
              <w:top w:val="nil"/>
              <w:left w:val="nil"/>
              <w:bottom w:val="nil"/>
              <w:right w:val="nil"/>
            </w:tcBorders>
            <w:shd w:val="clear" w:color="auto" w:fill="auto"/>
            <w:noWrap/>
            <w:vAlign w:val="center"/>
            <w:hideMark/>
          </w:tcPr>
          <w:p w14:paraId="4BC209A6"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1,1%</w:t>
            </w:r>
          </w:p>
        </w:tc>
        <w:tc>
          <w:tcPr>
            <w:tcW w:w="1023" w:type="dxa"/>
            <w:tcBorders>
              <w:top w:val="nil"/>
              <w:left w:val="nil"/>
              <w:bottom w:val="nil"/>
              <w:right w:val="nil"/>
            </w:tcBorders>
            <w:shd w:val="clear" w:color="auto" w:fill="auto"/>
            <w:noWrap/>
            <w:vAlign w:val="center"/>
            <w:hideMark/>
          </w:tcPr>
          <w:p w14:paraId="6DF90A61"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1,0%</w:t>
            </w:r>
          </w:p>
        </w:tc>
        <w:tc>
          <w:tcPr>
            <w:tcW w:w="1029" w:type="dxa"/>
            <w:tcBorders>
              <w:top w:val="nil"/>
              <w:left w:val="nil"/>
              <w:bottom w:val="nil"/>
              <w:right w:val="nil"/>
            </w:tcBorders>
            <w:shd w:val="clear" w:color="auto" w:fill="auto"/>
            <w:noWrap/>
            <w:vAlign w:val="center"/>
            <w:hideMark/>
          </w:tcPr>
          <w:p w14:paraId="06102CB8"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1,0%</w:t>
            </w:r>
          </w:p>
        </w:tc>
      </w:tr>
      <w:tr w:rsidR="00820EA1" w:rsidRPr="00820EA1" w14:paraId="50F2886C" w14:textId="77777777" w:rsidTr="00580843">
        <w:trPr>
          <w:trHeight w:val="239"/>
        </w:trPr>
        <w:tc>
          <w:tcPr>
            <w:tcW w:w="3648" w:type="dxa"/>
            <w:tcBorders>
              <w:top w:val="nil"/>
              <w:left w:val="nil"/>
              <w:bottom w:val="nil"/>
              <w:right w:val="nil"/>
            </w:tcBorders>
            <w:shd w:val="clear" w:color="auto" w:fill="auto"/>
            <w:vAlign w:val="center"/>
            <w:hideMark/>
          </w:tcPr>
          <w:p w14:paraId="79951DBC" w14:textId="77777777" w:rsidR="00820EA1" w:rsidRPr="00820EA1" w:rsidRDefault="00820EA1" w:rsidP="00820EA1">
            <w:pPr>
              <w:spacing w:after="0"/>
              <w:jc w:val="right"/>
              <w:rPr>
                <w:rFonts w:eastAsia="Times New Roman" w:cs="Times New Roman"/>
                <w:i/>
                <w:iCs/>
                <w:color w:val="000000"/>
                <w:sz w:val="18"/>
                <w:szCs w:val="18"/>
              </w:rPr>
            </w:pPr>
          </w:p>
        </w:tc>
        <w:tc>
          <w:tcPr>
            <w:tcW w:w="1076" w:type="dxa"/>
            <w:tcBorders>
              <w:top w:val="nil"/>
              <w:left w:val="nil"/>
              <w:bottom w:val="nil"/>
              <w:right w:val="nil"/>
            </w:tcBorders>
            <w:shd w:val="clear" w:color="auto" w:fill="auto"/>
            <w:noWrap/>
            <w:vAlign w:val="center"/>
            <w:hideMark/>
          </w:tcPr>
          <w:p w14:paraId="68A2B041" w14:textId="77777777" w:rsidR="00820EA1" w:rsidRPr="00820EA1" w:rsidRDefault="00820EA1" w:rsidP="00820EA1">
            <w:pPr>
              <w:spacing w:after="0"/>
              <w:jc w:val="left"/>
              <w:rPr>
                <w:rFonts w:eastAsia="Times New Roman" w:cs="Times New Roman"/>
                <w:sz w:val="20"/>
                <w:szCs w:val="20"/>
              </w:rPr>
            </w:pPr>
          </w:p>
        </w:tc>
        <w:tc>
          <w:tcPr>
            <w:tcW w:w="1078" w:type="dxa"/>
            <w:tcBorders>
              <w:top w:val="nil"/>
              <w:left w:val="nil"/>
              <w:bottom w:val="nil"/>
              <w:right w:val="nil"/>
            </w:tcBorders>
            <w:shd w:val="clear" w:color="auto" w:fill="auto"/>
            <w:noWrap/>
            <w:vAlign w:val="center"/>
            <w:hideMark/>
          </w:tcPr>
          <w:p w14:paraId="44508A4D"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60D679E5" w14:textId="77777777" w:rsidR="00820EA1" w:rsidRPr="00820EA1" w:rsidRDefault="00820EA1" w:rsidP="00820EA1">
            <w:pPr>
              <w:spacing w:after="0"/>
              <w:jc w:val="right"/>
              <w:rPr>
                <w:rFonts w:eastAsia="Times New Roman" w:cs="Times New Roman"/>
                <w:sz w:val="20"/>
                <w:szCs w:val="20"/>
              </w:rPr>
            </w:pPr>
          </w:p>
        </w:tc>
        <w:tc>
          <w:tcPr>
            <w:tcW w:w="1023" w:type="dxa"/>
            <w:tcBorders>
              <w:top w:val="nil"/>
              <w:left w:val="nil"/>
              <w:bottom w:val="nil"/>
              <w:right w:val="nil"/>
            </w:tcBorders>
            <w:shd w:val="clear" w:color="auto" w:fill="auto"/>
            <w:noWrap/>
            <w:vAlign w:val="center"/>
            <w:hideMark/>
          </w:tcPr>
          <w:p w14:paraId="1F0F42CD"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27826893" w14:textId="77777777" w:rsidR="00820EA1" w:rsidRPr="00820EA1" w:rsidRDefault="00820EA1" w:rsidP="00820EA1">
            <w:pPr>
              <w:spacing w:after="0"/>
              <w:jc w:val="right"/>
              <w:rPr>
                <w:rFonts w:eastAsia="Times New Roman" w:cs="Times New Roman"/>
                <w:sz w:val="20"/>
                <w:szCs w:val="20"/>
              </w:rPr>
            </w:pPr>
          </w:p>
        </w:tc>
      </w:tr>
      <w:tr w:rsidR="00820EA1" w:rsidRPr="00820EA1" w14:paraId="0040552D" w14:textId="77777777" w:rsidTr="00580843">
        <w:trPr>
          <w:trHeight w:val="239"/>
        </w:trPr>
        <w:tc>
          <w:tcPr>
            <w:tcW w:w="3648" w:type="dxa"/>
            <w:tcBorders>
              <w:top w:val="nil"/>
              <w:left w:val="nil"/>
              <w:bottom w:val="nil"/>
              <w:right w:val="nil"/>
            </w:tcBorders>
            <w:shd w:val="clear" w:color="auto" w:fill="auto"/>
            <w:vAlign w:val="center"/>
            <w:hideMark/>
          </w:tcPr>
          <w:p w14:paraId="036879D8" w14:textId="77777777" w:rsidR="00820EA1" w:rsidRPr="00820EA1" w:rsidRDefault="00820EA1" w:rsidP="00820EA1">
            <w:pPr>
              <w:spacing w:after="0"/>
              <w:jc w:val="left"/>
              <w:rPr>
                <w:rFonts w:eastAsia="Times New Roman" w:cs="Times New Roman"/>
                <w:b/>
                <w:bCs/>
                <w:color w:val="000000"/>
                <w:sz w:val="18"/>
                <w:szCs w:val="18"/>
              </w:rPr>
            </w:pPr>
            <w:r w:rsidRPr="00820EA1">
              <w:rPr>
                <w:rFonts w:eastAsia="Times New Roman" w:cs="Times New Roman"/>
                <w:b/>
                <w:bCs/>
                <w:color w:val="000000"/>
                <w:sz w:val="18"/>
                <w:szCs w:val="18"/>
              </w:rPr>
              <w:t>БЮДЖЕТНО САЛДО (+/-)</w:t>
            </w:r>
          </w:p>
        </w:tc>
        <w:tc>
          <w:tcPr>
            <w:tcW w:w="1076" w:type="dxa"/>
            <w:tcBorders>
              <w:top w:val="nil"/>
              <w:left w:val="nil"/>
              <w:bottom w:val="nil"/>
              <w:right w:val="nil"/>
            </w:tcBorders>
            <w:shd w:val="clear" w:color="auto" w:fill="auto"/>
            <w:noWrap/>
            <w:vAlign w:val="center"/>
            <w:hideMark/>
          </w:tcPr>
          <w:p w14:paraId="5A170871"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-536,3</w:t>
            </w:r>
          </w:p>
        </w:tc>
        <w:tc>
          <w:tcPr>
            <w:tcW w:w="1078" w:type="dxa"/>
            <w:tcBorders>
              <w:top w:val="nil"/>
              <w:left w:val="nil"/>
              <w:bottom w:val="nil"/>
              <w:right w:val="nil"/>
            </w:tcBorders>
            <w:shd w:val="clear" w:color="auto" w:fill="auto"/>
            <w:noWrap/>
            <w:vAlign w:val="center"/>
            <w:hideMark/>
          </w:tcPr>
          <w:p w14:paraId="40ABC100"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163,0</w:t>
            </w:r>
          </w:p>
        </w:tc>
        <w:tc>
          <w:tcPr>
            <w:tcW w:w="1029" w:type="dxa"/>
            <w:tcBorders>
              <w:top w:val="nil"/>
              <w:left w:val="nil"/>
              <w:bottom w:val="nil"/>
              <w:right w:val="nil"/>
            </w:tcBorders>
            <w:shd w:val="clear" w:color="auto" w:fill="auto"/>
            <w:noWrap/>
            <w:vAlign w:val="center"/>
            <w:hideMark/>
          </w:tcPr>
          <w:p w14:paraId="1817F0B3"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-446,9</w:t>
            </w:r>
          </w:p>
        </w:tc>
        <w:tc>
          <w:tcPr>
            <w:tcW w:w="1023" w:type="dxa"/>
            <w:tcBorders>
              <w:top w:val="nil"/>
              <w:left w:val="nil"/>
              <w:bottom w:val="nil"/>
              <w:right w:val="nil"/>
            </w:tcBorders>
            <w:shd w:val="clear" w:color="auto" w:fill="auto"/>
            <w:noWrap/>
            <w:vAlign w:val="center"/>
            <w:hideMark/>
          </w:tcPr>
          <w:p w14:paraId="6979B261"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56,6</w:t>
            </w:r>
          </w:p>
        </w:tc>
        <w:tc>
          <w:tcPr>
            <w:tcW w:w="1029" w:type="dxa"/>
            <w:tcBorders>
              <w:top w:val="nil"/>
              <w:left w:val="nil"/>
              <w:bottom w:val="nil"/>
              <w:right w:val="nil"/>
            </w:tcBorders>
            <w:shd w:val="clear" w:color="auto" w:fill="auto"/>
            <w:noWrap/>
            <w:vAlign w:val="center"/>
            <w:hideMark/>
          </w:tcPr>
          <w:p w14:paraId="7CBD2BA5"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388,3</w:t>
            </w:r>
          </w:p>
        </w:tc>
      </w:tr>
      <w:tr w:rsidR="00820EA1" w:rsidRPr="00820EA1" w14:paraId="2439A219" w14:textId="77777777" w:rsidTr="00580843">
        <w:trPr>
          <w:trHeight w:val="239"/>
        </w:trPr>
        <w:tc>
          <w:tcPr>
            <w:tcW w:w="3648" w:type="dxa"/>
            <w:tcBorders>
              <w:top w:val="nil"/>
              <w:left w:val="nil"/>
              <w:bottom w:val="nil"/>
              <w:right w:val="nil"/>
            </w:tcBorders>
            <w:shd w:val="clear" w:color="auto" w:fill="auto"/>
            <w:vAlign w:val="center"/>
            <w:hideMark/>
          </w:tcPr>
          <w:p w14:paraId="3F10591E"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 от БВП</w:t>
            </w:r>
          </w:p>
        </w:tc>
        <w:tc>
          <w:tcPr>
            <w:tcW w:w="1076" w:type="dxa"/>
            <w:tcBorders>
              <w:top w:val="nil"/>
              <w:left w:val="nil"/>
              <w:bottom w:val="nil"/>
              <w:right w:val="nil"/>
            </w:tcBorders>
            <w:shd w:val="clear" w:color="auto" w:fill="auto"/>
            <w:noWrap/>
            <w:vAlign w:val="center"/>
            <w:hideMark/>
          </w:tcPr>
          <w:p w14:paraId="7137AF76"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-0,5%</w:t>
            </w:r>
          </w:p>
        </w:tc>
        <w:tc>
          <w:tcPr>
            <w:tcW w:w="1078" w:type="dxa"/>
            <w:tcBorders>
              <w:top w:val="nil"/>
              <w:left w:val="nil"/>
              <w:bottom w:val="nil"/>
              <w:right w:val="nil"/>
            </w:tcBorders>
            <w:shd w:val="clear" w:color="auto" w:fill="auto"/>
            <w:noWrap/>
            <w:vAlign w:val="center"/>
            <w:hideMark/>
          </w:tcPr>
          <w:p w14:paraId="005328BF"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0,1%</w:t>
            </w:r>
          </w:p>
        </w:tc>
        <w:tc>
          <w:tcPr>
            <w:tcW w:w="1029" w:type="dxa"/>
            <w:tcBorders>
              <w:top w:val="nil"/>
              <w:left w:val="nil"/>
              <w:bottom w:val="nil"/>
              <w:right w:val="nil"/>
            </w:tcBorders>
            <w:shd w:val="clear" w:color="auto" w:fill="auto"/>
            <w:noWrap/>
            <w:vAlign w:val="center"/>
            <w:hideMark/>
          </w:tcPr>
          <w:p w14:paraId="114EEA00"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-0,4%</w:t>
            </w:r>
          </w:p>
        </w:tc>
        <w:tc>
          <w:tcPr>
            <w:tcW w:w="1023" w:type="dxa"/>
            <w:tcBorders>
              <w:top w:val="nil"/>
              <w:left w:val="nil"/>
              <w:bottom w:val="nil"/>
              <w:right w:val="nil"/>
            </w:tcBorders>
            <w:shd w:val="clear" w:color="auto" w:fill="auto"/>
            <w:noWrap/>
            <w:vAlign w:val="center"/>
            <w:hideMark/>
          </w:tcPr>
          <w:p w14:paraId="1B73C7D6"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0,0%</w:t>
            </w:r>
          </w:p>
        </w:tc>
        <w:tc>
          <w:tcPr>
            <w:tcW w:w="1029" w:type="dxa"/>
            <w:tcBorders>
              <w:top w:val="nil"/>
              <w:left w:val="nil"/>
              <w:bottom w:val="nil"/>
              <w:right w:val="nil"/>
            </w:tcBorders>
            <w:shd w:val="clear" w:color="auto" w:fill="auto"/>
            <w:noWrap/>
            <w:vAlign w:val="center"/>
            <w:hideMark/>
          </w:tcPr>
          <w:p w14:paraId="43C629AD"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0,3%</w:t>
            </w:r>
          </w:p>
        </w:tc>
      </w:tr>
      <w:tr w:rsidR="00820EA1" w:rsidRPr="00820EA1" w14:paraId="1ED01CC3" w14:textId="77777777" w:rsidTr="00580843">
        <w:trPr>
          <w:trHeight w:val="239"/>
        </w:trPr>
        <w:tc>
          <w:tcPr>
            <w:tcW w:w="3648" w:type="dxa"/>
            <w:tcBorders>
              <w:top w:val="nil"/>
              <w:left w:val="nil"/>
              <w:bottom w:val="nil"/>
              <w:right w:val="nil"/>
            </w:tcBorders>
            <w:shd w:val="clear" w:color="auto" w:fill="auto"/>
            <w:vAlign w:val="center"/>
            <w:hideMark/>
          </w:tcPr>
          <w:p w14:paraId="520C612A" w14:textId="77777777" w:rsidR="00820EA1" w:rsidRPr="00820EA1" w:rsidRDefault="00820EA1" w:rsidP="00820EA1">
            <w:pPr>
              <w:spacing w:after="0"/>
              <w:jc w:val="right"/>
              <w:rPr>
                <w:rFonts w:eastAsia="Times New Roman" w:cs="Times New Roman"/>
                <w:i/>
                <w:iCs/>
                <w:color w:val="000000"/>
                <w:sz w:val="18"/>
                <w:szCs w:val="18"/>
              </w:rPr>
            </w:pPr>
          </w:p>
        </w:tc>
        <w:tc>
          <w:tcPr>
            <w:tcW w:w="1076" w:type="dxa"/>
            <w:tcBorders>
              <w:top w:val="nil"/>
              <w:left w:val="nil"/>
              <w:bottom w:val="nil"/>
              <w:right w:val="nil"/>
            </w:tcBorders>
            <w:shd w:val="clear" w:color="auto" w:fill="auto"/>
            <w:noWrap/>
            <w:vAlign w:val="center"/>
            <w:hideMark/>
          </w:tcPr>
          <w:p w14:paraId="3FF8580F" w14:textId="77777777" w:rsidR="00820EA1" w:rsidRPr="00820EA1" w:rsidRDefault="00820EA1" w:rsidP="00820EA1">
            <w:pPr>
              <w:spacing w:after="0"/>
              <w:jc w:val="left"/>
              <w:rPr>
                <w:rFonts w:eastAsia="Times New Roman" w:cs="Times New Roman"/>
                <w:sz w:val="20"/>
                <w:szCs w:val="20"/>
              </w:rPr>
            </w:pPr>
          </w:p>
        </w:tc>
        <w:tc>
          <w:tcPr>
            <w:tcW w:w="1078" w:type="dxa"/>
            <w:tcBorders>
              <w:top w:val="nil"/>
              <w:left w:val="nil"/>
              <w:bottom w:val="nil"/>
              <w:right w:val="nil"/>
            </w:tcBorders>
            <w:shd w:val="clear" w:color="auto" w:fill="auto"/>
            <w:noWrap/>
            <w:vAlign w:val="center"/>
            <w:hideMark/>
          </w:tcPr>
          <w:p w14:paraId="3556FC16"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65119A27" w14:textId="77777777" w:rsidR="00820EA1" w:rsidRPr="00820EA1" w:rsidRDefault="00820EA1" w:rsidP="00820EA1">
            <w:pPr>
              <w:spacing w:after="0"/>
              <w:jc w:val="right"/>
              <w:rPr>
                <w:rFonts w:eastAsia="Times New Roman" w:cs="Times New Roman"/>
                <w:sz w:val="20"/>
                <w:szCs w:val="20"/>
              </w:rPr>
            </w:pPr>
          </w:p>
        </w:tc>
        <w:tc>
          <w:tcPr>
            <w:tcW w:w="1023" w:type="dxa"/>
            <w:tcBorders>
              <w:top w:val="nil"/>
              <w:left w:val="nil"/>
              <w:bottom w:val="nil"/>
              <w:right w:val="nil"/>
            </w:tcBorders>
            <w:shd w:val="clear" w:color="auto" w:fill="auto"/>
            <w:noWrap/>
            <w:vAlign w:val="center"/>
            <w:hideMark/>
          </w:tcPr>
          <w:p w14:paraId="6F53B2EA" w14:textId="77777777" w:rsidR="00820EA1" w:rsidRPr="00820EA1" w:rsidRDefault="00820EA1" w:rsidP="00820EA1">
            <w:pPr>
              <w:spacing w:after="0"/>
              <w:jc w:val="right"/>
              <w:rPr>
                <w:rFonts w:eastAsia="Times New Roman" w:cs="Times New Roman"/>
                <w:sz w:val="20"/>
                <w:szCs w:val="20"/>
              </w:rPr>
            </w:pPr>
          </w:p>
        </w:tc>
        <w:tc>
          <w:tcPr>
            <w:tcW w:w="1029" w:type="dxa"/>
            <w:tcBorders>
              <w:top w:val="nil"/>
              <w:left w:val="nil"/>
              <w:bottom w:val="nil"/>
              <w:right w:val="nil"/>
            </w:tcBorders>
            <w:shd w:val="clear" w:color="auto" w:fill="auto"/>
            <w:noWrap/>
            <w:vAlign w:val="center"/>
            <w:hideMark/>
          </w:tcPr>
          <w:p w14:paraId="7903B8A9" w14:textId="77777777" w:rsidR="00820EA1" w:rsidRPr="00820EA1" w:rsidRDefault="00820EA1" w:rsidP="00820EA1">
            <w:pPr>
              <w:spacing w:after="0"/>
              <w:jc w:val="right"/>
              <w:rPr>
                <w:rFonts w:eastAsia="Times New Roman" w:cs="Times New Roman"/>
                <w:sz w:val="20"/>
                <w:szCs w:val="20"/>
              </w:rPr>
            </w:pPr>
          </w:p>
        </w:tc>
      </w:tr>
      <w:tr w:rsidR="00820EA1" w:rsidRPr="00820EA1" w14:paraId="5C39498A" w14:textId="77777777" w:rsidTr="00580843">
        <w:trPr>
          <w:trHeight w:val="314"/>
        </w:trPr>
        <w:tc>
          <w:tcPr>
            <w:tcW w:w="3648" w:type="dxa"/>
            <w:tcBorders>
              <w:top w:val="nil"/>
              <w:left w:val="nil"/>
              <w:bottom w:val="nil"/>
              <w:right w:val="nil"/>
            </w:tcBorders>
            <w:shd w:val="clear" w:color="auto" w:fill="auto"/>
            <w:vAlign w:val="center"/>
            <w:hideMark/>
          </w:tcPr>
          <w:p w14:paraId="30EC37F0" w14:textId="77777777" w:rsidR="00820EA1" w:rsidRPr="00820EA1" w:rsidRDefault="00820EA1" w:rsidP="00820EA1">
            <w:pPr>
              <w:spacing w:after="0"/>
              <w:jc w:val="left"/>
              <w:rPr>
                <w:rFonts w:eastAsia="Times New Roman" w:cs="Times New Roman"/>
                <w:b/>
                <w:bCs/>
                <w:color w:val="000000"/>
                <w:sz w:val="18"/>
                <w:szCs w:val="18"/>
              </w:rPr>
            </w:pPr>
            <w:r w:rsidRPr="00820EA1">
              <w:rPr>
                <w:rFonts w:eastAsia="Times New Roman" w:cs="Times New Roman"/>
                <w:b/>
                <w:bCs/>
                <w:color w:val="000000"/>
                <w:sz w:val="18"/>
                <w:szCs w:val="18"/>
              </w:rPr>
              <w:t>ФИНАНСИРАНЕ (+/-)</w:t>
            </w:r>
          </w:p>
        </w:tc>
        <w:tc>
          <w:tcPr>
            <w:tcW w:w="1076" w:type="dxa"/>
            <w:tcBorders>
              <w:top w:val="nil"/>
              <w:left w:val="nil"/>
              <w:bottom w:val="nil"/>
              <w:right w:val="nil"/>
            </w:tcBorders>
            <w:shd w:val="clear" w:color="auto" w:fill="auto"/>
            <w:noWrap/>
            <w:vAlign w:val="center"/>
            <w:hideMark/>
          </w:tcPr>
          <w:p w14:paraId="712AB685"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536,3</w:t>
            </w:r>
          </w:p>
        </w:tc>
        <w:tc>
          <w:tcPr>
            <w:tcW w:w="1078" w:type="dxa"/>
            <w:tcBorders>
              <w:top w:val="nil"/>
              <w:left w:val="nil"/>
              <w:bottom w:val="nil"/>
              <w:right w:val="nil"/>
            </w:tcBorders>
            <w:shd w:val="clear" w:color="auto" w:fill="auto"/>
            <w:noWrap/>
            <w:vAlign w:val="center"/>
            <w:hideMark/>
          </w:tcPr>
          <w:p w14:paraId="0EA8FF56"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-163,0</w:t>
            </w:r>
          </w:p>
        </w:tc>
        <w:tc>
          <w:tcPr>
            <w:tcW w:w="1029" w:type="dxa"/>
            <w:tcBorders>
              <w:top w:val="nil"/>
              <w:left w:val="nil"/>
              <w:bottom w:val="nil"/>
              <w:right w:val="nil"/>
            </w:tcBorders>
            <w:shd w:val="clear" w:color="auto" w:fill="auto"/>
            <w:noWrap/>
            <w:vAlign w:val="center"/>
            <w:hideMark/>
          </w:tcPr>
          <w:p w14:paraId="045832D4"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446,9</w:t>
            </w:r>
          </w:p>
        </w:tc>
        <w:tc>
          <w:tcPr>
            <w:tcW w:w="1023" w:type="dxa"/>
            <w:tcBorders>
              <w:top w:val="nil"/>
              <w:left w:val="nil"/>
              <w:bottom w:val="nil"/>
              <w:right w:val="nil"/>
            </w:tcBorders>
            <w:shd w:val="clear" w:color="auto" w:fill="auto"/>
            <w:noWrap/>
            <w:vAlign w:val="center"/>
            <w:hideMark/>
          </w:tcPr>
          <w:p w14:paraId="46A2A56A"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-56,6</w:t>
            </w:r>
          </w:p>
        </w:tc>
        <w:tc>
          <w:tcPr>
            <w:tcW w:w="1029" w:type="dxa"/>
            <w:tcBorders>
              <w:top w:val="nil"/>
              <w:left w:val="nil"/>
              <w:bottom w:val="nil"/>
              <w:right w:val="nil"/>
            </w:tcBorders>
            <w:shd w:val="clear" w:color="auto" w:fill="auto"/>
            <w:noWrap/>
            <w:vAlign w:val="center"/>
            <w:hideMark/>
          </w:tcPr>
          <w:p w14:paraId="68B0A866" w14:textId="77777777" w:rsidR="00820EA1" w:rsidRPr="00820EA1" w:rsidRDefault="00820EA1" w:rsidP="00820EA1">
            <w:pPr>
              <w:spacing w:after="0"/>
              <w:jc w:val="right"/>
              <w:rPr>
                <w:rFonts w:eastAsia="Times New Roman" w:cs="Times New Roman"/>
                <w:b/>
                <w:bCs/>
                <w:color w:val="000000"/>
                <w:sz w:val="18"/>
                <w:szCs w:val="18"/>
              </w:rPr>
            </w:pPr>
            <w:r w:rsidRPr="00820EA1">
              <w:rPr>
                <w:rFonts w:eastAsia="Times New Roman" w:cs="Times New Roman"/>
                <w:b/>
                <w:bCs/>
                <w:color w:val="000000"/>
                <w:sz w:val="18"/>
                <w:szCs w:val="18"/>
              </w:rPr>
              <w:t>-388,3</w:t>
            </w:r>
          </w:p>
        </w:tc>
      </w:tr>
      <w:tr w:rsidR="00820EA1" w:rsidRPr="00820EA1" w14:paraId="1A68A2BE" w14:textId="77777777" w:rsidTr="00580843">
        <w:trPr>
          <w:trHeight w:val="239"/>
        </w:trPr>
        <w:tc>
          <w:tcPr>
            <w:tcW w:w="3648" w:type="dxa"/>
            <w:tcBorders>
              <w:top w:val="nil"/>
              <w:left w:val="nil"/>
              <w:bottom w:val="single" w:sz="4" w:space="0" w:color="auto"/>
              <w:right w:val="nil"/>
            </w:tcBorders>
            <w:shd w:val="clear" w:color="auto" w:fill="auto"/>
            <w:vAlign w:val="center"/>
            <w:hideMark/>
          </w:tcPr>
          <w:p w14:paraId="1CC70FF9"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 от БВП</w:t>
            </w:r>
          </w:p>
        </w:tc>
        <w:tc>
          <w:tcPr>
            <w:tcW w:w="1076" w:type="dxa"/>
            <w:tcBorders>
              <w:top w:val="nil"/>
              <w:left w:val="nil"/>
              <w:bottom w:val="single" w:sz="4" w:space="0" w:color="auto"/>
              <w:right w:val="nil"/>
            </w:tcBorders>
            <w:shd w:val="clear" w:color="auto" w:fill="auto"/>
            <w:noWrap/>
            <w:vAlign w:val="center"/>
            <w:hideMark/>
          </w:tcPr>
          <w:p w14:paraId="1BBC78F5"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0,5%</w:t>
            </w:r>
          </w:p>
        </w:tc>
        <w:tc>
          <w:tcPr>
            <w:tcW w:w="1078" w:type="dxa"/>
            <w:tcBorders>
              <w:top w:val="nil"/>
              <w:left w:val="nil"/>
              <w:bottom w:val="single" w:sz="4" w:space="0" w:color="auto"/>
              <w:right w:val="nil"/>
            </w:tcBorders>
            <w:shd w:val="clear" w:color="auto" w:fill="auto"/>
            <w:noWrap/>
            <w:vAlign w:val="center"/>
            <w:hideMark/>
          </w:tcPr>
          <w:p w14:paraId="28791D02"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-0,1%</w:t>
            </w:r>
          </w:p>
        </w:tc>
        <w:tc>
          <w:tcPr>
            <w:tcW w:w="1029" w:type="dxa"/>
            <w:tcBorders>
              <w:top w:val="nil"/>
              <w:left w:val="nil"/>
              <w:bottom w:val="single" w:sz="4" w:space="0" w:color="auto"/>
              <w:right w:val="nil"/>
            </w:tcBorders>
            <w:shd w:val="clear" w:color="auto" w:fill="auto"/>
            <w:noWrap/>
            <w:vAlign w:val="center"/>
            <w:hideMark/>
          </w:tcPr>
          <w:p w14:paraId="495A8C93"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0,4%</w:t>
            </w:r>
          </w:p>
        </w:tc>
        <w:tc>
          <w:tcPr>
            <w:tcW w:w="1023" w:type="dxa"/>
            <w:tcBorders>
              <w:top w:val="nil"/>
              <w:left w:val="nil"/>
              <w:bottom w:val="single" w:sz="4" w:space="0" w:color="auto"/>
              <w:right w:val="nil"/>
            </w:tcBorders>
            <w:shd w:val="clear" w:color="auto" w:fill="auto"/>
            <w:noWrap/>
            <w:vAlign w:val="center"/>
            <w:hideMark/>
          </w:tcPr>
          <w:p w14:paraId="31CFBBBE"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0,0%</w:t>
            </w:r>
          </w:p>
        </w:tc>
        <w:tc>
          <w:tcPr>
            <w:tcW w:w="1029" w:type="dxa"/>
            <w:tcBorders>
              <w:top w:val="nil"/>
              <w:left w:val="nil"/>
              <w:bottom w:val="single" w:sz="4" w:space="0" w:color="auto"/>
              <w:right w:val="nil"/>
            </w:tcBorders>
            <w:shd w:val="clear" w:color="auto" w:fill="auto"/>
            <w:noWrap/>
            <w:vAlign w:val="center"/>
            <w:hideMark/>
          </w:tcPr>
          <w:p w14:paraId="096247C9" w14:textId="77777777" w:rsidR="00820EA1" w:rsidRPr="00820EA1" w:rsidRDefault="00820EA1" w:rsidP="00820EA1">
            <w:pPr>
              <w:spacing w:after="0"/>
              <w:jc w:val="right"/>
              <w:rPr>
                <w:rFonts w:eastAsia="Times New Roman" w:cs="Times New Roman"/>
                <w:i/>
                <w:iCs/>
                <w:color w:val="000000"/>
                <w:sz w:val="18"/>
                <w:szCs w:val="18"/>
              </w:rPr>
            </w:pPr>
            <w:r w:rsidRPr="00820EA1">
              <w:rPr>
                <w:rFonts w:eastAsia="Times New Roman" w:cs="Times New Roman"/>
                <w:i/>
                <w:iCs/>
                <w:color w:val="000000"/>
                <w:sz w:val="18"/>
                <w:szCs w:val="18"/>
              </w:rPr>
              <w:t>-0,3%</w:t>
            </w:r>
          </w:p>
        </w:tc>
      </w:tr>
    </w:tbl>
    <w:p w14:paraId="3B3819C2" w14:textId="77777777" w:rsidR="005471D8" w:rsidRPr="00967DD0" w:rsidRDefault="00967DD0" w:rsidP="008A33EB">
      <w:pPr>
        <w:spacing w:before="60"/>
        <w:jc w:val="right"/>
        <w:rPr>
          <w:rFonts w:eastAsia="Batang" w:cs="Times New Roman"/>
          <w:sz w:val="18"/>
          <w:szCs w:val="18"/>
        </w:rPr>
      </w:pPr>
      <w:r>
        <w:rPr>
          <w:rFonts w:eastAsia="Batang" w:cs="Times New Roman"/>
          <w:sz w:val="18"/>
          <w:szCs w:val="18"/>
        </w:rPr>
        <w:t>Източник: МФ</w:t>
      </w:r>
    </w:p>
    <w:p w14:paraId="7240ECEF" w14:textId="77777777" w:rsidR="00742244" w:rsidRPr="00742244" w:rsidRDefault="00531E97" w:rsidP="000B315F">
      <w:pPr>
        <w:pStyle w:val="Heading2"/>
        <w:numPr>
          <w:ilvl w:val="1"/>
          <w:numId w:val="3"/>
        </w:numPr>
        <w:ind w:hanging="270"/>
        <w:rPr>
          <w:color w:val="852010" w:themeColor="accent3" w:themeShade="BF"/>
        </w:rPr>
      </w:pPr>
      <w:bookmarkStart w:id="204" w:name="_Toc216029350"/>
      <w:bookmarkStart w:id="205" w:name="_Toc464224780"/>
      <w:bookmarkStart w:id="206" w:name="_Toc464225430"/>
      <w:bookmarkStart w:id="207" w:name="_Toc464458977"/>
      <w:bookmarkStart w:id="208" w:name="_Toc464459723"/>
      <w:bookmarkStart w:id="209" w:name="_Toc464460678"/>
      <w:bookmarkStart w:id="210" w:name="_Toc464463077"/>
      <w:bookmarkStart w:id="211" w:name="_Toc464464904"/>
      <w:bookmarkStart w:id="212" w:name="_Toc464465410"/>
      <w:bookmarkStart w:id="213" w:name="_Toc464465598"/>
      <w:bookmarkStart w:id="214" w:name="_Toc464466423"/>
      <w:bookmarkStart w:id="215" w:name="_Toc464466667"/>
      <w:bookmarkStart w:id="216" w:name="_Toc464644979"/>
      <w:bookmarkStart w:id="217" w:name="_Toc465205508"/>
      <w:bookmarkEnd w:id="197"/>
      <w:bookmarkEnd w:id="198"/>
      <w:bookmarkEnd w:id="199"/>
      <w:r>
        <w:t>П</w:t>
      </w:r>
      <w:r w:rsidR="00742244">
        <w:t>рогноза за сектор „Държ</w:t>
      </w:r>
      <w:r w:rsidR="00200E9E">
        <w:t>авно управление“ за периода 2026</w:t>
      </w:r>
      <w:r w:rsidR="00742244">
        <w:t>-2028 г.</w:t>
      </w:r>
      <w:bookmarkEnd w:id="204"/>
    </w:p>
    <w:bookmarkEnd w:id="205"/>
    <w:bookmarkEnd w:id="206"/>
    <w:bookmarkEnd w:id="207"/>
    <w:bookmarkEnd w:id="208"/>
    <w:bookmarkEnd w:id="209"/>
    <w:bookmarkEnd w:id="210"/>
    <w:bookmarkEnd w:id="211"/>
    <w:bookmarkEnd w:id="212"/>
    <w:bookmarkEnd w:id="213"/>
    <w:bookmarkEnd w:id="214"/>
    <w:bookmarkEnd w:id="215"/>
    <w:bookmarkEnd w:id="216"/>
    <w:bookmarkEnd w:id="217"/>
    <w:p w14:paraId="3FCE7546" w14:textId="77777777" w:rsidR="00791560" w:rsidRDefault="00D22320" w:rsidP="00615B9C">
      <w:r w:rsidRPr="00D22320">
        <w:t xml:space="preserve">За целите на международните сравнения бюджетната рамка се представя както по национална методология (по показатели на КФП на касова основа), така и на базата на европейската </w:t>
      </w:r>
      <w:proofErr w:type="spellStart"/>
      <w:r w:rsidRPr="00D22320">
        <w:t>метдология</w:t>
      </w:r>
      <w:proofErr w:type="spellEnd"/>
      <w:r w:rsidRPr="00D22320">
        <w:t xml:space="preserve"> ЕСС 2010 за показателите за сектор „Държавно управление“, </w:t>
      </w:r>
      <w:r w:rsidRPr="00D22320">
        <w:lastRenderedPageBreak/>
        <w:t xml:space="preserve">като следва да се отбележи, че фискалните параметри отразяват по еднакъв начин фискалната политика. </w:t>
      </w:r>
    </w:p>
    <w:p w14:paraId="6E75E05C" w14:textId="77777777" w:rsidR="00255216" w:rsidRDefault="00D22320" w:rsidP="00255216">
      <w:r w:rsidRPr="00D22320">
        <w:t>Представената прогноза е разработена на базата на последната макроикономическа прогноза на МФ, на предприетите мерки и политики, които оказват фискално въздействие през прогнозни</w:t>
      </w:r>
      <w:r w:rsidR="00615B9C">
        <w:t>я период.</w:t>
      </w:r>
      <w:r w:rsidR="00255216">
        <w:t xml:space="preserve"> </w:t>
      </w:r>
    </w:p>
    <w:p w14:paraId="3B2D12C6" w14:textId="77777777" w:rsidR="00D22320" w:rsidRPr="0047584C" w:rsidRDefault="0067078C" w:rsidP="0047584C">
      <w:pPr>
        <w:pStyle w:val="Heading3"/>
        <w:ind w:left="0"/>
      </w:pPr>
      <w:r w:rsidRPr="0047584C">
        <w:rPr>
          <w:rStyle w:val="Strong"/>
          <w:b/>
          <w:bCs/>
        </w:rPr>
        <w:t xml:space="preserve">Основни показатели на сектор „Държавно управление“ и </w:t>
      </w:r>
      <w:r w:rsidR="00D22320" w:rsidRPr="0047584C">
        <w:t xml:space="preserve"> траектория на нетните разходи</w:t>
      </w:r>
    </w:p>
    <w:p w14:paraId="4B35F864" w14:textId="77777777" w:rsidR="00EF2B93" w:rsidRPr="00D22320" w:rsidRDefault="00EF2B93" w:rsidP="00EF2B93">
      <w:r>
        <w:t>В Националния</w:t>
      </w:r>
      <w:r w:rsidRPr="00D22320">
        <w:t xml:space="preserve"> средносрочен фискално-структурен план на Република България за периода </w:t>
      </w:r>
      <w:r>
        <w:t>2025-2028 г.</w:t>
      </w:r>
      <w:r w:rsidRPr="00D22320">
        <w:t xml:space="preserve"> е заложен фискален план под формата на ограничение на растежа на нетните публичните разходи, гарантиращ поддържането на дефицита под 3% и дълга под 60% от БВП в средносрочен план. На 20 юни 2025 г. Съветът на ЕС прие Препоръка за одобряване на националния средносрочен фискално-структурен п</w:t>
      </w:r>
      <w:r>
        <w:t xml:space="preserve">лан на България за периода 2025-2028 г. </w:t>
      </w:r>
      <w:r w:rsidRPr="00D22320">
        <w:t xml:space="preserve">Препоръката, приета от Съвета, ограничава номиналното увеличение на национално финансираните нетни първични разходи до максимум 6,2% през 2025 г. и 4,9% през 2026 г. </w:t>
      </w:r>
    </w:p>
    <w:p w14:paraId="7086F296" w14:textId="77777777" w:rsidR="00EF2B93" w:rsidRDefault="00EF2B93" w:rsidP="00EF2B93">
      <w:r w:rsidRPr="00D22320">
        <w:t>Изменението на нетните разходи се изчислява ежегодно и се сравнява с разрешената от Съвета траектория на нетните разходи, за която България се е ангажирала в Националния си фискално-структурен план. Според настоящите прогнози на МФ, нетните разходи, финансирани на национално ниво, се очаква да н</w:t>
      </w:r>
      <w:r>
        <w:t xml:space="preserve">араснат с 8,3% през 2025 г. и </w:t>
      </w:r>
      <w:r w:rsidR="003E44E9" w:rsidRPr="00B96432">
        <w:t>6,0</w:t>
      </w:r>
      <w:r w:rsidRPr="00B96432">
        <w:t>%</w:t>
      </w:r>
      <w:r w:rsidRPr="00D22320">
        <w:t xml:space="preserve"> през 2026 г.</w:t>
      </w:r>
    </w:p>
    <w:p w14:paraId="041551AB" w14:textId="77777777" w:rsidR="00EF2B93" w:rsidRPr="006E136C" w:rsidRDefault="00EF2B93" w:rsidP="00FB1407">
      <w:pPr>
        <w:spacing w:after="120"/>
      </w:pPr>
      <w:r w:rsidRPr="006E136C">
        <w:t>Натрупаното салдо по контролната сметка (отчита разликата между реалното/планираното увеличение на нетните разходи и одобреното от Съвета) е в размер на 0</w:t>
      </w:r>
      <w:r>
        <w:t>,</w:t>
      </w:r>
      <w:r w:rsidRPr="006E136C">
        <w:t>8% от БВП през 2025 г</w:t>
      </w:r>
      <w:r w:rsidRPr="00B96432">
        <w:t>., 1,</w:t>
      </w:r>
      <w:r w:rsidR="003E44E9" w:rsidRPr="00B96432">
        <w:t>2</w:t>
      </w:r>
      <w:r w:rsidRPr="00B96432">
        <w:t>%</w:t>
      </w:r>
      <w:r w:rsidRPr="006E136C">
        <w:t xml:space="preserve"> от БВП през 2026 г., 1,</w:t>
      </w:r>
      <w:r w:rsidR="005F785C">
        <w:t>6</w:t>
      </w:r>
      <w:r w:rsidR="002D4869">
        <w:t>% от БВП</w:t>
      </w:r>
      <w:r w:rsidRPr="006E136C">
        <w:t xml:space="preserve"> през 2027 </w:t>
      </w:r>
      <w:r>
        <w:t xml:space="preserve">г. </w:t>
      </w:r>
      <w:r w:rsidRPr="006E136C">
        <w:t>и 0,</w:t>
      </w:r>
      <w:r w:rsidR="005F785C">
        <w:t>2</w:t>
      </w:r>
      <w:r w:rsidR="002D4869">
        <w:t>% от БВП</w:t>
      </w:r>
      <w:r w:rsidRPr="006E136C">
        <w:t xml:space="preserve"> през 2028</w:t>
      </w:r>
      <w:r>
        <w:t xml:space="preserve"> г</w:t>
      </w:r>
      <w:r w:rsidRPr="006E136C">
        <w:t xml:space="preserve">. </w:t>
      </w:r>
    </w:p>
    <w:p w14:paraId="40EAB343" w14:textId="77777777" w:rsidR="00EF2B93" w:rsidRDefault="00EF2B93" w:rsidP="00FB1407">
      <w:pPr>
        <w:spacing w:after="120"/>
      </w:pPr>
      <w:r w:rsidRPr="00D22320">
        <w:t>През юли 2025 г. Съветът активира националната клауза за дерогация за България, предоставяща допълнително бюджетно пространство за увеличаване на разходите за отбрана, в съответствие с фискалните правила на ЕС. Клаузата обхваща период от четири години и пред</w:t>
      </w:r>
      <w:r w:rsidR="00890BE6">
        <w:t>вижда гъвкавост до максимум 1,5</w:t>
      </w:r>
      <w:r w:rsidRPr="00D22320">
        <w:t>% от БВП. Отчитайки тази гъвкавост, кумулативното салдо по контролната сметка намалява до</w:t>
      </w:r>
      <w:r w:rsidR="00890BE6">
        <w:t xml:space="preserve"> -0,3% от БВП през 2025 г. и 0,</w:t>
      </w:r>
      <w:r w:rsidR="005F785C">
        <w:t>8</w:t>
      </w:r>
      <w:r w:rsidRPr="00D22320">
        <w:t>% от БВП през 2026 г., но запазва положителна стойност през 2026 г., т.е. очаква се България да надхвърли максималния темп на растеж през 2026 г. С отчитане на дерогацията за разходите за отбрана, натрупаният в конт</w:t>
      </w:r>
      <w:r w:rsidR="00FB1407">
        <w:t>ролната сметка баланс през 2025 </w:t>
      </w:r>
      <w:r w:rsidRPr="00D22320">
        <w:t xml:space="preserve">г. и през 2026 г. отговаря на изискванията на Регламент (ЕС) 2024/1264 на Съвета от 29 април 2024 </w:t>
      </w:r>
      <w:r w:rsidR="00950CE2">
        <w:t>г.</w:t>
      </w:r>
      <w:r w:rsidRPr="00D22320">
        <w:t>, т.е. в съответствие с изискванията на Пакта за стабилност и растеж.</w:t>
      </w:r>
      <w:r w:rsidRPr="006E136C">
        <w:rPr>
          <w:rFonts w:eastAsia="MS Mincho" w:cs="Times New Roman"/>
        </w:rPr>
        <w:t xml:space="preserve"> </w:t>
      </w:r>
      <w:r w:rsidRPr="006E136C">
        <w:t xml:space="preserve">Данните за 2027 </w:t>
      </w:r>
      <w:r w:rsidR="00513F9B">
        <w:t xml:space="preserve">г. </w:t>
      </w:r>
      <w:r w:rsidRPr="006E136C">
        <w:t>и 2028 г. показват, че страната ще продължава да отговаря на изискванията до края на прогнозния хоризонт.</w:t>
      </w:r>
    </w:p>
    <w:p w14:paraId="06EBD647" w14:textId="77777777" w:rsidR="00EC6786" w:rsidRPr="008D72C5" w:rsidRDefault="007B1595" w:rsidP="00FB1407">
      <w:pPr>
        <w:spacing w:after="120"/>
      </w:pPr>
      <w:r w:rsidRPr="007B1595">
        <w:t xml:space="preserve">По прогноза на Министерството на финансите бюджетното салдо на сектор „Държавно управление“ за 2025 </w:t>
      </w:r>
      <w:r w:rsidR="00513F9B">
        <w:t xml:space="preserve">г. </w:t>
      </w:r>
      <w:r w:rsidRPr="007B1595">
        <w:t xml:space="preserve">и 2026 г. е отрицателно в размер на 3,0% от БВП. През 2027 </w:t>
      </w:r>
      <w:r w:rsidR="00513F9B">
        <w:t xml:space="preserve">г. </w:t>
      </w:r>
      <w:r w:rsidRPr="007B1595">
        <w:t xml:space="preserve">и 2028 г. се очаква разходите за отбрана на начислена основа да достигнат максимални стойности съответно </w:t>
      </w:r>
      <w:r w:rsidR="005F785C" w:rsidRPr="005F785C">
        <w:t>4 530,8</w:t>
      </w:r>
      <w:r w:rsidRPr="007B1595">
        <w:t xml:space="preserve"> млн. евро (3,</w:t>
      </w:r>
      <w:r w:rsidR="00EC6786">
        <w:t>6</w:t>
      </w:r>
      <w:r w:rsidRPr="007B1595">
        <w:t xml:space="preserve">% от БВП) и </w:t>
      </w:r>
      <w:r w:rsidR="005F785C" w:rsidRPr="005F785C">
        <w:t>3 324,6</w:t>
      </w:r>
      <w:r w:rsidRPr="007B1595">
        <w:t xml:space="preserve"> млн.</w:t>
      </w:r>
      <w:r w:rsidR="00FB3B52">
        <w:t xml:space="preserve"> </w:t>
      </w:r>
      <w:r w:rsidRPr="007B1595">
        <w:t xml:space="preserve">евро (2,5% от БВП). Този ръст на инвестициите в отбрана ще се отрази и на салдото  на сектор „Държавно управление“, като по предварителни оценки на МФ се очаква </w:t>
      </w:r>
      <w:r w:rsidR="005F785C">
        <w:t xml:space="preserve">то </w:t>
      </w:r>
      <w:r w:rsidRPr="007B1595">
        <w:t>да достигне до -4,</w:t>
      </w:r>
      <w:r w:rsidR="005F785C">
        <w:t>1</w:t>
      </w:r>
      <w:r w:rsidRPr="007B1595">
        <w:t>% от БВП за 2027 г. и до -</w:t>
      </w:r>
      <w:r w:rsidR="005F785C">
        <w:t>2,9</w:t>
      </w:r>
      <w:r w:rsidRPr="007B1595">
        <w:t xml:space="preserve">% от БВП за 2028 г. С оглед на действието на националната клауза за дерогация съгласно Регламент (ЕС) 2024/1263, това влияние е временно и не води до трайно влошаване на бюджетната позиция и до нарушаване на фискалната устойчивост в дългосрочен план. </w:t>
      </w:r>
      <w:r w:rsidR="00EC6786" w:rsidRPr="008D72C5">
        <w:t xml:space="preserve">При отчитане на </w:t>
      </w:r>
      <w:r w:rsidR="00EC6786">
        <w:t>допустимата</w:t>
      </w:r>
      <w:r w:rsidR="00EC6786" w:rsidRPr="008D72C5">
        <w:t xml:space="preserve"> гъвкавост на разходите </w:t>
      </w:r>
      <w:r w:rsidR="00EC6786">
        <w:t xml:space="preserve">за отбрана </w:t>
      </w:r>
      <w:r w:rsidR="00EC6786" w:rsidRPr="008D72C5">
        <w:t xml:space="preserve">по </w:t>
      </w:r>
      <w:r w:rsidR="00EC6786" w:rsidRPr="008D72C5">
        <w:lastRenderedPageBreak/>
        <w:t>националната клауза за дерогация, дефицит</w:t>
      </w:r>
      <w:r w:rsidR="00DC2868">
        <w:t>ът</w:t>
      </w:r>
      <w:r w:rsidR="00EC6786" w:rsidRPr="008D72C5">
        <w:t xml:space="preserve"> на сектор „Държавно управление“ достига 2,</w:t>
      </w:r>
      <w:r w:rsidR="005F785C">
        <w:t>7</w:t>
      </w:r>
      <w:r w:rsidR="00EC6786" w:rsidRPr="008D72C5">
        <w:t xml:space="preserve">% </w:t>
      </w:r>
      <w:r w:rsidR="00E64FAF">
        <w:t xml:space="preserve">от БВП </w:t>
      </w:r>
      <w:r w:rsidR="00EC6786" w:rsidRPr="008D72C5">
        <w:t>за 2026 г.,2,</w:t>
      </w:r>
      <w:r w:rsidR="005F785C">
        <w:t>6</w:t>
      </w:r>
      <w:r w:rsidR="00EC6786" w:rsidRPr="008D72C5">
        <w:t xml:space="preserve">% </w:t>
      </w:r>
      <w:r w:rsidR="00E64FAF">
        <w:t xml:space="preserve">от БВП </w:t>
      </w:r>
      <w:r w:rsidR="00EC6786" w:rsidRPr="008D72C5">
        <w:t xml:space="preserve">за 2027 г. и </w:t>
      </w:r>
      <w:r w:rsidR="005F785C">
        <w:t>1,8</w:t>
      </w:r>
      <w:r w:rsidR="00EC6786" w:rsidRPr="008D72C5">
        <w:t xml:space="preserve">% </w:t>
      </w:r>
      <w:r w:rsidR="00E64FAF">
        <w:t xml:space="preserve">от БВП </w:t>
      </w:r>
      <w:r w:rsidR="00EC6786" w:rsidRPr="008D72C5">
        <w:t>за 2028 г.</w:t>
      </w:r>
    </w:p>
    <w:p w14:paraId="20881978" w14:textId="77777777" w:rsidR="00675419" w:rsidRDefault="004A3E73" w:rsidP="00FB1407">
      <w:pPr>
        <w:spacing w:after="120"/>
      </w:pPr>
      <w:r w:rsidRPr="007E582C">
        <w:t>В подкрепа на инвестиции</w:t>
      </w:r>
      <w:r w:rsidR="00EC6786">
        <w:t>те за отбрана</w:t>
      </w:r>
      <w:r w:rsidRPr="007E582C">
        <w:t xml:space="preserve"> беше разработен </w:t>
      </w:r>
      <w:r w:rsidR="00A30C5E" w:rsidRPr="007E582C">
        <w:t>специален инструмент „Мерки за сигурността на Европа чрез укрепване на европейската отбранителна пром</w:t>
      </w:r>
      <w:r w:rsidR="00955110">
        <w:t>ишленост“ („инструментът SAFE“</w:t>
      </w:r>
      <w:r w:rsidR="008642D0" w:rsidRPr="007E582C">
        <w:t>)</w:t>
      </w:r>
      <w:r w:rsidR="00A30C5E" w:rsidRPr="007E582C">
        <w:t xml:space="preserve">, </w:t>
      </w:r>
      <w:r w:rsidR="008642D0" w:rsidRPr="007E582C">
        <w:t xml:space="preserve">създаден с Регламент (ЕС) 2025/1106 на Съвета от 27 май 2025  г., </w:t>
      </w:r>
      <w:r w:rsidR="00A30C5E" w:rsidRPr="007E582C">
        <w:t>по линия на който на държавите членки се предоставя финансова помощ, позволяваща им да направят спешни и мащабни публични инвестиции в подкрепа на европейската отбранителна промишленост в отговор на настоящата кризисна обстановка</w:t>
      </w:r>
      <w:r w:rsidR="008642D0" w:rsidRPr="007E582C">
        <w:t>.</w:t>
      </w:r>
      <w:r w:rsidR="00A30C5E" w:rsidRPr="007E582C">
        <w:t xml:space="preserve"> </w:t>
      </w:r>
      <w:r w:rsidR="008642D0" w:rsidRPr="007E582C">
        <w:t>В тази връзка България е заявила намерение да се възползва от този инструмент за финансиране в размер до 3,2 млрд.</w:t>
      </w:r>
      <w:r w:rsidR="004750B7">
        <w:t xml:space="preserve"> </w:t>
      </w:r>
      <w:r w:rsidR="008642D0" w:rsidRPr="007E582C">
        <w:t>евро, който е включен в лимита за дълга за 2026 г.</w:t>
      </w:r>
      <w:r w:rsidR="007E5A49">
        <w:t xml:space="preserve">, </w:t>
      </w:r>
      <w:r w:rsidR="007E5A49" w:rsidRPr="00C23E6E">
        <w:t xml:space="preserve">и ще </w:t>
      </w:r>
      <w:r w:rsidR="00826F50">
        <w:t xml:space="preserve">се </w:t>
      </w:r>
      <w:r w:rsidR="007E5A49" w:rsidRPr="00C23E6E">
        <w:t xml:space="preserve">усвоява поетапно съгласно одобрен от Народното събрание </w:t>
      </w:r>
      <w:r w:rsidR="007E5A49">
        <w:t>н</w:t>
      </w:r>
      <w:r w:rsidR="007E5A49" w:rsidRPr="00C23E6E">
        <w:t xml:space="preserve">ационален план за включване на проекти, одобрени от Европейската комисия и финансирани по инструмента </w:t>
      </w:r>
      <w:r w:rsidR="007E5A49" w:rsidRPr="007E5A49">
        <w:rPr>
          <w:lang w:val="en-US"/>
        </w:rPr>
        <w:t>SAFE</w:t>
      </w:r>
      <w:r w:rsidR="007E5A49" w:rsidRPr="00C23E6E">
        <w:t>.</w:t>
      </w:r>
    </w:p>
    <w:p w14:paraId="2045C280" w14:textId="77777777" w:rsidR="00EB0967" w:rsidRDefault="006E136C" w:rsidP="00955110">
      <w:pPr>
        <w:pStyle w:val="Caption"/>
        <w:keepNext/>
        <w:spacing w:before="240"/>
      </w:pPr>
      <w:bookmarkStart w:id="218" w:name="_Toc213229057"/>
      <w:r w:rsidRPr="003D1B27">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3D1B27">
        <w:noBreakHyphen/>
      </w:r>
      <w:r w:rsidR="00974F02">
        <w:fldChar w:fldCharType="begin"/>
      </w:r>
      <w:r w:rsidR="00974F02">
        <w:instrText xml:space="preserve"> SEQ Табл. \* ARABIC \s 1 </w:instrText>
      </w:r>
      <w:r w:rsidR="00974F02">
        <w:fldChar w:fldCharType="separate"/>
      </w:r>
      <w:r w:rsidR="00841DFA">
        <w:rPr>
          <w:noProof/>
        </w:rPr>
        <w:t>5</w:t>
      </w:r>
      <w:r w:rsidR="00974F02">
        <w:rPr>
          <w:noProof/>
        </w:rPr>
        <w:fldChar w:fldCharType="end"/>
      </w:r>
      <w:r w:rsidRPr="003D1B27">
        <w:t>:</w:t>
      </w:r>
      <w:r w:rsidRPr="003D1B27">
        <w:tab/>
      </w:r>
      <w:r w:rsidR="00560D5E">
        <w:t>Фискален ангажимент</w:t>
      </w:r>
      <w:bookmarkEnd w:id="218"/>
      <w:r w:rsidRPr="00D76AC5">
        <w:t xml:space="preserve"> </w:t>
      </w:r>
    </w:p>
    <w:tbl>
      <w:tblPr>
        <w:tblStyle w:val="GridTable5Dark-Accent1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463"/>
        <w:gridCol w:w="3490"/>
        <w:gridCol w:w="1313"/>
        <w:gridCol w:w="1313"/>
        <w:gridCol w:w="1248"/>
        <w:gridCol w:w="1243"/>
      </w:tblGrid>
      <w:tr w:rsidR="00C23E6E" w:rsidRPr="00DA6DB3" w14:paraId="1E980AC3" w14:textId="77777777" w:rsidTr="00C23E6E">
        <w:trPr>
          <w:trHeight w:val="20"/>
          <w:tblHeader/>
          <w:jc w:val="center"/>
        </w:trPr>
        <w:tc>
          <w:tcPr>
            <w:tcW w:w="2179" w:type="pct"/>
            <w:gridSpan w:val="2"/>
            <w:tcBorders>
              <w:top w:val="single" w:sz="4" w:space="0" w:color="auto"/>
              <w:bottom w:val="single" w:sz="4" w:space="0" w:color="auto"/>
            </w:tcBorders>
            <w:shd w:val="clear" w:color="auto" w:fill="auto"/>
            <w:vAlign w:val="center"/>
          </w:tcPr>
          <w:p w14:paraId="2F435AEE" w14:textId="77777777" w:rsidR="00C23E6E" w:rsidRPr="00DA6DB3" w:rsidRDefault="00C23E6E" w:rsidP="00C23E6E">
            <w:pPr>
              <w:spacing w:before="40" w:after="40"/>
              <w:jc w:val="left"/>
              <w:rPr>
                <w:rFonts w:eastAsia="MS Mincho" w:cs="Times New Roman"/>
                <w:b/>
                <w:bCs/>
                <w:sz w:val="18"/>
              </w:rPr>
            </w:pPr>
          </w:p>
        </w:tc>
        <w:tc>
          <w:tcPr>
            <w:tcW w:w="724" w:type="pct"/>
            <w:tcBorders>
              <w:top w:val="single" w:sz="4" w:space="0" w:color="auto"/>
              <w:bottom w:val="single" w:sz="4" w:space="0" w:color="auto"/>
            </w:tcBorders>
            <w:shd w:val="clear" w:color="auto" w:fill="auto"/>
            <w:vAlign w:val="center"/>
          </w:tcPr>
          <w:p w14:paraId="4604194D" w14:textId="77777777" w:rsidR="00C23E6E" w:rsidRPr="00DA6DB3" w:rsidRDefault="00C23E6E" w:rsidP="00C23E6E">
            <w:pPr>
              <w:spacing w:before="40" w:after="40"/>
              <w:jc w:val="center"/>
              <w:rPr>
                <w:rFonts w:eastAsia="MS Mincho" w:cs="Times New Roman"/>
                <w:b/>
                <w:bCs/>
                <w:sz w:val="18"/>
              </w:rPr>
            </w:pPr>
            <w:r w:rsidRPr="00DA6DB3">
              <w:rPr>
                <w:rFonts w:eastAsia="MS Mincho" w:cs="Times New Roman"/>
                <w:b/>
                <w:bCs/>
                <w:sz w:val="18"/>
              </w:rPr>
              <w:t>2025</w:t>
            </w:r>
          </w:p>
        </w:tc>
        <w:tc>
          <w:tcPr>
            <w:tcW w:w="724" w:type="pct"/>
            <w:tcBorders>
              <w:top w:val="single" w:sz="4" w:space="0" w:color="auto"/>
            </w:tcBorders>
            <w:shd w:val="clear" w:color="auto" w:fill="auto"/>
            <w:vAlign w:val="center"/>
          </w:tcPr>
          <w:p w14:paraId="264B8BB2" w14:textId="77777777" w:rsidR="00C23E6E" w:rsidRPr="00DA6DB3" w:rsidRDefault="00C23E6E" w:rsidP="00C23E6E">
            <w:pPr>
              <w:spacing w:before="40" w:after="40"/>
              <w:jc w:val="center"/>
              <w:rPr>
                <w:rFonts w:eastAsia="MS Mincho" w:cs="Times New Roman"/>
                <w:b/>
                <w:bCs/>
                <w:sz w:val="18"/>
              </w:rPr>
            </w:pPr>
            <w:r w:rsidRPr="00DA6DB3">
              <w:rPr>
                <w:rFonts w:eastAsia="MS Mincho" w:cs="Times New Roman"/>
                <w:b/>
                <w:bCs/>
                <w:sz w:val="18"/>
              </w:rPr>
              <w:t>2026</w:t>
            </w:r>
          </w:p>
        </w:tc>
        <w:tc>
          <w:tcPr>
            <w:tcW w:w="688" w:type="pct"/>
            <w:tcBorders>
              <w:top w:val="single" w:sz="4" w:space="0" w:color="auto"/>
            </w:tcBorders>
            <w:shd w:val="clear" w:color="auto" w:fill="auto"/>
          </w:tcPr>
          <w:p w14:paraId="3B3AF4A5" w14:textId="77777777" w:rsidR="00C23E6E" w:rsidRPr="00DA6DB3" w:rsidRDefault="00C23E6E" w:rsidP="00C23E6E">
            <w:pPr>
              <w:spacing w:before="40" w:after="40"/>
              <w:jc w:val="center"/>
              <w:rPr>
                <w:rFonts w:eastAsia="MS Mincho" w:cs="Times New Roman"/>
                <w:b/>
                <w:bCs/>
                <w:sz w:val="18"/>
              </w:rPr>
            </w:pPr>
            <w:r w:rsidRPr="00DA6DB3">
              <w:rPr>
                <w:rFonts w:eastAsia="MS Mincho" w:cs="Times New Roman"/>
                <w:b/>
                <w:bCs/>
                <w:sz w:val="18"/>
              </w:rPr>
              <w:t>2027</w:t>
            </w:r>
          </w:p>
        </w:tc>
        <w:tc>
          <w:tcPr>
            <w:tcW w:w="685" w:type="pct"/>
            <w:tcBorders>
              <w:top w:val="single" w:sz="4" w:space="0" w:color="auto"/>
            </w:tcBorders>
            <w:shd w:val="clear" w:color="auto" w:fill="auto"/>
          </w:tcPr>
          <w:p w14:paraId="5FC834A2" w14:textId="77777777" w:rsidR="00C23E6E" w:rsidRPr="00DA6DB3" w:rsidRDefault="00C23E6E" w:rsidP="00C23E6E">
            <w:pPr>
              <w:spacing w:before="40" w:after="40"/>
              <w:jc w:val="center"/>
              <w:rPr>
                <w:rFonts w:eastAsia="MS Mincho" w:cs="Times New Roman"/>
                <w:b/>
                <w:bCs/>
                <w:sz w:val="18"/>
              </w:rPr>
            </w:pPr>
            <w:r w:rsidRPr="00DA6DB3">
              <w:rPr>
                <w:rFonts w:eastAsia="MS Mincho" w:cs="Times New Roman"/>
                <w:b/>
                <w:bCs/>
                <w:sz w:val="18"/>
              </w:rPr>
              <w:t>2028</w:t>
            </w:r>
          </w:p>
        </w:tc>
      </w:tr>
      <w:tr w:rsidR="00C23E6E" w:rsidRPr="00DA6DB3" w14:paraId="67D7FB7B" w14:textId="77777777" w:rsidTr="00C23E6E">
        <w:trPr>
          <w:cnfStyle w:val="000000100000" w:firstRow="0" w:lastRow="0" w:firstColumn="0" w:lastColumn="0" w:oddVBand="0" w:evenVBand="0" w:oddHBand="1" w:evenHBand="0" w:firstRowFirstColumn="0" w:firstRowLastColumn="0" w:lastRowFirstColumn="0" w:lastRowLastColumn="0"/>
          <w:trHeight w:val="20"/>
          <w:jc w:val="center"/>
        </w:trPr>
        <w:tc>
          <w:tcPr>
            <w:tcW w:w="2179" w:type="pct"/>
            <w:gridSpan w:val="2"/>
            <w:tcBorders>
              <w:top w:val="single" w:sz="4" w:space="0" w:color="auto"/>
            </w:tcBorders>
            <w:shd w:val="clear" w:color="auto" w:fill="E3E4E6" w:themeFill="accent6" w:themeFillTint="33"/>
            <w:vAlign w:val="center"/>
          </w:tcPr>
          <w:p w14:paraId="49E1A17F" w14:textId="77777777" w:rsidR="00C23E6E" w:rsidRPr="00DA6DB3" w:rsidRDefault="00C23E6E" w:rsidP="00C23E6E">
            <w:pPr>
              <w:spacing w:before="40" w:after="40"/>
              <w:jc w:val="left"/>
              <w:rPr>
                <w:rFonts w:eastAsia="MS Mincho" w:cs="Times New Roman"/>
                <w:bCs/>
                <w:sz w:val="18"/>
              </w:rPr>
            </w:pPr>
            <w:r w:rsidRPr="00DA6DB3">
              <w:rPr>
                <w:rFonts w:eastAsia="MS Mincho" w:cs="Times New Roman"/>
                <w:bCs/>
                <w:sz w:val="18"/>
              </w:rPr>
              <w:t>Препоръка на Съвета</w:t>
            </w:r>
          </w:p>
        </w:tc>
        <w:tc>
          <w:tcPr>
            <w:tcW w:w="2821" w:type="pct"/>
            <w:gridSpan w:val="4"/>
            <w:tcBorders>
              <w:top w:val="single" w:sz="4" w:space="0" w:color="auto"/>
            </w:tcBorders>
            <w:shd w:val="clear" w:color="auto" w:fill="auto"/>
          </w:tcPr>
          <w:p w14:paraId="6FFD69FD" w14:textId="77777777" w:rsidR="00C23E6E" w:rsidRPr="00DA6DB3" w:rsidRDefault="00C23E6E" w:rsidP="00C23E6E">
            <w:pPr>
              <w:spacing w:before="40" w:after="40"/>
              <w:jc w:val="left"/>
              <w:rPr>
                <w:rFonts w:eastAsia="MS Mincho" w:cs="Times New Roman"/>
                <w:bCs/>
                <w:sz w:val="18"/>
              </w:rPr>
            </w:pPr>
          </w:p>
        </w:tc>
      </w:tr>
      <w:tr w:rsidR="00C23E6E" w:rsidRPr="00DA6DB3" w14:paraId="67DD2416" w14:textId="77777777" w:rsidTr="00C23E6E">
        <w:trPr>
          <w:trHeight w:val="20"/>
          <w:jc w:val="center"/>
        </w:trPr>
        <w:tc>
          <w:tcPr>
            <w:tcW w:w="255" w:type="pct"/>
            <w:shd w:val="clear" w:color="auto" w:fill="auto"/>
            <w:vAlign w:val="center"/>
          </w:tcPr>
          <w:p w14:paraId="63D77F2A" w14:textId="77777777" w:rsidR="00C23E6E" w:rsidRPr="00DA6DB3" w:rsidRDefault="00C23E6E" w:rsidP="00C23E6E">
            <w:pPr>
              <w:spacing w:before="40" w:after="40"/>
              <w:jc w:val="left"/>
              <w:rPr>
                <w:rFonts w:eastAsia="MS Mincho" w:cs="Times New Roman"/>
                <w:bCs/>
                <w:sz w:val="18"/>
              </w:rPr>
            </w:pPr>
            <w:r w:rsidRPr="00DA6DB3">
              <w:rPr>
                <w:rFonts w:eastAsia="MS Mincho" w:cs="Times New Roman"/>
                <w:bCs/>
                <w:sz w:val="18"/>
              </w:rPr>
              <w:t>1</w:t>
            </w:r>
          </w:p>
        </w:tc>
        <w:tc>
          <w:tcPr>
            <w:tcW w:w="1924" w:type="pct"/>
            <w:shd w:val="clear" w:color="auto" w:fill="auto"/>
            <w:vAlign w:val="center"/>
          </w:tcPr>
          <w:p w14:paraId="5D365429" w14:textId="77777777" w:rsidR="00C23E6E" w:rsidRPr="00DA6DB3" w:rsidRDefault="00C23E6E" w:rsidP="00C23E6E">
            <w:pPr>
              <w:spacing w:before="40" w:after="40"/>
              <w:rPr>
                <w:rFonts w:eastAsia="MS Mincho" w:cs="Times New Roman"/>
                <w:bCs/>
                <w:sz w:val="18"/>
              </w:rPr>
            </w:pPr>
            <w:r w:rsidRPr="00DA6DB3">
              <w:rPr>
                <w:rFonts w:eastAsia="MS Mincho" w:cs="Times New Roman"/>
                <w:bCs/>
                <w:sz w:val="18"/>
              </w:rPr>
              <w:t>Нетни първични разходи, финансирани на национално ниво</w:t>
            </w:r>
          </w:p>
        </w:tc>
        <w:tc>
          <w:tcPr>
            <w:tcW w:w="724" w:type="pct"/>
            <w:shd w:val="clear" w:color="auto" w:fill="auto"/>
            <w:vAlign w:val="bottom"/>
          </w:tcPr>
          <w:p w14:paraId="084783F0"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6,2</w:t>
            </w:r>
          </w:p>
        </w:tc>
        <w:tc>
          <w:tcPr>
            <w:tcW w:w="724" w:type="pct"/>
            <w:shd w:val="clear" w:color="auto" w:fill="auto"/>
            <w:vAlign w:val="bottom"/>
          </w:tcPr>
          <w:p w14:paraId="3A9D35E6"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4,9</w:t>
            </w:r>
          </w:p>
        </w:tc>
        <w:tc>
          <w:tcPr>
            <w:tcW w:w="688" w:type="pct"/>
            <w:shd w:val="clear" w:color="auto" w:fill="auto"/>
            <w:vAlign w:val="bottom"/>
          </w:tcPr>
          <w:p w14:paraId="3C299CBC"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4,4</w:t>
            </w:r>
          </w:p>
        </w:tc>
        <w:tc>
          <w:tcPr>
            <w:tcW w:w="685" w:type="pct"/>
            <w:shd w:val="clear" w:color="auto" w:fill="auto"/>
            <w:vAlign w:val="bottom"/>
          </w:tcPr>
          <w:p w14:paraId="236EAC85"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4,0</w:t>
            </w:r>
          </w:p>
        </w:tc>
      </w:tr>
      <w:tr w:rsidR="00C23E6E" w:rsidRPr="00DA6DB3" w14:paraId="4420B999" w14:textId="77777777" w:rsidTr="00C23E6E">
        <w:trPr>
          <w:gridAfter w:val="3"/>
          <w:cnfStyle w:val="000000100000" w:firstRow="0" w:lastRow="0" w:firstColumn="0" w:lastColumn="0" w:oddVBand="0" w:evenVBand="0" w:oddHBand="1" w:evenHBand="0" w:firstRowFirstColumn="0" w:firstRowLastColumn="0" w:lastRowFirstColumn="0" w:lastRowLastColumn="0"/>
          <w:wAfter w:w="2097" w:type="pct"/>
          <w:trHeight w:val="20"/>
          <w:jc w:val="center"/>
        </w:trPr>
        <w:tc>
          <w:tcPr>
            <w:tcW w:w="2179" w:type="pct"/>
            <w:gridSpan w:val="2"/>
            <w:shd w:val="clear" w:color="auto" w:fill="E3E4E6" w:themeFill="accent6" w:themeFillTint="33"/>
            <w:vAlign w:val="center"/>
          </w:tcPr>
          <w:p w14:paraId="29BE3B8E" w14:textId="77777777" w:rsidR="00C23E6E" w:rsidRPr="00DA6DB3" w:rsidRDefault="00C23E6E" w:rsidP="00C23E6E">
            <w:pPr>
              <w:spacing w:before="40" w:after="40"/>
              <w:jc w:val="left"/>
              <w:rPr>
                <w:rFonts w:eastAsia="MS Mincho" w:cs="Times New Roman"/>
                <w:bCs/>
                <w:sz w:val="18"/>
              </w:rPr>
            </w:pPr>
            <w:r w:rsidRPr="00DA6DB3">
              <w:rPr>
                <w:rFonts w:eastAsia="MS Mincho" w:cs="Times New Roman"/>
                <w:bCs/>
                <w:sz w:val="18"/>
              </w:rPr>
              <w:t>Отчетни данни/прогноза</w:t>
            </w:r>
          </w:p>
        </w:tc>
        <w:tc>
          <w:tcPr>
            <w:tcW w:w="724" w:type="pct"/>
            <w:shd w:val="clear" w:color="auto" w:fill="auto"/>
          </w:tcPr>
          <w:p w14:paraId="01FF8F15" w14:textId="77777777" w:rsidR="00C23E6E" w:rsidRPr="00DA6DB3" w:rsidRDefault="00C23E6E" w:rsidP="00C23E6E">
            <w:pPr>
              <w:spacing w:before="40" w:after="40"/>
              <w:jc w:val="left"/>
              <w:rPr>
                <w:rFonts w:eastAsia="MS Mincho" w:cs="Times New Roman"/>
                <w:bCs/>
                <w:sz w:val="18"/>
              </w:rPr>
            </w:pPr>
          </w:p>
        </w:tc>
      </w:tr>
      <w:tr w:rsidR="00C23E6E" w:rsidRPr="00DA6DB3" w14:paraId="569FA4E4" w14:textId="77777777" w:rsidTr="00C23E6E">
        <w:trPr>
          <w:trHeight w:val="20"/>
          <w:jc w:val="center"/>
        </w:trPr>
        <w:tc>
          <w:tcPr>
            <w:tcW w:w="255" w:type="pct"/>
            <w:shd w:val="clear" w:color="auto" w:fill="auto"/>
            <w:vAlign w:val="center"/>
          </w:tcPr>
          <w:p w14:paraId="367CF96D" w14:textId="77777777" w:rsidR="00C23E6E" w:rsidRPr="00DA6DB3" w:rsidRDefault="00C23E6E" w:rsidP="00C23E6E">
            <w:pPr>
              <w:spacing w:before="40" w:after="40"/>
              <w:jc w:val="left"/>
              <w:rPr>
                <w:rFonts w:eastAsia="MS Mincho" w:cs="Times New Roman"/>
                <w:bCs/>
                <w:sz w:val="18"/>
              </w:rPr>
            </w:pPr>
            <w:r w:rsidRPr="00DA6DB3">
              <w:rPr>
                <w:rFonts w:eastAsia="MS Mincho" w:cs="Times New Roman"/>
                <w:bCs/>
                <w:sz w:val="18"/>
              </w:rPr>
              <w:t>2</w:t>
            </w:r>
          </w:p>
        </w:tc>
        <w:tc>
          <w:tcPr>
            <w:tcW w:w="1924" w:type="pct"/>
            <w:shd w:val="clear" w:color="auto" w:fill="auto"/>
            <w:vAlign w:val="center"/>
          </w:tcPr>
          <w:p w14:paraId="7379A914" w14:textId="77777777" w:rsidR="00C23E6E" w:rsidRPr="00DA6DB3" w:rsidRDefault="00C23E6E" w:rsidP="00C23E6E">
            <w:pPr>
              <w:spacing w:before="40" w:after="40"/>
              <w:rPr>
                <w:rFonts w:eastAsia="MS Mincho" w:cs="Times New Roman"/>
                <w:bCs/>
                <w:sz w:val="18"/>
              </w:rPr>
            </w:pPr>
            <w:r w:rsidRPr="00DA6DB3">
              <w:rPr>
                <w:rFonts w:eastAsia="MS Mincho" w:cs="Times New Roman"/>
                <w:bCs/>
                <w:sz w:val="18"/>
              </w:rPr>
              <w:t>Нетни първични разходи, финансирани на национално ниво</w:t>
            </w:r>
          </w:p>
        </w:tc>
        <w:tc>
          <w:tcPr>
            <w:tcW w:w="724" w:type="pct"/>
            <w:shd w:val="clear" w:color="auto" w:fill="auto"/>
          </w:tcPr>
          <w:p w14:paraId="1D586658"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8,3</w:t>
            </w:r>
          </w:p>
        </w:tc>
        <w:tc>
          <w:tcPr>
            <w:tcW w:w="724" w:type="pct"/>
            <w:shd w:val="clear" w:color="auto" w:fill="auto"/>
          </w:tcPr>
          <w:p w14:paraId="635AFE08" w14:textId="77777777" w:rsidR="00C23E6E" w:rsidRPr="00B96432" w:rsidRDefault="003E44E9" w:rsidP="00C23E6E">
            <w:pPr>
              <w:spacing w:before="40" w:after="40"/>
              <w:jc w:val="center"/>
              <w:rPr>
                <w:rFonts w:eastAsia="MS Mincho" w:cs="Times New Roman"/>
                <w:bCs/>
                <w:sz w:val="18"/>
              </w:rPr>
            </w:pPr>
            <w:r w:rsidRPr="00B96432">
              <w:rPr>
                <w:rFonts w:eastAsia="MS Mincho" w:cs="Times New Roman"/>
                <w:bCs/>
                <w:sz w:val="18"/>
              </w:rPr>
              <w:t>6,0</w:t>
            </w:r>
          </w:p>
        </w:tc>
        <w:tc>
          <w:tcPr>
            <w:tcW w:w="688" w:type="pct"/>
            <w:shd w:val="clear" w:color="auto" w:fill="auto"/>
          </w:tcPr>
          <w:p w14:paraId="34D05E5C" w14:textId="77777777" w:rsidR="00C23E6E" w:rsidRPr="00DA6DB3" w:rsidRDefault="00C23E6E" w:rsidP="00C23E6E">
            <w:pPr>
              <w:spacing w:before="40" w:after="40"/>
              <w:jc w:val="center"/>
              <w:rPr>
                <w:rFonts w:eastAsia="MS Mincho" w:cs="Times New Roman"/>
                <w:bCs/>
                <w:sz w:val="18"/>
              </w:rPr>
            </w:pPr>
            <w:r>
              <w:rPr>
                <w:rFonts w:eastAsia="MS Mincho" w:cs="Times New Roman"/>
                <w:bCs/>
                <w:sz w:val="18"/>
              </w:rPr>
              <w:t>5,</w:t>
            </w:r>
            <w:r>
              <w:rPr>
                <w:rFonts w:eastAsia="MS Mincho" w:cs="Times New Roman"/>
                <w:bCs/>
                <w:sz w:val="18"/>
                <w:lang w:val="en-US"/>
              </w:rPr>
              <w:t>7</w:t>
            </w:r>
          </w:p>
        </w:tc>
        <w:tc>
          <w:tcPr>
            <w:tcW w:w="685" w:type="pct"/>
            <w:shd w:val="clear" w:color="auto" w:fill="auto"/>
          </w:tcPr>
          <w:p w14:paraId="38C0C704" w14:textId="77777777" w:rsidR="00C23E6E" w:rsidRPr="00DA6DB3" w:rsidRDefault="00C23E6E" w:rsidP="00C23E6E">
            <w:pPr>
              <w:spacing w:before="40" w:after="40"/>
              <w:jc w:val="center"/>
              <w:rPr>
                <w:rFonts w:eastAsia="MS Mincho" w:cs="Times New Roman"/>
                <w:bCs/>
                <w:sz w:val="18"/>
              </w:rPr>
            </w:pPr>
            <w:r>
              <w:rPr>
                <w:rFonts w:eastAsia="MS Mincho" w:cs="Times New Roman"/>
                <w:bCs/>
                <w:sz w:val="18"/>
              </w:rPr>
              <w:t>0,7</w:t>
            </w:r>
          </w:p>
        </w:tc>
      </w:tr>
      <w:tr w:rsidR="00C23E6E" w:rsidRPr="00DA6DB3" w14:paraId="0381F1A1" w14:textId="77777777" w:rsidTr="00C23E6E">
        <w:trPr>
          <w:cnfStyle w:val="000000100000" w:firstRow="0" w:lastRow="0" w:firstColumn="0" w:lastColumn="0" w:oddVBand="0" w:evenVBand="0" w:oddHBand="1" w:evenHBand="0" w:firstRowFirstColumn="0" w:firstRowLastColumn="0" w:lastRowFirstColumn="0" w:lastRowLastColumn="0"/>
          <w:trHeight w:val="20"/>
          <w:jc w:val="center"/>
        </w:trPr>
        <w:tc>
          <w:tcPr>
            <w:tcW w:w="255" w:type="pct"/>
            <w:shd w:val="clear" w:color="auto" w:fill="auto"/>
          </w:tcPr>
          <w:p w14:paraId="4585A0C2" w14:textId="77777777" w:rsidR="00C23E6E" w:rsidRPr="00DA6DB3" w:rsidRDefault="00C23E6E" w:rsidP="00C23E6E">
            <w:pPr>
              <w:spacing w:before="40" w:after="40"/>
              <w:jc w:val="left"/>
              <w:rPr>
                <w:rFonts w:eastAsia="MS Mincho" w:cs="Times New Roman"/>
                <w:bCs/>
                <w:sz w:val="18"/>
              </w:rPr>
            </w:pPr>
            <w:r w:rsidRPr="00DA6DB3">
              <w:rPr>
                <w:rFonts w:eastAsia="MS Mincho" w:cs="Times New Roman"/>
                <w:bCs/>
                <w:sz w:val="18"/>
              </w:rPr>
              <w:t>3</w:t>
            </w:r>
          </w:p>
        </w:tc>
        <w:tc>
          <w:tcPr>
            <w:tcW w:w="1924" w:type="pct"/>
            <w:shd w:val="clear" w:color="auto" w:fill="auto"/>
          </w:tcPr>
          <w:p w14:paraId="32751BD4" w14:textId="77777777" w:rsidR="00C23E6E" w:rsidRPr="00DA6DB3" w:rsidRDefault="00C23E6E" w:rsidP="00C23E6E">
            <w:pPr>
              <w:spacing w:before="40" w:after="40"/>
              <w:rPr>
                <w:rFonts w:eastAsia="MS Mincho" w:cs="Times New Roman"/>
                <w:bCs/>
                <w:sz w:val="18"/>
              </w:rPr>
            </w:pPr>
            <w:r w:rsidRPr="00DA6DB3">
              <w:rPr>
                <w:rFonts w:eastAsia="MS Mincho" w:cs="Times New Roman"/>
                <w:bCs/>
                <w:sz w:val="18"/>
              </w:rPr>
              <w:t>Натрупано салдо по контролната сметка (положителна цифра означава, че планът на нетните разходи ще бъде превишен)</w:t>
            </w:r>
          </w:p>
        </w:tc>
        <w:tc>
          <w:tcPr>
            <w:tcW w:w="724" w:type="pct"/>
            <w:shd w:val="clear" w:color="auto" w:fill="auto"/>
          </w:tcPr>
          <w:p w14:paraId="51B95654" w14:textId="77777777" w:rsidR="00C23E6E" w:rsidRPr="00DA6DB3" w:rsidRDefault="00C23E6E" w:rsidP="00C23E6E">
            <w:pPr>
              <w:spacing w:before="40" w:after="40"/>
              <w:jc w:val="center"/>
              <w:rPr>
                <w:rFonts w:eastAsia="MS Mincho" w:cs="Times New Roman"/>
                <w:bCs/>
                <w:color w:val="FF0000"/>
                <w:sz w:val="18"/>
              </w:rPr>
            </w:pPr>
            <w:r w:rsidRPr="00DA6DB3">
              <w:rPr>
                <w:rFonts w:eastAsia="MS Mincho" w:cs="Times New Roman"/>
                <w:bCs/>
                <w:sz w:val="18"/>
              </w:rPr>
              <w:t>0,8</w:t>
            </w:r>
          </w:p>
        </w:tc>
        <w:tc>
          <w:tcPr>
            <w:tcW w:w="724" w:type="pct"/>
            <w:shd w:val="clear" w:color="auto" w:fill="auto"/>
          </w:tcPr>
          <w:p w14:paraId="4E31A4D7" w14:textId="77777777" w:rsidR="00C23E6E" w:rsidRPr="00B96432" w:rsidRDefault="00C23E6E" w:rsidP="003E44E9">
            <w:pPr>
              <w:spacing w:before="40" w:after="40"/>
              <w:jc w:val="center"/>
              <w:rPr>
                <w:rFonts w:eastAsia="MS Mincho" w:cs="Times New Roman"/>
                <w:bCs/>
                <w:color w:val="FF0000"/>
                <w:sz w:val="18"/>
              </w:rPr>
            </w:pPr>
            <w:r w:rsidRPr="00B96432">
              <w:rPr>
                <w:rFonts w:eastAsia="MS Mincho" w:cs="Times New Roman"/>
                <w:bCs/>
                <w:sz w:val="18"/>
              </w:rPr>
              <w:t>1</w:t>
            </w:r>
            <w:r w:rsidRPr="00B96432">
              <w:rPr>
                <w:rFonts w:eastAsia="MS Mincho" w:cs="Times New Roman"/>
                <w:bCs/>
                <w:sz w:val="18"/>
                <w:lang w:val="en-US"/>
              </w:rPr>
              <w:t>,</w:t>
            </w:r>
            <w:r w:rsidR="003E44E9" w:rsidRPr="00B96432">
              <w:rPr>
                <w:rFonts w:eastAsia="MS Mincho" w:cs="Times New Roman"/>
                <w:bCs/>
                <w:sz w:val="18"/>
              </w:rPr>
              <w:t>2</w:t>
            </w:r>
          </w:p>
        </w:tc>
        <w:tc>
          <w:tcPr>
            <w:tcW w:w="688" w:type="pct"/>
            <w:shd w:val="clear" w:color="auto" w:fill="auto"/>
          </w:tcPr>
          <w:p w14:paraId="618D9B27"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1,</w:t>
            </w:r>
            <w:r>
              <w:rPr>
                <w:rFonts w:eastAsia="MS Mincho" w:cs="Times New Roman"/>
                <w:bCs/>
                <w:sz w:val="18"/>
              </w:rPr>
              <w:t>6</w:t>
            </w:r>
          </w:p>
        </w:tc>
        <w:tc>
          <w:tcPr>
            <w:tcW w:w="685" w:type="pct"/>
            <w:shd w:val="clear" w:color="auto" w:fill="auto"/>
          </w:tcPr>
          <w:p w14:paraId="10861936"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0,</w:t>
            </w:r>
            <w:r>
              <w:rPr>
                <w:rFonts w:eastAsia="MS Mincho" w:cs="Times New Roman"/>
                <w:bCs/>
                <w:sz w:val="18"/>
              </w:rPr>
              <w:t>2</w:t>
            </w:r>
          </w:p>
        </w:tc>
      </w:tr>
      <w:tr w:rsidR="00C23E6E" w:rsidRPr="00DA6DB3" w14:paraId="3EABA7C9" w14:textId="77777777" w:rsidTr="00C23E6E">
        <w:trPr>
          <w:trHeight w:val="20"/>
          <w:jc w:val="center"/>
        </w:trPr>
        <w:tc>
          <w:tcPr>
            <w:tcW w:w="255" w:type="pct"/>
            <w:tcBorders>
              <w:bottom w:val="single" w:sz="4" w:space="0" w:color="auto"/>
            </w:tcBorders>
            <w:shd w:val="clear" w:color="auto" w:fill="auto"/>
          </w:tcPr>
          <w:p w14:paraId="2B1F6C21" w14:textId="77777777" w:rsidR="00C23E6E" w:rsidRPr="00DA6DB3" w:rsidRDefault="00C23E6E" w:rsidP="00C23E6E">
            <w:pPr>
              <w:spacing w:before="40" w:after="40"/>
              <w:jc w:val="left"/>
              <w:rPr>
                <w:rFonts w:eastAsia="MS Mincho" w:cs="Times New Roman"/>
                <w:bCs/>
                <w:sz w:val="18"/>
              </w:rPr>
            </w:pPr>
            <w:r w:rsidRPr="00DA6DB3">
              <w:rPr>
                <w:rFonts w:eastAsia="MS Mincho" w:cs="Times New Roman"/>
                <w:bCs/>
                <w:sz w:val="18"/>
              </w:rPr>
              <w:t>4</w:t>
            </w:r>
          </w:p>
        </w:tc>
        <w:tc>
          <w:tcPr>
            <w:tcW w:w="1924" w:type="pct"/>
            <w:tcBorders>
              <w:bottom w:val="single" w:sz="4" w:space="0" w:color="auto"/>
            </w:tcBorders>
            <w:shd w:val="clear" w:color="auto" w:fill="auto"/>
          </w:tcPr>
          <w:p w14:paraId="6F840221" w14:textId="77777777" w:rsidR="00C23E6E" w:rsidRPr="00DA6DB3" w:rsidRDefault="00C23E6E" w:rsidP="00C23E6E">
            <w:pPr>
              <w:spacing w:before="40" w:after="40"/>
              <w:rPr>
                <w:rFonts w:eastAsia="MS Mincho" w:cs="Times New Roman"/>
                <w:bCs/>
                <w:sz w:val="18"/>
              </w:rPr>
            </w:pPr>
            <w:r w:rsidRPr="00DA6DB3">
              <w:rPr>
                <w:rFonts w:eastAsia="MS Mincho" w:cs="Times New Roman"/>
                <w:bCs/>
                <w:sz w:val="18"/>
              </w:rPr>
              <w:t>Натрупано салдо по контролната сметка след отчитане на увеличението на разходите за отбрана в съответствие с националната клауза за дерогация (положителна цифра означава, че планът на нетните разходи ще бъде превишен)</w:t>
            </w:r>
          </w:p>
        </w:tc>
        <w:tc>
          <w:tcPr>
            <w:tcW w:w="724" w:type="pct"/>
            <w:tcBorders>
              <w:bottom w:val="single" w:sz="4" w:space="0" w:color="auto"/>
            </w:tcBorders>
            <w:shd w:val="clear" w:color="auto" w:fill="auto"/>
          </w:tcPr>
          <w:p w14:paraId="3652AB84" w14:textId="77777777" w:rsidR="00C23E6E" w:rsidRPr="00DA6DB3" w:rsidRDefault="00C23E6E" w:rsidP="00C23E6E">
            <w:pPr>
              <w:spacing w:before="40" w:after="40"/>
              <w:jc w:val="center"/>
              <w:rPr>
                <w:rFonts w:eastAsia="MS Mincho" w:cs="Times New Roman"/>
                <w:bCs/>
                <w:color w:val="FF0000"/>
                <w:sz w:val="18"/>
              </w:rPr>
            </w:pPr>
            <w:r w:rsidRPr="00DA6DB3">
              <w:rPr>
                <w:rFonts w:eastAsia="MS Mincho" w:cs="Times New Roman"/>
                <w:bCs/>
                <w:sz w:val="18"/>
              </w:rPr>
              <w:t>-0,3</w:t>
            </w:r>
          </w:p>
        </w:tc>
        <w:tc>
          <w:tcPr>
            <w:tcW w:w="724" w:type="pct"/>
            <w:tcBorders>
              <w:bottom w:val="single" w:sz="4" w:space="0" w:color="auto"/>
            </w:tcBorders>
            <w:shd w:val="clear" w:color="auto" w:fill="auto"/>
          </w:tcPr>
          <w:p w14:paraId="1C8AC6CA" w14:textId="77777777" w:rsidR="00C23E6E" w:rsidRPr="00DA6DB3" w:rsidRDefault="00C23E6E" w:rsidP="00C23E6E">
            <w:pPr>
              <w:spacing w:before="40" w:after="40"/>
              <w:jc w:val="center"/>
              <w:rPr>
                <w:rFonts w:eastAsia="MS Mincho" w:cs="Times New Roman"/>
                <w:bCs/>
                <w:color w:val="FF0000"/>
                <w:sz w:val="18"/>
              </w:rPr>
            </w:pPr>
            <w:r w:rsidRPr="00DA6DB3">
              <w:rPr>
                <w:rFonts w:eastAsia="MS Mincho" w:cs="Times New Roman"/>
                <w:bCs/>
                <w:sz w:val="18"/>
              </w:rPr>
              <w:t>0,</w:t>
            </w:r>
            <w:r>
              <w:rPr>
                <w:rFonts w:eastAsia="MS Mincho" w:cs="Times New Roman"/>
                <w:bCs/>
                <w:sz w:val="18"/>
              </w:rPr>
              <w:t>8</w:t>
            </w:r>
          </w:p>
        </w:tc>
        <w:tc>
          <w:tcPr>
            <w:tcW w:w="688" w:type="pct"/>
            <w:tcBorders>
              <w:bottom w:val="single" w:sz="4" w:space="0" w:color="auto"/>
            </w:tcBorders>
            <w:shd w:val="clear" w:color="auto" w:fill="auto"/>
          </w:tcPr>
          <w:p w14:paraId="12F8F313"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0,</w:t>
            </w:r>
            <w:r>
              <w:rPr>
                <w:rFonts w:eastAsia="MS Mincho" w:cs="Times New Roman"/>
                <w:bCs/>
                <w:sz w:val="18"/>
              </w:rPr>
              <w:t>1</w:t>
            </w:r>
          </w:p>
        </w:tc>
        <w:tc>
          <w:tcPr>
            <w:tcW w:w="685" w:type="pct"/>
            <w:tcBorders>
              <w:bottom w:val="single" w:sz="4" w:space="0" w:color="auto"/>
            </w:tcBorders>
            <w:shd w:val="clear" w:color="auto" w:fill="auto"/>
          </w:tcPr>
          <w:p w14:paraId="7391E283" w14:textId="77777777" w:rsidR="00C23E6E" w:rsidRPr="00DA6DB3" w:rsidRDefault="00C23E6E" w:rsidP="00C23E6E">
            <w:pPr>
              <w:spacing w:before="40" w:after="40"/>
              <w:jc w:val="center"/>
              <w:rPr>
                <w:rFonts w:eastAsia="MS Mincho" w:cs="Times New Roman"/>
                <w:bCs/>
                <w:sz w:val="18"/>
              </w:rPr>
            </w:pPr>
            <w:r w:rsidRPr="00DA6DB3">
              <w:rPr>
                <w:rFonts w:eastAsia="MS Mincho" w:cs="Times New Roman"/>
                <w:bCs/>
                <w:sz w:val="18"/>
              </w:rPr>
              <w:t>-</w:t>
            </w:r>
            <w:r>
              <w:rPr>
                <w:rFonts w:eastAsia="MS Mincho" w:cs="Times New Roman"/>
                <w:bCs/>
                <w:sz w:val="18"/>
              </w:rPr>
              <w:t>0</w:t>
            </w:r>
            <w:r w:rsidRPr="00DA6DB3">
              <w:rPr>
                <w:rFonts w:eastAsia="MS Mincho" w:cs="Times New Roman"/>
                <w:bCs/>
                <w:sz w:val="18"/>
              </w:rPr>
              <w:t>,</w:t>
            </w:r>
            <w:r>
              <w:rPr>
                <w:rFonts w:eastAsia="MS Mincho" w:cs="Times New Roman"/>
                <w:bCs/>
                <w:sz w:val="18"/>
              </w:rPr>
              <w:t>9</w:t>
            </w:r>
          </w:p>
        </w:tc>
      </w:tr>
    </w:tbl>
    <w:p w14:paraId="5A50AEF2" w14:textId="77777777" w:rsidR="00C23E6E" w:rsidRPr="00C23E6E" w:rsidRDefault="00C23E6E" w:rsidP="00697B52"/>
    <w:p w14:paraId="64546D74" w14:textId="77777777" w:rsidR="00DB30BD" w:rsidRPr="00DB30BD" w:rsidRDefault="007B1595" w:rsidP="005F37D7">
      <w:pPr>
        <w:spacing w:before="120"/>
      </w:pPr>
      <w:r>
        <w:t>Д</w:t>
      </w:r>
      <w:r w:rsidR="00DB30BD" w:rsidRPr="00DB30BD">
        <w:t>ефицит</w:t>
      </w:r>
      <w:r>
        <w:t>ът</w:t>
      </w:r>
      <w:r w:rsidR="00DB30BD" w:rsidRPr="00DB30BD">
        <w:t xml:space="preserve"> </w:t>
      </w:r>
      <w:r>
        <w:t>на сектор „Държавно управление“</w:t>
      </w:r>
      <w:r w:rsidR="00C6226D">
        <w:t xml:space="preserve"> </w:t>
      </w:r>
      <w:r w:rsidR="00DB30BD" w:rsidRPr="00DB30BD">
        <w:t>отчита на начислена основа</w:t>
      </w:r>
      <w:r>
        <w:t xml:space="preserve"> и</w:t>
      </w:r>
      <w:r w:rsidR="00DB30BD" w:rsidRPr="00DB30BD">
        <w:t xml:space="preserve"> времевото изместване при отчитането на разходите за доставки на военна техника, които са платени през предходни години на касова основа</w:t>
      </w:r>
      <w:r>
        <w:t>, като най-съществено е влиянието през 2027 г.</w:t>
      </w:r>
      <w:r w:rsidR="00EC1D21">
        <w:t xml:space="preserve"> </w:t>
      </w:r>
      <w:r w:rsidR="00DB30BD" w:rsidRPr="00DB30BD">
        <w:t xml:space="preserve">Съгласно методологията ЕСС 2010, държавните разходи за военно оборудване се отчитат през годината на доставката им. </w:t>
      </w:r>
    </w:p>
    <w:p w14:paraId="15F7D86E" w14:textId="77777777" w:rsidR="00DB30BD" w:rsidRPr="00DB30BD" w:rsidRDefault="00DB30BD" w:rsidP="00DB30BD">
      <w:r w:rsidRPr="00DB30BD">
        <w:t xml:space="preserve">В областта на отбраната са предвидени значителни инвестиции за поддържане и развитие на националните отбранителни способности и способностите, свързани с колективната отбрана. Също така, с оглед на повишаването на разполагаемите доходи и професионалното развитие в областта на сигурността и отбраната, осигуряване на средства за запазване на сигурността на границите и за гарантиране безопасността на гражданите е разчетено увеличение на разходите за персонал и други текущи разходи в сектор „Отбрана и сигурност“. </w:t>
      </w:r>
    </w:p>
    <w:p w14:paraId="6036ACE8" w14:textId="77777777" w:rsidR="00DB30BD" w:rsidRPr="00DB30BD" w:rsidRDefault="00DB30BD" w:rsidP="00DB30BD">
      <w:r w:rsidRPr="00DA6DB3">
        <w:t>Разходите за отбрана са оценени на начислена основа по дефинициите на Европейската система от сметки ЕСС 2010 (КОФОГ</w:t>
      </w:r>
      <w:r w:rsidR="00112A7B" w:rsidRPr="00DA6DB3">
        <w:rPr>
          <w:vertAlign w:val="superscript"/>
        </w:rPr>
        <w:footnoteReference w:id="17"/>
      </w:r>
      <w:r w:rsidRPr="00DA6DB3">
        <w:t xml:space="preserve"> 02 - Отбрана) и се получават като към касовите текущи и капиталови разходи по функция „Отбрана“ се включват корекции за времево изместване на база очакванията за доставките на капиталовите активи. Разходи</w:t>
      </w:r>
      <w:r w:rsidR="00C6226D">
        <w:t>те</w:t>
      </w:r>
      <w:r w:rsidRPr="00DA6DB3">
        <w:t xml:space="preserve"> за </w:t>
      </w:r>
      <w:r w:rsidRPr="00DA6DB3">
        <w:lastRenderedPageBreak/>
        <w:t>отбрана по КОФОГ достигат дял от БВП в размер на 1,3% през 2024 г.</w:t>
      </w:r>
      <w:r w:rsidR="00E64FAF">
        <w:t>,</w:t>
      </w:r>
      <w:r w:rsidRPr="00DA6DB3">
        <w:t xml:space="preserve"> 2,5% през 2025 г.</w:t>
      </w:r>
      <w:r w:rsidR="00112A7B" w:rsidRPr="00DA6DB3">
        <w:t>,</w:t>
      </w:r>
      <w:r w:rsidRPr="00DA6DB3">
        <w:t>1,</w:t>
      </w:r>
      <w:r w:rsidR="00254D13">
        <w:t>7</w:t>
      </w:r>
      <w:r w:rsidRPr="00DA6DB3">
        <w:t>%</w:t>
      </w:r>
      <w:r w:rsidR="00112A7B" w:rsidRPr="00DA6DB3">
        <w:t xml:space="preserve"> през 2026 г., 3,6% и 2,5% съответно през 2027 г. и 2028 г.</w:t>
      </w:r>
    </w:p>
    <w:p w14:paraId="2C941BEC" w14:textId="77777777" w:rsidR="00DA6DB3" w:rsidRDefault="00D76AC5" w:rsidP="005963D0">
      <w:pPr>
        <w:pStyle w:val="Caption"/>
        <w:keepNext/>
        <w:spacing w:before="240"/>
      </w:pPr>
      <w:bookmarkStart w:id="219" w:name="_Toc213229058"/>
      <w:r w:rsidRPr="00DA6DB3">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DA6DB3">
        <w:noBreakHyphen/>
      </w:r>
      <w:r w:rsidR="00974F02">
        <w:fldChar w:fldCharType="begin"/>
      </w:r>
      <w:r w:rsidR="00974F02">
        <w:instrText xml:space="preserve"> SEQ Табл. \* ARABIC \s 1 </w:instrText>
      </w:r>
      <w:r w:rsidR="00974F02">
        <w:fldChar w:fldCharType="separate"/>
      </w:r>
      <w:r w:rsidR="00841DFA">
        <w:rPr>
          <w:noProof/>
        </w:rPr>
        <w:t>6</w:t>
      </w:r>
      <w:r w:rsidR="00974F02">
        <w:rPr>
          <w:noProof/>
        </w:rPr>
        <w:fldChar w:fldCharType="end"/>
      </w:r>
      <w:r w:rsidRPr="00DA6DB3">
        <w:t>:</w:t>
      </w:r>
      <w:r w:rsidRPr="00DA6DB3">
        <w:tab/>
        <w:t>Разходи за отбрана по КОФОГ</w:t>
      </w:r>
      <w:bookmarkEnd w:id="219"/>
      <w:r w:rsidRPr="00D76AC5">
        <w:t xml:space="preserve"> </w:t>
      </w:r>
    </w:p>
    <w:p w14:paraId="48FFE5D4" w14:textId="77777777" w:rsidR="00254D13" w:rsidRDefault="00D76AC5" w:rsidP="00254D13">
      <w:pPr>
        <w:spacing w:after="0"/>
        <w:jc w:val="right"/>
        <w:rPr>
          <w:sz w:val="20"/>
          <w:szCs w:val="20"/>
        </w:rPr>
      </w:pPr>
      <w:r w:rsidRPr="00DA6DB3">
        <w:rPr>
          <w:sz w:val="20"/>
          <w:szCs w:val="20"/>
        </w:rPr>
        <w:t>(</w:t>
      </w:r>
      <w:r w:rsidR="0089581E" w:rsidRPr="00DA6DB3">
        <w:rPr>
          <w:sz w:val="20"/>
          <w:szCs w:val="20"/>
        </w:rPr>
        <w:t>в</w:t>
      </w:r>
      <w:r w:rsidRPr="00DA6DB3">
        <w:rPr>
          <w:sz w:val="20"/>
          <w:szCs w:val="20"/>
        </w:rPr>
        <w:t xml:space="preserve"> млн. евро)</w:t>
      </w:r>
    </w:p>
    <w:tbl>
      <w:tblPr>
        <w:tblStyle w:val="TableGrid0"/>
        <w:tblW w:w="5000" w:type="pct"/>
        <w:tblInd w:w="0" w:type="dxa"/>
        <w:shd w:val="clear" w:color="auto" w:fill="FFFFFF" w:themeFill="background1"/>
        <w:tblCellMar>
          <w:top w:w="46" w:type="dxa"/>
          <w:left w:w="70" w:type="dxa"/>
          <w:right w:w="20" w:type="dxa"/>
        </w:tblCellMar>
        <w:tblLook w:val="04A0" w:firstRow="1" w:lastRow="0" w:firstColumn="1" w:lastColumn="0" w:noHBand="0" w:noVBand="1"/>
      </w:tblPr>
      <w:tblGrid>
        <w:gridCol w:w="5074"/>
        <w:gridCol w:w="800"/>
        <w:gridCol w:w="800"/>
        <w:gridCol w:w="800"/>
        <w:gridCol w:w="800"/>
        <w:gridCol w:w="796"/>
      </w:tblGrid>
      <w:tr w:rsidR="00254D13" w:rsidRPr="00D76AC5" w14:paraId="6842B8D9" w14:textId="77777777" w:rsidTr="001A551D">
        <w:trPr>
          <w:trHeight w:val="363"/>
          <w:tblHeader/>
        </w:trPr>
        <w:tc>
          <w:tcPr>
            <w:tcW w:w="2797" w:type="pct"/>
            <w:tcBorders>
              <w:top w:val="single" w:sz="4" w:space="0" w:color="auto"/>
              <w:bottom w:val="single" w:sz="4" w:space="0" w:color="auto"/>
            </w:tcBorders>
            <w:shd w:val="clear" w:color="auto" w:fill="FFFFFF" w:themeFill="background1"/>
          </w:tcPr>
          <w:p w14:paraId="1C20DF98" w14:textId="77777777" w:rsidR="00254D13" w:rsidRPr="00D76AC5" w:rsidRDefault="00254D13" w:rsidP="001A551D">
            <w:pPr>
              <w:pStyle w:val="a0"/>
              <w:rPr>
                <w:rFonts w:asciiTheme="minorHAnsi" w:hAnsiTheme="minorHAnsi" w:cstheme="minorHAnsi"/>
                <w:color w:val="000000" w:themeColor="text1"/>
                <w:sz w:val="20"/>
                <w:szCs w:val="20"/>
              </w:rPr>
            </w:pPr>
          </w:p>
        </w:tc>
        <w:tc>
          <w:tcPr>
            <w:tcW w:w="441" w:type="pct"/>
            <w:tcBorders>
              <w:top w:val="single" w:sz="4" w:space="0" w:color="auto"/>
              <w:bottom w:val="single" w:sz="4" w:space="0" w:color="auto"/>
            </w:tcBorders>
            <w:shd w:val="clear" w:color="auto" w:fill="FFFFFF" w:themeFill="background1"/>
            <w:vAlign w:val="center"/>
          </w:tcPr>
          <w:p w14:paraId="342E7B13"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2024</w:t>
            </w:r>
          </w:p>
        </w:tc>
        <w:tc>
          <w:tcPr>
            <w:tcW w:w="441" w:type="pct"/>
            <w:tcBorders>
              <w:top w:val="single" w:sz="4" w:space="0" w:color="auto"/>
              <w:bottom w:val="single" w:sz="4" w:space="0" w:color="auto"/>
            </w:tcBorders>
            <w:shd w:val="clear" w:color="auto" w:fill="FFFFFF" w:themeFill="background1"/>
            <w:vAlign w:val="center"/>
          </w:tcPr>
          <w:p w14:paraId="76344BDC"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2025</w:t>
            </w:r>
          </w:p>
        </w:tc>
        <w:tc>
          <w:tcPr>
            <w:tcW w:w="441" w:type="pct"/>
            <w:tcBorders>
              <w:top w:val="single" w:sz="4" w:space="0" w:color="auto"/>
              <w:bottom w:val="single" w:sz="4" w:space="0" w:color="auto"/>
            </w:tcBorders>
            <w:shd w:val="clear" w:color="auto" w:fill="FFFFFF" w:themeFill="background1"/>
            <w:vAlign w:val="center"/>
          </w:tcPr>
          <w:p w14:paraId="4F4F2D75"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2026</w:t>
            </w:r>
          </w:p>
        </w:tc>
        <w:tc>
          <w:tcPr>
            <w:tcW w:w="441" w:type="pct"/>
            <w:tcBorders>
              <w:top w:val="single" w:sz="4" w:space="0" w:color="auto"/>
              <w:bottom w:val="single" w:sz="4" w:space="0" w:color="auto"/>
            </w:tcBorders>
            <w:shd w:val="clear" w:color="auto" w:fill="FFFFFF" w:themeFill="background1"/>
            <w:vAlign w:val="center"/>
          </w:tcPr>
          <w:p w14:paraId="2B8FC922"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2027</w:t>
            </w:r>
          </w:p>
        </w:tc>
        <w:tc>
          <w:tcPr>
            <w:tcW w:w="439" w:type="pct"/>
            <w:tcBorders>
              <w:top w:val="single" w:sz="4" w:space="0" w:color="auto"/>
              <w:bottom w:val="single" w:sz="4" w:space="0" w:color="auto"/>
            </w:tcBorders>
            <w:shd w:val="clear" w:color="auto" w:fill="FFFFFF" w:themeFill="background1"/>
            <w:vAlign w:val="center"/>
          </w:tcPr>
          <w:p w14:paraId="4623D8D8"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b/>
                <w:color w:val="000000" w:themeColor="text1"/>
                <w:sz w:val="20"/>
                <w:szCs w:val="20"/>
              </w:rPr>
              <w:t>2028</w:t>
            </w:r>
          </w:p>
        </w:tc>
      </w:tr>
      <w:tr w:rsidR="00254D13" w:rsidRPr="00D76AC5" w14:paraId="25927003" w14:textId="77777777" w:rsidTr="001A551D">
        <w:trPr>
          <w:trHeight w:val="365"/>
        </w:trPr>
        <w:tc>
          <w:tcPr>
            <w:tcW w:w="2797" w:type="pct"/>
            <w:tcBorders>
              <w:top w:val="single" w:sz="4" w:space="0" w:color="auto"/>
            </w:tcBorders>
            <w:shd w:val="clear" w:color="auto" w:fill="E3E4E6" w:themeFill="accent6" w:themeFillTint="33"/>
          </w:tcPr>
          <w:p w14:paraId="62BA49A0" w14:textId="77777777" w:rsidR="00254D13" w:rsidRPr="00D76AC5" w:rsidRDefault="00254D13" w:rsidP="001A551D">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 xml:space="preserve">Разходи за отбрана на касова основа по КФП </w:t>
            </w:r>
          </w:p>
        </w:tc>
        <w:tc>
          <w:tcPr>
            <w:tcW w:w="441" w:type="pct"/>
            <w:tcBorders>
              <w:top w:val="single" w:sz="4" w:space="0" w:color="auto"/>
            </w:tcBorders>
            <w:shd w:val="clear" w:color="auto" w:fill="E3E4E6" w:themeFill="accent6" w:themeFillTint="33"/>
            <w:vAlign w:val="center"/>
          </w:tcPr>
          <w:p w14:paraId="1FA77570" w14:textId="77777777" w:rsidR="00254D13" w:rsidRPr="00FF29EA" w:rsidRDefault="00254D13" w:rsidP="001A551D">
            <w:pPr>
              <w:jc w:val="right"/>
              <w:rPr>
                <w:bCs/>
                <w:color w:val="000000"/>
                <w:sz w:val="20"/>
              </w:rPr>
            </w:pPr>
            <w:r w:rsidRPr="00FF29EA">
              <w:rPr>
                <w:bCs/>
                <w:color w:val="000000"/>
                <w:sz w:val="20"/>
              </w:rPr>
              <w:t>1 662,6</w:t>
            </w:r>
          </w:p>
        </w:tc>
        <w:tc>
          <w:tcPr>
            <w:tcW w:w="441" w:type="pct"/>
            <w:tcBorders>
              <w:top w:val="single" w:sz="4" w:space="0" w:color="auto"/>
            </w:tcBorders>
            <w:shd w:val="clear" w:color="auto" w:fill="E3E4E6" w:themeFill="accent6" w:themeFillTint="33"/>
            <w:vAlign w:val="center"/>
          </w:tcPr>
          <w:p w14:paraId="76511C41" w14:textId="77777777" w:rsidR="00254D13" w:rsidRPr="00FF29EA" w:rsidRDefault="00254D13" w:rsidP="001A551D">
            <w:pPr>
              <w:jc w:val="right"/>
              <w:rPr>
                <w:bCs/>
                <w:color w:val="000000"/>
                <w:sz w:val="20"/>
              </w:rPr>
            </w:pPr>
            <w:r w:rsidRPr="00FF29EA">
              <w:rPr>
                <w:bCs/>
                <w:color w:val="000000"/>
                <w:sz w:val="20"/>
              </w:rPr>
              <w:t>2 297,5</w:t>
            </w:r>
          </w:p>
        </w:tc>
        <w:tc>
          <w:tcPr>
            <w:tcW w:w="441" w:type="pct"/>
            <w:tcBorders>
              <w:top w:val="single" w:sz="4" w:space="0" w:color="auto"/>
            </w:tcBorders>
            <w:shd w:val="clear" w:color="auto" w:fill="E3E4E6" w:themeFill="accent6" w:themeFillTint="33"/>
            <w:vAlign w:val="center"/>
          </w:tcPr>
          <w:p w14:paraId="20B5F043" w14:textId="77777777" w:rsidR="00254D13" w:rsidRPr="00FF29EA" w:rsidRDefault="00254D13" w:rsidP="001A551D">
            <w:pPr>
              <w:jc w:val="right"/>
              <w:rPr>
                <w:bCs/>
                <w:color w:val="000000"/>
                <w:sz w:val="20"/>
              </w:rPr>
            </w:pPr>
            <w:r w:rsidRPr="00FF29EA">
              <w:rPr>
                <w:bCs/>
                <w:color w:val="000000"/>
                <w:sz w:val="20"/>
              </w:rPr>
              <w:t xml:space="preserve">2 </w:t>
            </w:r>
            <w:r>
              <w:rPr>
                <w:bCs/>
                <w:color w:val="000000"/>
                <w:sz w:val="20"/>
              </w:rPr>
              <w:t>361</w:t>
            </w:r>
            <w:r w:rsidRPr="00FF29EA">
              <w:rPr>
                <w:bCs/>
                <w:color w:val="000000"/>
                <w:sz w:val="20"/>
              </w:rPr>
              <w:t>,</w:t>
            </w:r>
            <w:r>
              <w:rPr>
                <w:bCs/>
                <w:color w:val="000000"/>
                <w:sz w:val="20"/>
              </w:rPr>
              <w:t>6</w:t>
            </w:r>
          </w:p>
        </w:tc>
        <w:tc>
          <w:tcPr>
            <w:tcW w:w="441" w:type="pct"/>
            <w:tcBorders>
              <w:top w:val="single" w:sz="4" w:space="0" w:color="auto"/>
            </w:tcBorders>
            <w:shd w:val="clear" w:color="auto" w:fill="E3E4E6" w:themeFill="accent6" w:themeFillTint="33"/>
            <w:vAlign w:val="center"/>
          </w:tcPr>
          <w:p w14:paraId="7ECEFD8C" w14:textId="77777777" w:rsidR="00254D13" w:rsidRPr="00FF29EA" w:rsidRDefault="00254D13" w:rsidP="001A551D">
            <w:pPr>
              <w:jc w:val="right"/>
              <w:rPr>
                <w:bCs/>
                <w:color w:val="000000"/>
                <w:sz w:val="20"/>
              </w:rPr>
            </w:pPr>
            <w:r w:rsidRPr="00FF29EA">
              <w:rPr>
                <w:bCs/>
                <w:color w:val="000000"/>
                <w:sz w:val="20"/>
              </w:rPr>
              <w:t>2 7</w:t>
            </w:r>
            <w:r>
              <w:rPr>
                <w:bCs/>
                <w:color w:val="000000"/>
                <w:sz w:val="20"/>
              </w:rPr>
              <w:t>4</w:t>
            </w:r>
            <w:r w:rsidRPr="00FF29EA">
              <w:rPr>
                <w:bCs/>
                <w:color w:val="000000"/>
                <w:sz w:val="20"/>
              </w:rPr>
              <w:t>3,</w:t>
            </w:r>
            <w:r>
              <w:rPr>
                <w:bCs/>
                <w:color w:val="000000"/>
                <w:sz w:val="20"/>
              </w:rPr>
              <w:t>1</w:t>
            </w:r>
          </w:p>
        </w:tc>
        <w:tc>
          <w:tcPr>
            <w:tcW w:w="439" w:type="pct"/>
            <w:tcBorders>
              <w:top w:val="single" w:sz="4" w:space="0" w:color="auto"/>
            </w:tcBorders>
            <w:shd w:val="clear" w:color="auto" w:fill="E3E4E6" w:themeFill="accent6" w:themeFillTint="33"/>
            <w:vAlign w:val="center"/>
          </w:tcPr>
          <w:p w14:paraId="65E1E170" w14:textId="77777777" w:rsidR="00254D13" w:rsidRPr="00FF29EA" w:rsidRDefault="00254D13" w:rsidP="001A551D">
            <w:pPr>
              <w:jc w:val="right"/>
              <w:rPr>
                <w:bCs/>
                <w:color w:val="000000"/>
                <w:sz w:val="20"/>
              </w:rPr>
            </w:pPr>
            <w:r>
              <w:rPr>
                <w:bCs/>
                <w:color w:val="000000"/>
                <w:sz w:val="20"/>
              </w:rPr>
              <w:t>2</w:t>
            </w:r>
            <w:r w:rsidRPr="00FF29EA">
              <w:rPr>
                <w:bCs/>
                <w:color w:val="000000"/>
                <w:sz w:val="20"/>
              </w:rPr>
              <w:t xml:space="preserve"> </w:t>
            </w:r>
            <w:r>
              <w:rPr>
                <w:bCs/>
                <w:color w:val="000000"/>
                <w:sz w:val="20"/>
              </w:rPr>
              <w:t>98</w:t>
            </w:r>
            <w:r w:rsidRPr="00FF29EA">
              <w:rPr>
                <w:bCs/>
                <w:color w:val="000000"/>
                <w:sz w:val="20"/>
              </w:rPr>
              <w:t>4,</w:t>
            </w:r>
            <w:r>
              <w:rPr>
                <w:bCs/>
                <w:color w:val="000000"/>
                <w:sz w:val="20"/>
              </w:rPr>
              <w:t>7</w:t>
            </w:r>
          </w:p>
        </w:tc>
      </w:tr>
      <w:tr w:rsidR="00254D13" w:rsidRPr="00D76AC5" w14:paraId="05061F16" w14:textId="77777777" w:rsidTr="001A551D">
        <w:trPr>
          <w:trHeight w:val="362"/>
        </w:trPr>
        <w:tc>
          <w:tcPr>
            <w:tcW w:w="2797" w:type="pct"/>
            <w:shd w:val="clear" w:color="auto" w:fill="FFFFFF" w:themeFill="background1"/>
          </w:tcPr>
          <w:p w14:paraId="7DDFF342" w14:textId="77777777" w:rsidR="00254D13" w:rsidRPr="00D76AC5" w:rsidRDefault="00254D13" w:rsidP="001A551D">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 xml:space="preserve"> – от които инвестиционни разходи по функция „Отбрана“ </w:t>
            </w:r>
          </w:p>
        </w:tc>
        <w:tc>
          <w:tcPr>
            <w:tcW w:w="441" w:type="pct"/>
            <w:shd w:val="clear" w:color="auto" w:fill="FFFFFF" w:themeFill="background1"/>
            <w:vAlign w:val="center"/>
          </w:tcPr>
          <w:p w14:paraId="138438D2" w14:textId="77777777" w:rsidR="00254D13" w:rsidRPr="00FF29EA" w:rsidRDefault="00254D13" w:rsidP="001A551D">
            <w:pPr>
              <w:jc w:val="right"/>
              <w:rPr>
                <w:color w:val="000000"/>
                <w:sz w:val="20"/>
              </w:rPr>
            </w:pPr>
            <w:r w:rsidRPr="00FF29EA">
              <w:rPr>
                <w:color w:val="000000"/>
                <w:sz w:val="20"/>
              </w:rPr>
              <w:t>648,0</w:t>
            </w:r>
          </w:p>
        </w:tc>
        <w:tc>
          <w:tcPr>
            <w:tcW w:w="441" w:type="pct"/>
            <w:shd w:val="clear" w:color="auto" w:fill="FFFFFF" w:themeFill="background1"/>
            <w:vAlign w:val="center"/>
          </w:tcPr>
          <w:p w14:paraId="52847DEB" w14:textId="77777777" w:rsidR="00254D13" w:rsidRPr="00FF29EA" w:rsidRDefault="00254D13" w:rsidP="001A551D">
            <w:pPr>
              <w:jc w:val="right"/>
              <w:rPr>
                <w:color w:val="000000"/>
                <w:sz w:val="20"/>
              </w:rPr>
            </w:pPr>
            <w:r w:rsidRPr="00FF29EA">
              <w:rPr>
                <w:color w:val="000000"/>
                <w:sz w:val="20"/>
              </w:rPr>
              <w:t>898,0</w:t>
            </w:r>
          </w:p>
        </w:tc>
        <w:tc>
          <w:tcPr>
            <w:tcW w:w="441" w:type="pct"/>
            <w:shd w:val="clear" w:color="auto" w:fill="FFFFFF" w:themeFill="background1"/>
            <w:vAlign w:val="center"/>
          </w:tcPr>
          <w:p w14:paraId="3FDF91F6" w14:textId="77777777" w:rsidR="00254D13" w:rsidRPr="00FF29EA" w:rsidRDefault="00254D13" w:rsidP="001A551D">
            <w:pPr>
              <w:jc w:val="right"/>
              <w:rPr>
                <w:color w:val="000000"/>
                <w:sz w:val="20"/>
              </w:rPr>
            </w:pPr>
            <w:r>
              <w:rPr>
                <w:color w:val="000000"/>
                <w:sz w:val="20"/>
              </w:rPr>
              <w:t>744</w:t>
            </w:r>
            <w:r w:rsidRPr="00FF29EA">
              <w:rPr>
                <w:color w:val="000000"/>
                <w:sz w:val="20"/>
              </w:rPr>
              <w:t>,6</w:t>
            </w:r>
          </w:p>
        </w:tc>
        <w:tc>
          <w:tcPr>
            <w:tcW w:w="441" w:type="pct"/>
            <w:shd w:val="clear" w:color="auto" w:fill="FFFFFF" w:themeFill="background1"/>
            <w:vAlign w:val="center"/>
          </w:tcPr>
          <w:p w14:paraId="7EEF724A" w14:textId="77777777" w:rsidR="00254D13" w:rsidRPr="00FF29EA" w:rsidRDefault="00254D13" w:rsidP="001A551D">
            <w:pPr>
              <w:jc w:val="right"/>
              <w:rPr>
                <w:color w:val="000000"/>
                <w:sz w:val="20"/>
              </w:rPr>
            </w:pPr>
            <w:r w:rsidRPr="00FF29EA">
              <w:rPr>
                <w:color w:val="000000"/>
                <w:sz w:val="20"/>
              </w:rPr>
              <w:t>1 161,4</w:t>
            </w:r>
          </w:p>
        </w:tc>
        <w:tc>
          <w:tcPr>
            <w:tcW w:w="439" w:type="pct"/>
            <w:shd w:val="clear" w:color="auto" w:fill="FFFFFF" w:themeFill="background1"/>
            <w:vAlign w:val="center"/>
          </w:tcPr>
          <w:p w14:paraId="43007E9D" w14:textId="77777777" w:rsidR="00254D13" w:rsidRPr="00FF29EA" w:rsidRDefault="00254D13" w:rsidP="001A551D">
            <w:pPr>
              <w:jc w:val="right"/>
              <w:rPr>
                <w:color w:val="000000"/>
                <w:sz w:val="20"/>
              </w:rPr>
            </w:pPr>
            <w:r w:rsidRPr="00FF29EA">
              <w:rPr>
                <w:color w:val="000000"/>
                <w:sz w:val="20"/>
              </w:rPr>
              <w:t>1 432,8</w:t>
            </w:r>
          </w:p>
        </w:tc>
      </w:tr>
      <w:tr w:rsidR="00254D13" w:rsidRPr="00D76AC5" w14:paraId="6958A7D1" w14:textId="77777777" w:rsidTr="001A551D">
        <w:trPr>
          <w:trHeight w:val="362"/>
        </w:trPr>
        <w:tc>
          <w:tcPr>
            <w:tcW w:w="2797" w:type="pct"/>
            <w:shd w:val="clear" w:color="auto" w:fill="E3E4E6" w:themeFill="accent6" w:themeFillTint="33"/>
          </w:tcPr>
          <w:p w14:paraId="56E33E7F" w14:textId="77777777" w:rsidR="00254D13" w:rsidRPr="00D76AC5" w:rsidRDefault="00254D13" w:rsidP="001A551D">
            <w:pPr>
              <w:pStyle w:val="a0"/>
              <w:rPr>
                <w:rFonts w:asciiTheme="minorHAnsi" w:hAnsiTheme="minorHAnsi" w:cstheme="minorHAnsi"/>
                <w:color w:val="000000" w:themeColor="text1"/>
                <w:sz w:val="20"/>
                <w:szCs w:val="20"/>
              </w:rPr>
            </w:pPr>
            <w:proofErr w:type="spellStart"/>
            <w:r w:rsidRPr="00D76AC5">
              <w:rPr>
                <w:rFonts w:asciiTheme="minorHAnsi" w:hAnsiTheme="minorHAnsi" w:cstheme="minorHAnsi"/>
                <w:sz w:val="20"/>
                <w:szCs w:val="20"/>
              </w:rPr>
              <w:t>Доставка</w:t>
            </w:r>
            <w:proofErr w:type="spellEnd"/>
            <w:r w:rsidRPr="00D76AC5">
              <w:rPr>
                <w:rFonts w:asciiTheme="minorHAnsi" w:hAnsiTheme="minorHAnsi" w:cstheme="minorHAnsi"/>
                <w:sz w:val="20"/>
                <w:szCs w:val="20"/>
              </w:rPr>
              <w:t xml:space="preserve"> </w:t>
            </w:r>
            <w:proofErr w:type="spellStart"/>
            <w:r w:rsidRPr="00D76AC5">
              <w:rPr>
                <w:rFonts w:asciiTheme="minorHAnsi" w:hAnsiTheme="minorHAnsi" w:cstheme="minorHAnsi"/>
                <w:sz w:val="20"/>
                <w:szCs w:val="20"/>
              </w:rPr>
              <w:t>на</w:t>
            </w:r>
            <w:proofErr w:type="spellEnd"/>
            <w:r w:rsidRPr="00D76AC5">
              <w:rPr>
                <w:rFonts w:asciiTheme="minorHAnsi" w:hAnsiTheme="minorHAnsi" w:cstheme="minorHAnsi"/>
                <w:sz w:val="20"/>
                <w:szCs w:val="20"/>
              </w:rPr>
              <w:t xml:space="preserve"> </w:t>
            </w:r>
            <w:proofErr w:type="spellStart"/>
            <w:r w:rsidRPr="00D76AC5">
              <w:rPr>
                <w:rFonts w:asciiTheme="minorHAnsi" w:hAnsiTheme="minorHAnsi" w:cstheme="minorHAnsi"/>
                <w:sz w:val="20"/>
                <w:szCs w:val="20"/>
              </w:rPr>
              <w:t>военна</w:t>
            </w:r>
            <w:proofErr w:type="spellEnd"/>
            <w:r w:rsidRPr="00D76AC5">
              <w:rPr>
                <w:rFonts w:asciiTheme="minorHAnsi" w:hAnsiTheme="minorHAnsi" w:cstheme="minorHAnsi"/>
                <w:sz w:val="20"/>
                <w:szCs w:val="20"/>
              </w:rPr>
              <w:t xml:space="preserve"> </w:t>
            </w:r>
            <w:proofErr w:type="spellStart"/>
            <w:r w:rsidRPr="00D76AC5">
              <w:rPr>
                <w:rFonts w:asciiTheme="minorHAnsi" w:hAnsiTheme="minorHAnsi" w:cstheme="minorHAnsi"/>
                <w:sz w:val="20"/>
                <w:szCs w:val="20"/>
              </w:rPr>
              <w:t>техника</w:t>
            </w:r>
            <w:proofErr w:type="spellEnd"/>
            <w:r w:rsidRPr="00D76AC5">
              <w:rPr>
                <w:rFonts w:asciiTheme="minorHAnsi" w:hAnsiTheme="minorHAnsi" w:cstheme="minorHAnsi"/>
                <w:sz w:val="20"/>
                <w:szCs w:val="20"/>
              </w:rPr>
              <w:t xml:space="preserve"> </w:t>
            </w:r>
          </w:p>
        </w:tc>
        <w:tc>
          <w:tcPr>
            <w:tcW w:w="441" w:type="pct"/>
            <w:shd w:val="clear" w:color="auto" w:fill="E3E4E6" w:themeFill="accent6" w:themeFillTint="33"/>
            <w:vAlign w:val="center"/>
          </w:tcPr>
          <w:p w14:paraId="66E16E1E"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183,4</w:t>
            </w:r>
          </w:p>
        </w:tc>
        <w:tc>
          <w:tcPr>
            <w:tcW w:w="441" w:type="pct"/>
            <w:shd w:val="clear" w:color="auto" w:fill="E3E4E6" w:themeFill="accent6" w:themeFillTint="33"/>
            <w:vAlign w:val="center"/>
          </w:tcPr>
          <w:p w14:paraId="714A68E2"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967,0</w:t>
            </w:r>
          </w:p>
        </w:tc>
        <w:tc>
          <w:tcPr>
            <w:tcW w:w="441" w:type="pct"/>
            <w:shd w:val="clear" w:color="auto" w:fill="E3E4E6" w:themeFill="accent6" w:themeFillTint="33"/>
            <w:vAlign w:val="center"/>
          </w:tcPr>
          <w:p w14:paraId="4EA6AD32"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492,9</w:t>
            </w:r>
          </w:p>
        </w:tc>
        <w:tc>
          <w:tcPr>
            <w:tcW w:w="441" w:type="pct"/>
            <w:shd w:val="clear" w:color="auto" w:fill="E3E4E6" w:themeFill="accent6" w:themeFillTint="33"/>
            <w:vAlign w:val="center"/>
          </w:tcPr>
          <w:p w14:paraId="6B4F442F"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2 160,0</w:t>
            </w:r>
          </w:p>
        </w:tc>
        <w:tc>
          <w:tcPr>
            <w:tcW w:w="439" w:type="pct"/>
            <w:shd w:val="clear" w:color="auto" w:fill="E3E4E6" w:themeFill="accent6" w:themeFillTint="33"/>
            <w:vAlign w:val="center"/>
          </w:tcPr>
          <w:p w14:paraId="5AF7A3ED"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395,9</w:t>
            </w:r>
          </w:p>
        </w:tc>
      </w:tr>
      <w:tr w:rsidR="00254D13" w:rsidRPr="00D76AC5" w14:paraId="1F98ADB8" w14:textId="77777777" w:rsidTr="001A551D">
        <w:trPr>
          <w:trHeight w:val="362"/>
        </w:trPr>
        <w:tc>
          <w:tcPr>
            <w:tcW w:w="2797" w:type="pct"/>
            <w:shd w:val="clear" w:color="auto" w:fill="FFFFFF" w:themeFill="background1"/>
          </w:tcPr>
          <w:p w14:paraId="092AEC46" w14:textId="77777777" w:rsidR="00254D13" w:rsidRPr="00D76AC5" w:rsidRDefault="00254D13" w:rsidP="001A551D">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Касови плащания за отбранителни проекти и оборудване, които ще бъдат доставени през следващите години</w:t>
            </w:r>
          </w:p>
        </w:tc>
        <w:tc>
          <w:tcPr>
            <w:tcW w:w="441" w:type="pct"/>
            <w:shd w:val="clear" w:color="auto" w:fill="FFFFFF" w:themeFill="background1"/>
            <w:vAlign w:val="center"/>
          </w:tcPr>
          <w:p w14:paraId="4EB6E9C2"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-528,4</w:t>
            </w:r>
          </w:p>
        </w:tc>
        <w:tc>
          <w:tcPr>
            <w:tcW w:w="441" w:type="pct"/>
            <w:shd w:val="clear" w:color="auto" w:fill="FFFFFF" w:themeFill="background1"/>
            <w:vAlign w:val="center"/>
          </w:tcPr>
          <w:p w14:paraId="5A329762"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-565,4</w:t>
            </w:r>
          </w:p>
        </w:tc>
        <w:tc>
          <w:tcPr>
            <w:tcW w:w="441" w:type="pct"/>
            <w:shd w:val="clear" w:color="auto" w:fill="FFFFFF" w:themeFill="background1"/>
            <w:vAlign w:val="center"/>
          </w:tcPr>
          <w:p w14:paraId="61E6779F"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-972,3</w:t>
            </w:r>
          </w:p>
        </w:tc>
        <w:tc>
          <w:tcPr>
            <w:tcW w:w="441" w:type="pct"/>
            <w:shd w:val="clear" w:color="auto" w:fill="FFFFFF" w:themeFill="background1"/>
            <w:vAlign w:val="center"/>
          </w:tcPr>
          <w:p w14:paraId="6187F39D"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-493,0</w:t>
            </w:r>
          </w:p>
        </w:tc>
        <w:tc>
          <w:tcPr>
            <w:tcW w:w="439" w:type="pct"/>
            <w:shd w:val="clear" w:color="auto" w:fill="FFFFFF" w:themeFill="background1"/>
            <w:vAlign w:val="center"/>
          </w:tcPr>
          <w:p w14:paraId="3799BA9B"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-179,3</w:t>
            </w:r>
          </w:p>
        </w:tc>
      </w:tr>
      <w:tr w:rsidR="00254D13" w:rsidRPr="00D76AC5" w14:paraId="52EAC1C1" w14:textId="77777777" w:rsidTr="001A551D">
        <w:trPr>
          <w:trHeight w:val="317"/>
        </w:trPr>
        <w:tc>
          <w:tcPr>
            <w:tcW w:w="2797" w:type="pct"/>
            <w:shd w:val="clear" w:color="auto" w:fill="E3E4E6" w:themeFill="accent6" w:themeFillTint="33"/>
          </w:tcPr>
          <w:p w14:paraId="3F4D246A" w14:textId="77777777" w:rsidR="00254D13" w:rsidRPr="00D76AC5" w:rsidRDefault="00254D13" w:rsidP="001A551D">
            <w:pPr>
              <w:pStyle w:val="a0"/>
              <w:rPr>
                <w:rFonts w:asciiTheme="minorHAnsi" w:hAnsiTheme="minorHAnsi" w:cstheme="minorHAnsi"/>
                <w:color w:val="000000" w:themeColor="text1"/>
                <w:sz w:val="20"/>
                <w:szCs w:val="20"/>
                <w:lang w:val="bg-BG"/>
              </w:rPr>
            </w:pPr>
            <w:r w:rsidRPr="00D76AC5">
              <w:rPr>
                <w:rFonts w:asciiTheme="minorHAnsi" w:hAnsiTheme="minorHAnsi" w:cstheme="minorHAnsi"/>
                <w:sz w:val="20"/>
                <w:szCs w:val="20"/>
                <w:lang w:val="bg-BG"/>
              </w:rPr>
              <w:t xml:space="preserve">Общо: корекция за времево изместени разходи </w:t>
            </w:r>
          </w:p>
        </w:tc>
        <w:tc>
          <w:tcPr>
            <w:tcW w:w="441" w:type="pct"/>
            <w:shd w:val="clear" w:color="auto" w:fill="E3E4E6" w:themeFill="accent6" w:themeFillTint="33"/>
            <w:vAlign w:val="center"/>
          </w:tcPr>
          <w:p w14:paraId="0D7AD5AC"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-345,0</w:t>
            </w:r>
          </w:p>
        </w:tc>
        <w:tc>
          <w:tcPr>
            <w:tcW w:w="441" w:type="pct"/>
            <w:shd w:val="clear" w:color="auto" w:fill="E3E4E6" w:themeFill="accent6" w:themeFillTint="33"/>
            <w:vAlign w:val="center"/>
          </w:tcPr>
          <w:p w14:paraId="3C63CED3"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401,6</w:t>
            </w:r>
          </w:p>
        </w:tc>
        <w:tc>
          <w:tcPr>
            <w:tcW w:w="441" w:type="pct"/>
            <w:shd w:val="clear" w:color="auto" w:fill="E3E4E6" w:themeFill="accent6" w:themeFillTint="33"/>
            <w:vAlign w:val="center"/>
          </w:tcPr>
          <w:p w14:paraId="5C0235FD"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-479,5</w:t>
            </w:r>
          </w:p>
        </w:tc>
        <w:tc>
          <w:tcPr>
            <w:tcW w:w="441" w:type="pct"/>
            <w:shd w:val="clear" w:color="auto" w:fill="E3E4E6" w:themeFill="accent6" w:themeFillTint="33"/>
            <w:vAlign w:val="center"/>
          </w:tcPr>
          <w:p w14:paraId="5BDE13BC"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1 666,9</w:t>
            </w:r>
          </w:p>
        </w:tc>
        <w:tc>
          <w:tcPr>
            <w:tcW w:w="439" w:type="pct"/>
            <w:shd w:val="clear" w:color="auto" w:fill="E3E4E6" w:themeFill="accent6" w:themeFillTint="33"/>
            <w:vAlign w:val="center"/>
          </w:tcPr>
          <w:p w14:paraId="71A7F18E" w14:textId="77777777" w:rsidR="00254D13" w:rsidRPr="00D76AC5" w:rsidRDefault="00254D13" w:rsidP="001A551D">
            <w:pPr>
              <w:pStyle w:val="a0"/>
              <w:jc w:val="right"/>
              <w:rPr>
                <w:rFonts w:asciiTheme="minorHAnsi" w:hAnsiTheme="minorHAnsi" w:cstheme="minorHAnsi"/>
                <w:color w:val="000000" w:themeColor="text1"/>
                <w:sz w:val="20"/>
                <w:szCs w:val="20"/>
              </w:rPr>
            </w:pPr>
            <w:r w:rsidRPr="00D76AC5">
              <w:rPr>
                <w:rFonts w:asciiTheme="minorHAnsi" w:hAnsiTheme="minorHAnsi" w:cstheme="minorHAnsi"/>
                <w:sz w:val="20"/>
                <w:szCs w:val="20"/>
              </w:rPr>
              <w:t>216,6</w:t>
            </w:r>
          </w:p>
        </w:tc>
      </w:tr>
      <w:tr w:rsidR="00254D13" w:rsidRPr="00D76AC5" w14:paraId="3BF1F972" w14:textId="77777777" w:rsidTr="001A551D">
        <w:trPr>
          <w:trHeight w:val="362"/>
        </w:trPr>
        <w:tc>
          <w:tcPr>
            <w:tcW w:w="2797" w:type="pct"/>
            <w:shd w:val="clear" w:color="auto" w:fill="FFFFFF" w:themeFill="background1"/>
          </w:tcPr>
          <w:p w14:paraId="1317FBFB" w14:textId="77777777" w:rsidR="00254D13" w:rsidRPr="00DA6DB3" w:rsidRDefault="00254D13" w:rsidP="001A551D">
            <w:pPr>
              <w:pStyle w:val="a0"/>
              <w:rPr>
                <w:rFonts w:asciiTheme="minorHAnsi" w:hAnsiTheme="minorHAnsi" w:cstheme="minorHAnsi"/>
                <w:b/>
                <w:color w:val="000000" w:themeColor="text1"/>
                <w:sz w:val="20"/>
                <w:szCs w:val="20"/>
                <w:lang w:val="bg-BG"/>
              </w:rPr>
            </w:pPr>
            <w:r w:rsidRPr="00DA6DB3">
              <w:rPr>
                <w:rFonts w:asciiTheme="minorHAnsi" w:hAnsiTheme="minorHAnsi" w:cstheme="minorHAnsi"/>
                <w:sz w:val="20"/>
                <w:szCs w:val="20"/>
                <w:lang w:val="bg-BG"/>
              </w:rPr>
              <w:t>Общо: Разходи за отбрана на начислена основа по КОФОГ</w:t>
            </w:r>
          </w:p>
        </w:tc>
        <w:tc>
          <w:tcPr>
            <w:tcW w:w="441" w:type="pct"/>
            <w:shd w:val="clear" w:color="auto" w:fill="FFFFFF" w:themeFill="background1"/>
            <w:vAlign w:val="center"/>
          </w:tcPr>
          <w:p w14:paraId="1A2A911F" w14:textId="77777777" w:rsidR="00254D13" w:rsidRPr="00DA6DB3" w:rsidRDefault="00254D13" w:rsidP="001A551D">
            <w:pPr>
              <w:pStyle w:val="a0"/>
              <w:jc w:val="right"/>
              <w:rPr>
                <w:rFonts w:asciiTheme="minorHAnsi" w:hAnsiTheme="minorHAnsi" w:cstheme="minorHAnsi"/>
                <w:b/>
                <w:color w:val="000000" w:themeColor="text1"/>
                <w:sz w:val="20"/>
                <w:szCs w:val="20"/>
              </w:rPr>
            </w:pPr>
            <w:r w:rsidRPr="00DA6DB3">
              <w:rPr>
                <w:rFonts w:asciiTheme="minorHAnsi" w:hAnsiTheme="minorHAnsi" w:cstheme="minorHAnsi"/>
                <w:sz w:val="20"/>
                <w:szCs w:val="20"/>
              </w:rPr>
              <w:t>1 412,0</w:t>
            </w:r>
          </w:p>
        </w:tc>
        <w:tc>
          <w:tcPr>
            <w:tcW w:w="441" w:type="pct"/>
            <w:shd w:val="clear" w:color="auto" w:fill="FFFFFF" w:themeFill="background1"/>
            <w:vAlign w:val="center"/>
          </w:tcPr>
          <w:p w14:paraId="6E0E09EE" w14:textId="77777777" w:rsidR="00254D13" w:rsidRPr="00DA6DB3" w:rsidRDefault="00254D13" w:rsidP="001A551D">
            <w:pPr>
              <w:pStyle w:val="a0"/>
              <w:jc w:val="right"/>
              <w:rPr>
                <w:rFonts w:asciiTheme="minorHAnsi" w:hAnsiTheme="minorHAnsi" w:cstheme="minorHAnsi"/>
                <w:b/>
                <w:color w:val="000000" w:themeColor="text1"/>
                <w:sz w:val="20"/>
                <w:szCs w:val="20"/>
              </w:rPr>
            </w:pPr>
            <w:r w:rsidRPr="00DA6DB3">
              <w:rPr>
                <w:rFonts w:asciiTheme="minorHAnsi" w:hAnsiTheme="minorHAnsi" w:cstheme="minorHAnsi"/>
                <w:sz w:val="20"/>
                <w:szCs w:val="20"/>
              </w:rPr>
              <w:t>2 817,5</w:t>
            </w:r>
          </w:p>
        </w:tc>
        <w:tc>
          <w:tcPr>
            <w:tcW w:w="441" w:type="pct"/>
            <w:shd w:val="clear" w:color="auto" w:fill="FFFFFF" w:themeFill="background1"/>
            <w:vAlign w:val="center"/>
          </w:tcPr>
          <w:p w14:paraId="2B9FEE17" w14:textId="77777777" w:rsidR="00254D13" w:rsidRPr="00DA6DB3" w:rsidRDefault="00254D13" w:rsidP="001A551D">
            <w:pPr>
              <w:jc w:val="right"/>
              <w:rPr>
                <w:bCs/>
                <w:color w:val="000000"/>
                <w:sz w:val="20"/>
              </w:rPr>
            </w:pPr>
            <w:r w:rsidRPr="00DA6DB3">
              <w:rPr>
                <w:bCs/>
                <w:color w:val="000000"/>
                <w:sz w:val="20"/>
              </w:rPr>
              <w:t xml:space="preserve">2 </w:t>
            </w:r>
            <w:r>
              <w:rPr>
                <w:bCs/>
                <w:color w:val="000000"/>
                <w:sz w:val="20"/>
              </w:rPr>
              <w:t>006</w:t>
            </w:r>
            <w:r w:rsidRPr="00DA6DB3">
              <w:rPr>
                <w:bCs/>
                <w:color w:val="000000"/>
                <w:sz w:val="20"/>
              </w:rPr>
              <w:t>,</w:t>
            </w:r>
            <w:r>
              <w:rPr>
                <w:bCs/>
                <w:color w:val="000000"/>
                <w:sz w:val="20"/>
              </w:rPr>
              <w:t>0</w:t>
            </w:r>
          </w:p>
        </w:tc>
        <w:tc>
          <w:tcPr>
            <w:tcW w:w="441" w:type="pct"/>
            <w:shd w:val="clear" w:color="auto" w:fill="FFFFFF" w:themeFill="background1"/>
            <w:vAlign w:val="center"/>
          </w:tcPr>
          <w:p w14:paraId="317DC14C" w14:textId="77777777" w:rsidR="00254D13" w:rsidRPr="00DA6DB3" w:rsidRDefault="00254D13" w:rsidP="001A551D">
            <w:pPr>
              <w:jc w:val="right"/>
              <w:rPr>
                <w:bCs/>
                <w:color w:val="000000"/>
                <w:sz w:val="20"/>
              </w:rPr>
            </w:pPr>
            <w:r w:rsidRPr="00DA6DB3">
              <w:rPr>
                <w:bCs/>
                <w:color w:val="000000"/>
                <w:sz w:val="20"/>
              </w:rPr>
              <w:t>4 5</w:t>
            </w:r>
            <w:r>
              <w:rPr>
                <w:bCs/>
                <w:color w:val="000000"/>
                <w:sz w:val="20"/>
              </w:rPr>
              <w:t>30</w:t>
            </w:r>
            <w:r w:rsidRPr="00DA6DB3">
              <w:rPr>
                <w:bCs/>
                <w:color w:val="000000"/>
                <w:sz w:val="20"/>
              </w:rPr>
              <w:t>,</w:t>
            </w:r>
            <w:r>
              <w:rPr>
                <w:bCs/>
                <w:color w:val="000000"/>
                <w:sz w:val="20"/>
              </w:rPr>
              <w:t>8</w:t>
            </w:r>
          </w:p>
        </w:tc>
        <w:tc>
          <w:tcPr>
            <w:tcW w:w="439" w:type="pct"/>
            <w:shd w:val="clear" w:color="auto" w:fill="FFFFFF" w:themeFill="background1"/>
            <w:vAlign w:val="center"/>
          </w:tcPr>
          <w:p w14:paraId="406D4B63" w14:textId="77777777" w:rsidR="00254D13" w:rsidRPr="00FF29EA" w:rsidRDefault="00254D13" w:rsidP="001A551D">
            <w:pPr>
              <w:jc w:val="right"/>
              <w:rPr>
                <w:bCs/>
                <w:color w:val="000000"/>
                <w:sz w:val="20"/>
              </w:rPr>
            </w:pPr>
            <w:r w:rsidRPr="00DA6DB3">
              <w:rPr>
                <w:bCs/>
                <w:color w:val="000000"/>
                <w:sz w:val="20"/>
              </w:rPr>
              <w:t>3 3</w:t>
            </w:r>
            <w:r>
              <w:rPr>
                <w:bCs/>
                <w:color w:val="000000"/>
                <w:sz w:val="20"/>
              </w:rPr>
              <w:t>24</w:t>
            </w:r>
            <w:r w:rsidRPr="00DA6DB3">
              <w:rPr>
                <w:bCs/>
                <w:color w:val="000000"/>
                <w:sz w:val="20"/>
              </w:rPr>
              <w:t>,</w:t>
            </w:r>
            <w:r>
              <w:rPr>
                <w:bCs/>
                <w:color w:val="000000"/>
                <w:sz w:val="20"/>
              </w:rPr>
              <w:t>6</w:t>
            </w:r>
          </w:p>
        </w:tc>
      </w:tr>
      <w:tr w:rsidR="00254D13" w:rsidRPr="00D76AC5" w14:paraId="752C4162" w14:textId="77777777" w:rsidTr="001A551D">
        <w:trPr>
          <w:trHeight w:val="365"/>
        </w:trPr>
        <w:tc>
          <w:tcPr>
            <w:tcW w:w="2797" w:type="pct"/>
            <w:tcBorders>
              <w:bottom w:val="single" w:sz="4" w:space="0" w:color="auto"/>
            </w:tcBorders>
            <w:shd w:val="clear" w:color="auto" w:fill="E3E4E6" w:themeFill="accent6" w:themeFillTint="33"/>
          </w:tcPr>
          <w:p w14:paraId="4CFB5425" w14:textId="77777777" w:rsidR="00254D13" w:rsidRPr="00D76AC5" w:rsidRDefault="00254D13" w:rsidP="001A551D">
            <w:pPr>
              <w:pStyle w:val="a0"/>
              <w:rPr>
                <w:rFonts w:asciiTheme="minorHAnsi" w:hAnsiTheme="minorHAnsi" w:cstheme="minorHAnsi"/>
                <w:b/>
                <w:color w:val="000000" w:themeColor="text1"/>
                <w:sz w:val="20"/>
                <w:szCs w:val="20"/>
                <w:lang w:val="bg-BG"/>
              </w:rPr>
            </w:pPr>
            <w:r w:rsidRPr="00D76AC5">
              <w:rPr>
                <w:rFonts w:asciiTheme="minorHAnsi" w:hAnsiTheme="minorHAnsi" w:cstheme="minorHAnsi"/>
                <w:sz w:val="20"/>
                <w:szCs w:val="20"/>
                <w:lang w:val="bg-BG"/>
              </w:rPr>
              <w:t xml:space="preserve">Разходи за отбрана по </w:t>
            </w:r>
            <w:r w:rsidRPr="00DA6DB3">
              <w:rPr>
                <w:rFonts w:asciiTheme="minorHAnsi" w:hAnsiTheme="minorHAnsi" w:cstheme="minorHAnsi"/>
                <w:sz w:val="20"/>
                <w:szCs w:val="20"/>
                <w:lang w:val="bg-BG"/>
              </w:rPr>
              <w:t>КОФОГ, дял от БВП</w:t>
            </w:r>
            <w:r w:rsidRPr="00D76AC5">
              <w:rPr>
                <w:rFonts w:asciiTheme="minorHAnsi" w:hAnsiTheme="minorHAnsi" w:cstheme="minorHAnsi"/>
                <w:sz w:val="20"/>
                <w:szCs w:val="20"/>
                <w:lang w:val="bg-BG"/>
              </w:rPr>
              <w:t xml:space="preserve"> </w:t>
            </w:r>
          </w:p>
        </w:tc>
        <w:tc>
          <w:tcPr>
            <w:tcW w:w="441" w:type="pct"/>
            <w:tcBorders>
              <w:bottom w:val="single" w:sz="4" w:space="0" w:color="auto"/>
            </w:tcBorders>
            <w:shd w:val="clear" w:color="auto" w:fill="E3E4E6" w:themeFill="accent6" w:themeFillTint="33"/>
            <w:vAlign w:val="center"/>
          </w:tcPr>
          <w:p w14:paraId="60D7DF17"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1,3%</w:t>
            </w:r>
          </w:p>
        </w:tc>
        <w:tc>
          <w:tcPr>
            <w:tcW w:w="441" w:type="pct"/>
            <w:tcBorders>
              <w:bottom w:val="single" w:sz="4" w:space="0" w:color="auto"/>
            </w:tcBorders>
            <w:shd w:val="clear" w:color="auto" w:fill="E3E4E6" w:themeFill="accent6" w:themeFillTint="33"/>
            <w:vAlign w:val="center"/>
          </w:tcPr>
          <w:p w14:paraId="5496526A"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2,5%</w:t>
            </w:r>
          </w:p>
        </w:tc>
        <w:tc>
          <w:tcPr>
            <w:tcW w:w="441" w:type="pct"/>
            <w:tcBorders>
              <w:bottom w:val="single" w:sz="4" w:space="0" w:color="auto"/>
            </w:tcBorders>
            <w:shd w:val="clear" w:color="auto" w:fill="E3E4E6" w:themeFill="accent6" w:themeFillTint="33"/>
            <w:vAlign w:val="center"/>
          </w:tcPr>
          <w:p w14:paraId="25E49D47"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1,</w:t>
            </w:r>
            <w:r>
              <w:rPr>
                <w:rFonts w:asciiTheme="minorHAnsi" w:hAnsiTheme="minorHAnsi" w:cstheme="minorHAnsi"/>
                <w:sz w:val="20"/>
                <w:szCs w:val="20"/>
                <w:lang w:val="bg-BG"/>
              </w:rPr>
              <w:t>7</w:t>
            </w:r>
            <w:r w:rsidRPr="00D76AC5">
              <w:rPr>
                <w:rFonts w:asciiTheme="minorHAnsi" w:hAnsiTheme="minorHAnsi" w:cstheme="minorHAnsi"/>
                <w:sz w:val="20"/>
                <w:szCs w:val="20"/>
              </w:rPr>
              <w:t>%</w:t>
            </w:r>
          </w:p>
        </w:tc>
        <w:tc>
          <w:tcPr>
            <w:tcW w:w="441" w:type="pct"/>
            <w:tcBorders>
              <w:bottom w:val="single" w:sz="4" w:space="0" w:color="auto"/>
            </w:tcBorders>
            <w:shd w:val="clear" w:color="auto" w:fill="E3E4E6" w:themeFill="accent6" w:themeFillTint="33"/>
            <w:vAlign w:val="center"/>
          </w:tcPr>
          <w:p w14:paraId="4E726E6E"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3,</w:t>
            </w:r>
            <w:r>
              <w:rPr>
                <w:rFonts w:asciiTheme="minorHAnsi" w:hAnsiTheme="minorHAnsi" w:cstheme="minorHAnsi"/>
                <w:sz w:val="20"/>
                <w:szCs w:val="20"/>
                <w:lang w:val="bg-BG"/>
              </w:rPr>
              <w:t>6</w:t>
            </w:r>
            <w:r w:rsidRPr="00D76AC5">
              <w:rPr>
                <w:rFonts w:asciiTheme="minorHAnsi" w:hAnsiTheme="minorHAnsi" w:cstheme="minorHAnsi"/>
                <w:sz w:val="20"/>
                <w:szCs w:val="20"/>
              </w:rPr>
              <w:t>%</w:t>
            </w:r>
          </w:p>
        </w:tc>
        <w:tc>
          <w:tcPr>
            <w:tcW w:w="439" w:type="pct"/>
            <w:tcBorders>
              <w:bottom w:val="single" w:sz="4" w:space="0" w:color="auto"/>
            </w:tcBorders>
            <w:shd w:val="clear" w:color="auto" w:fill="E3E4E6" w:themeFill="accent6" w:themeFillTint="33"/>
            <w:vAlign w:val="center"/>
          </w:tcPr>
          <w:p w14:paraId="1703504C" w14:textId="77777777" w:rsidR="00254D13" w:rsidRPr="00D76AC5" w:rsidRDefault="00254D13" w:rsidP="001A551D">
            <w:pPr>
              <w:pStyle w:val="a0"/>
              <w:jc w:val="right"/>
              <w:rPr>
                <w:rFonts w:asciiTheme="minorHAnsi" w:hAnsiTheme="minorHAnsi" w:cstheme="minorHAnsi"/>
                <w:b/>
                <w:color w:val="000000" w:themeColor="text1"/>
                <w:sz w:val="20"/>
                <w:szCs w:val="20"/>
              </w:rPr>
            </w:pPr>
            <w:r w:rsidRPr="00D76AC5">
              <w:rPr>
                <w:rFonts w:asciiTheme="minorHAnsi" w:hAnsiTheme="minorHAnsi" w:cstheme="minorHAnsi"/>
                <w:sz w:val="20"/>
                <w:szCs w:val="20"/>
              </w:rPr>
              <w:t>2,5%</w:t>
            </w:r>
          </w:p>
        </w:tc>
      </w:tr>
    </w:tbl>
    <w:p w14:paraId="3DD53B45" w14:textId="77777777" w:rsidR="00D76AC5" w:rsidRDefault="00D76AC5" w:rsidP="00D76AC5">
      <w:pPr>
        <w:spacing w:before="120"/>
        <w:jc w:val="right"/>
        <w:rPr>
          <w:sz w:val="20"/>
          <w:szCs w:val="20"/>
        </w:rPr>
      </w:pPr>
      <w:r w:rsidRPr="00D76AC5">
        <w:rPr>
          <w:sz w:val="20"/>
          <w:szCs w:val="20"/>
        </w:rPr>
        <w:t>Източник: МФ, НСИ</w:t>
      </w:r>
    </w:p>
    <w:p w14:paraId="384FAAD9" w14:textId="77777777" w:rsidR="00254D13" w:rsidRPr="00254D13" w:rsidRDefault="00254D13" w:rsidP="00254D13">
      <w:r w:rsidRPr="00254D13">
        <w:t>Планираният размер на бюджетното салдо на сектор „Държавно управление“ за периода 2026-2028 г. ще се реализира при дял на приходите 41,2% от БВП през 2026 г., и 40,1% от БВП през 2028 г. Разходите като дял от БВП достигат 44,3% през 2026 г., след това постепенно намаляват до 43,0% от БВП за 2028 г.</w:t>
      </w:r>
    </w:p>
    <w:p w14:paraId="635A0612" w14:textId="77777777" w:rsidR="00EF2B93" w:rsidRPr="00D76AC5" w:rsidRDefault="00EF2B93" w:rsidP="00EF2B93">
      <w:r w:rsidRPr="00D76AC5">
        <w:t>В приходн</w:t>
      </w:r>
      <w:r w:rsidR="004A42BF">
        <w:t>ата част на бюджета се запазват</w:t>
      </w:r>
      <w:r w:rsidRPr="00D76AC5">
        <w:t xml:space="preserve"> основните приоритети на политиката, свързани с подобряване на събираемостта, предотвратяване на възможностите за укриване и невнасяне на данъци и осигуровки и намаляване на административната тежест и разходите за бизнеса и гражданите. За изпълнение на приоритетните цели на данъчната политика се извършват нормативни промени и действия на приходните администрации в обл</w:t>
      </w:r>
      <w:r>
        <w:t xml:space="preserve">астта на събирането и контрола. </w:t>
      </w:r>
      <w:r w:rsidRPr="00D76AC5">
        <w:t xml:space="preserve">Прогнозният растеж на приходите на сектор „Държавно управление“ спрямо предходната година достига до </w:t>
      </w:r>
      <w:r w:rsidR="00254D13" w:rsidRPr="00254D13">
        <w:t>12,1</w:t>
      </w:r>
      <w:r w:rsidRPr="00D76AC5">
        <w:t xml:space="preserve">%. </w:t>
      </w:r>
    </w:p>
    <w:p w14:paraId="0FA7C612" w14:textId="77777777" w:rsidR="00EF2B93" w:rsidRPr="00254D13" w:rsidRDefault="00EF2B93" w:rsidP="00EF2B93">
      <w:r w:rsidRPr="00254D13">
        <w:rPr>
          <w:b/>
        </w:rPr>
        <w:t>Растежът на приходите</w:t>
      </w:r>
      <w:r w:rsidRPr="00254D13">
        <w:t xml:space="preserve"> през 2026 г. ще се базира на увеличения, произтичащи от благоприятното въздействие на макроикономическата среда, на мерки за повишаване на събираемостта и намаляване дела на сивата икономика, на увеличение на </w:t>
      </w:r>
      <w:r w:rsidR="00254D13" w:rsidRPr="00254D13">
        <w:t>минималния и на максималния осигурителен доход</w:t>
      </w:r>
      <w:r w:rsidRPr="00254D13">
        <w:t xml:space="preserve">, увеличение на променливата </w:t>
      </w:r>
      <w:r w:rsidR="004D3C3F" w:rsidRPr="00254D13">
        <w:t>част</w:t>
      </w:r>
      <w:r w:rsidRPr="00254D13">
        <w:t xml:space="preserve"> на таксите</w:t>
      </w:r>
      <w:r w:rsidRPr="00254D13">
        <w:rPr>
          <w:rFonts w:eastAsia="Times New Roman"/>
        </w:rPr>
        <w:t xml:space="preserve"> </w:t>
      </w:r>
      <w:r w:rsidRPr="00254D13">
        <w:t>по чл. 30, ал. 3 и 4 от Закона за хазарта от 20% на 2</w:t>
      </w:r>
      <w:r w:rsidR="005B48AD">
        <w:t>2</w:t>
      </w:r>
      <w:r w:rsidRPr="00254D13">
        <w:t xml:space="preserve">%. </w:t>
      </w:r>
    </w:p>
    <w:p w14:paraId="326658BD" w14:textId="77777777" w:rsidR="00EF2B93" w:rsidRPr="00D76AC5" w:rsidRDefault="00EF2B93" w:rsidP="00EF2B93">
      <w:r w:rsidRPr="00254D13">
        <w:t xml:space="preserve">Приходите от данъци върху производството и вноса ще се увеличат с </w:t>
      </w:r>
      <w:r w:rsidR="00254D13" w:rsidRPr="00254D13">
        <w:t>21,3</w:t>
      </w:r>
      <w:r w:rsidRPr="00254D13">
        <w:t xml:space="preserve">%, с основен принос – нарастването на приходите от ДДС с </w:t>
      </w:r>
      <w:r w:rsidR="00254D13" w:rsidRPr="00254D13">
        <w:t>29,2</w:t>
      </w:r>
      <w:r w:rsidRPr="00254D13">
        <w:t xml:space="preserve">%. Нарастването се дължи на предложените мерки за повишаване на събираемостта на приходите в областта на фискалния контрол, в т.ч. разширяване на списъка на стоките с висок фискален риск и въвеждането на мобилно приложение за регистриране в реално време на движението на транспортните средства, превозващи стоки с висок фискален риск. Приходите от акцизи ще нараснат с </w:t>
      </w:r>
      <w:r w:rsidR="00254D13" w:rsidRPr="00254D13">
        <w:t>10,6</w:t>
      </w:r>
      <w:r w:rsidRPr="00254D13">
        <w:t>%. Положителният ефект върху приходите от акцизи е основно от повишаването на акцизната ставка на всички тютюневи изделия, в сила от 01.01.2026 г.</w:t>
      </w:r>
      <w:r w:rsidRPr="00D76AC5">
        <w:t xml:space="preserve"> </w:t>
      </w:r>
    </w:p>
    <w:p w14:paraId="1B6706FB" w14:textId="77777777" w:rsidR="00254D13" w:rsidRPr="00254D13" w:rsidRDefault="00254D13" w:rsidP="00254D13">
      <w:r w:rsidRPr="00254D13">
        <w:t>Приходите от текущите данъци върху доходите и богатството ще се увеличат с 10,5% спрямо предходната година. Влияние за нарастването на тези приходи оказва нарастването на компенсацията на наетите съгласно макроикономическата прогноза.</w:t>
      </w:r>
    </w:p>
    <w:p w14:paraId="5A838720" w14:textId="77777777" w:rsidR="00254D13" w:rsidRPr="00254D13" w:rsidRDefault="00254D13" w:rsidP="00254D13">
      <w:r w:rsidRPr="00254D13">
        <w:lastRenderedPageBreak/>
        <w:t>С цел осигуряване на устойчивостта на системата за социално осигуряване е предвидено увеличаване на</w:t>
      </w:r>
      <w:r>
        <w:t xml:space="preserve"> минималния осигурителен доход </w:t>
      </w:r>
      <w:r w:rsidRPr="00254D13">
        <w:t xml:space="preserve">от 550,66 евро на 620,20 евро и на максималния осигурителен доход от 2 112 евро на </w:t>
      </w:r>
      <w:r w:rsidR="003C2D3A" w:rsidRPr="001844FB">
        <w:t>2 300</w:t>
      </w:r>
      <w:r w:rsidRPr="00254D13">
        <w:t xml:space="preserve"> евро. Като се вземат предвид тези ефекти, ръстът на приходите от социални осигуровки възлиза на 8,4%.</w:t>
      </w:r>
    </w:p>
    <w:p w14:paraId="02E3BC75" w14:textId="77777777" w:rsidR="00EF2B93" w:rsidRPr="00D76AC5" w:rsidRDefault="00EF2B93" w:rsidP="00EF2B93">
      <w:r w:rsidRPr="00D76AC5">
        <w:t xml:space="preserve">При неданъчните приходи растежът се дължи на нарастването на приходите от продажби и другите текущи приходи. Предвидени са промени в Закона за хазарта - увеличаване на променливата </w:t>
      </w:r>
      <w:r w:rsidR="004D3C3F">
        <w:t>част</w:t>
      </w:r>
      <w:r w:rsidRPr="00D76AC5">
        <w:t xml:space="preserve"> на таксите </w:t>
      </w:r>
      <w:r w:rsidRPr="0074207F">
        <w:t xml:space="preserve">по чл. </w:t>
      </w:r>
      <w:r w:rsidR="003147D4">
        <w:t>30, ал. 3 и 4 от Закона за хазарта</w:t>
      </w:r>
      <w:r w:rsidRPr="00D76AC5">
        <w:t xml:space="preserve"> от 20% на 2</w:t>
      </w:r>
      <w:r w:rsidR="0064471F">
        <w:t>2</w:t>
      </w:r>
      <w:r w:rsidRPr="00D76AC5">
        <w:t xml:space="preserve">%.  Предвидено е диференциране на ТОЛ таксите в зависимост от въглеродните емисии на пътните превозни средства.  </w:t>
      </w:r>
    </w:p>
    <w:p w14:paraId="75C18235" w14:textId="77777777" w:rsidR="003F036D" w:rsidRDefault="003F036D" w:rsidP="00EF2B93">
      <w:pPr>
        <w:rPr>
          <w:b/>
        </w:rPr>
      </w:pPr>
    </w:p>
    <w:p w14:paraId="1BAD23D2" w14:textId="77777777" w:rsidR="003F036D" w:rsidRPr="00D76AC5" w:rsidRDefault="003F036D" w:rsidP="003F036D">
      <w:r w:rsidRPr="00D76AC5">
        <w:rPr>
          <w:b/>
        </w:rPr>
        <w:t>Разходите на сектор „Държавно управление“</w:t>
      </w:r>
      <w:r w:rsidRPr="00D76AC5">
        <w:t xml:space="preserve"> през 2026 г. се очаква да възлязат на 4</w:t>
      </w:r>
      <w:r>
        <w:t>4</w:t>
      </w:r>
      <w:r w:rsidRPr="00D76AC5">
        <w:t>,</w:t>
      </w:r>
      <w:r>
        <w:t>3</w:t>
      </w:r>
      <w:r w:rsidRPr="00D76AC5">
        <w:t xml:space="preserve">% от БВП, което е с </w:t>
      </w:r>
      <w:r>
        <w:t>2</w:t>
      </w:r>
      <w:r w:rsidRPr="00D76AC5">
        <w:t>,</w:t>
      </w:r>
      <w:r>
        <w:t>1</w:t>
      </w:r>
      <w:r w:rsidRPr="00D76AC5">
        <w:t xml:space="preserve"> </w:t>
      </w:r>
      <w:proofErr w:type="spellStart"/>
      <w:r w:rsidRPr="00D76AC5">
        <w:t>пр.п</w:t>
      </w:r>
      <w:proofErr w:type="spellEnd"/>
      <w:r w:rsidRPr="00D76AC5">
        <w:t>. по-високо от нивото през предходната година. С най-висок дял в структурата на разходите остават компенсацията на наетите (12,7% от БВП) и социалните трансфери без тези в натура (14,</w:t>
      </w:r>
      <w:r>
        <w:t>3</w:t>
      </w:r>
      <w:r w:rsidRPr="00D76AC5">
        <w:t xml:space="preserve">% от БВП), като последните бележат най-висок ръст от 0,9 </w:t>
      </w:r>
      <w:proofErr w:type="spellStart"/>
      <w:r w:rsidRPr="00D76AC5">
        <w:t>пр.п</w:t>
      </w:r>
      <w:proofErr w:type="spellEnd"/>
      <w:r w:rsidRPr="00D76AC5">
        <w:t xml:space="preserve">. </w:t>
      </w:r>
      <w:r>
        <w:t>Увелич</w:t>
      </w:r>
      <w:r w:rsidRPr="00D76AC5">
        <w:t xml:space="preserve">ение в номинално и процентно изражение се наблюдава при  капиталовите трансфери. </w:t>
      </w:r>
      <w:proofErr w:type="spellStart"/>
      <w:r w:rsidRPr="00D76AC5">
        <w:t>Брутообразуването</w:t>
      </w:r>
      <w:proofErr w:type="spellEnd"/>
      <w:r w:rsidRPr="00D76AC5">
        <w:t xml:space="preserve"> на основен капитал се очаква да на</w:t>
      </w:r>
      <w:r>
        <w:t>мале</w:t>
      </w:r>
      <w:r w:rsidRPr="00D76AC5">
        <w:t xml:space="preserve">е слабо в номинално и процентно изражение до </w:t>
      </w:r>
      <w:r>
        <w:t>4</w:t>
      </w:r>
      <w:r w:rsidRPr="00D76AC5">
        <w:t>,</w:t>
      </w:r>
      <w:r>
        <w:t>3</w:t>
      </w:r>
      <w:r w:rsidRPr="00D76AC5">
        <w:t xml:space="preserve">% от БВП. </w:t>
      </w:r>
    </w:p>
    <w:p w14:paraId="5C43DD5E" w14:textId="77777777" w:rsidR="003F036D" w:rsidRPr="00D76AC5" w:rsidRDefault="003F036D" w:rsidP="003F036D">
      <w:r w:rsidRPr="00D76AC5">
        <w:t xml:space="preserve">Нарастването на разходите за компенсация на наетите лица през 2026 г. е </w:t>
      </w:r>
      <w:r w:rsidRPr="00B96432">
        <w:t>10,</w:t>
      </w:r>
      <w:r w:rsidR="003E44E9" w:rsidRPr="00B96432">
        <w:t>6</w:t>
      </w:r>
      <w:r w:rsidRPr="00B96432">
        <w:t>%</w:t>
      </w:r>
      <w:r w:rsidRPr="00D76AC5">
        <w:t xml:space="preserve"> и се дължи на нарастването на разходите за персонал в сектор „Образование“ и на предвиден</w:t>
      </w:r>
      <w:r>
        <w:t xml:space="preserve">ото </w:t>
      </w:r>
      <w:r w:rsidRPr="00895AD3">
        <w:rPr>
          <w:bCs/>
          <w:lang w:bidi="bg-BG"/>
        </w:rPr>
        <w:t>у</w:t>
      </w:r>
      <w:r w:rsidRPr="000D663B">
        <w:rPr>
          <w:bCs/>
          <w:lang w:bidi="bg-BG"/>
        </w:rPr>
        <w:t>величение на разходите за персонал в бюджетната сфера</w:t>
      </w:r>
      <w:r w:rsidRPr="00B47AAA">
        <w:t xml:space="preserve"> с </w:t>
      </w:r>
      <w:r>
        <w:t>10</w:t>
      </w:r>
      <w:r w:rsidRPr="00B47AAA">
        <w:t>%,</w:t>
      </w:r>
      <w:r w:rsidRPr="00D76AC5">
        <w:t xml:space="preserve"> на повишените разходи за осигурителни вноски поради предвиденото покачване на минималния и максималния осигурителен доход, както и на нарастването на минималната работна заплата.</w:t>
      </w:r>
    </w:p>
    <w:p w14:paraId="32905430" w14:textId="77777777" w:rsidR="00EF2B93" w:rsidRPr="00D76AC5" w:rsidRDefault="00EF2B93" w:rsidP="00EF2B93">
      <w:r w:rsidRPr="00D76AC5">
        <w:t>При социалните трансфери в натура, където се отразяват плащанията към изпълнителите на медицинска помощ, делът на разходите като дял от БВП през 2026 г. се  увеличава с 0,</w:t>
      </w:r>
      <w:r w:rsidR="003F036D">
        <w:t>2</w:t>
      </w:r>
      <w:r w:rsidRPr="00D76AC5">
        <w:t xml:space="preserve"> </w:t>
      </w:r>
      <w:proofErr w:type="spellStart"/>
      <w:r w:rsidRPr="00D76AC5">
        <w:t>пр.п</w:t>
      </w:r>
      <w:proofErr w:type="spellEnd"/>
      <w:r w:rsidRPr="00D76AC5">
        <w:t>. до 3,</w:t>
      </w:r>
      <w:r w:rsidR="003F036D">
        <w:t>4</w:t>
      </w:r>
      <w:r w:rsidRPr="00D76AC5">
        <w:t>% от БВП в срав</w:t>
      </w:r>
      <w:r>
        <w:t xml:space="preserve">нение с 2025 г. </w:t>
      </w:r>
      <w:r w:rsidRPr="00D76AC5">
        <w:t xml:space="preserve">Другата категория социални трансфери, различни от тези в натура, отразява извършените социални плащания за пенсии, помощи и обезщетения към домакинствата, като тук делът им в БВП нараства с 0,9 </w:t>
      </w:r>
      <w:proofErr w:type="spellStart"/>
      <w:r w:rsidRPr="00D76AC5">
        <w:t>пр.п</w:t>
      </w:r>
      <w:proofErr w:type="spellEnd"/>
      <w:r w:rsidRPr="00D76AC5">
        <w:t>. до 14,</w:t>
      </w:r>
      <w:r>
        <w:t>3</w:t>
      </w:r>
      <w:r w:rsidRPr="00D76AC5">
        <w:t xml:space="preserve">% от БВП, най-вече поради нарастване на разходите за пенсии и увеличаването на размерите на обезщетенията и помощите за домакинствата. </w:t>
      </w:r>
    </w:p>
    <w:p w14:paraId="65FA84A2" w14:textId="77777777" w:rsidR="003F036D" w:rsidRDefault="00EF2B93" w:rsidP="00EF2B93">
      <w:r w:rsidRPr="00D76AC5">
        <w:t xml:space="preserve">През 2026 г. субсидиите се увеличават с 0,1 </w:t>
      </w:r>
      <w:proofErr w:type="spellStart"/>
      <w:r w:rsidRPr="00D76AC5">
        <w:t>пр.п</w:t>
      </w:r>
      <w:proofErr w:type="spellEnd"/>
      <w:r w:rsidRPr="00D76AC5">
        <w:t xml:space="preserve">. от БВП до 2,0%, което се дължи на разходите, свързани с програмите и мерките за смекчаване на икономическите последици от нестабилността на цените на електрическата енергия и природния газ за небитови крайни клиенти.  Разходите за лихви нарастват с 0,2 </w:t>
      </w:r>
      <w:proofErr w:type="spellStart"/>
      <w:r w:rsidRPr="00D76AC5">
        <w:t>пр.п</w:t>
      </w:r>
      <w:proofErr w:type="spellEnd"/>
      <w:r w:rsidRPr="00D76AC5">
        <w:t xml:space="preserve"> до 1,0% от БВП.</w:t>
      </w:r>
    </w:p>
    <w:p w14:paraId="56BF3AD4" w14:textId="77777777" w:rsidR="003F036D" w:rsidRPr="003F036D" w:rsidRDefault="003F036D" w:rsidP="003F036D">
      <w:r w:rsidRPr="003F036D">
        <w:t xml:space="preserve">Разходите за </w:t>
      </w:r>
      <w:proofErr w:type="spellStart"/>
      <w:r w:rsidRPr="003F036D">
        <w:t>брутообразуване</w:t>
      </w:r>
      <w:proofErr w:type="spellEnd"/>
      <w:r w:rsidRPr="003F036D">
        <w:t xml:space="preserve"> на основен капитал като дял от БВП намаляват с 0,3 </w:t>
      </w:r>
      <w:proofErr w:type="spellStart"/>
      <w:r w:rsidRPr="003F036D">
        <w:t>пр.п</w:t>
      </w:r>
      <w:proofErr w:type="spellEnd"/>
      <w:r w:rsidRPr="003F036D">
        <w:t>. през 2026 г. до 4,3% от БВП. Значително въздействие върху капиталовите разходи оказват тези, финансирани от държавния бюджет и общините, както и по програми на ЕС в рамките на програмния период 2021-2027 г. и по НПВУ. Национално финансираните капиталови разходи за 2026 г. се очаква да достигнат до 2,8% от БВП, а тези, финансирани по програми на ЕС – 1,5% от БВП.</w:t>
      </w:r>
    </w:p>
    <w:p w14:paraId="0140BA26" w14:textId="77777777" w:rsidR="00EF2B93" w:rsidRDefault="00EF2B93" w:rsidP="00EF2B93">
      <w:r w:rsidRPr="00D76AC5">
        <w:t xml:space="preserve">Общият ефект от предприятията и болниците, включени в сектор „Държавно управление“, върху баланса на сектора е отрицателен за периода 2026-2028 г. – съответно: -426,7 млн. евро за 2026 г., -291,2 млн. евро за 2027 г и -415,5 млн. евро за 2028 г. За отрицателния ефект върху баланса на сектора най-голямо влияние имат Националната компания „Железопътна инфраструктура“ и </w:t>
      </w:r>
      <w:r w:rsidR="003147D4">
        <w:t>„</w:t>
      </w:r>
      <w:r w:rsidRPr="00D76AC5">
        <w:t>БДЖ-П</w:t>
      </w:r>
      <w:r w:rsidR="003147D4">
        <w:t>ътнически превози“</w:t>
      </w:r>
      <w:r w:rsidRPr="00D76AC5">
        <w:t>.</w:t>
      </w:r>
    </w:p>
    <w:p w14:paraId="2B320332" w14:textId="77777777" w:rsidR="00697B52" w:rsidRDefault="00697B52" w:rsidP="00EF2B93"/>
    <w:p w14:paraId="38B16244" w14:textId="77777777" w:rsidR="00664C2C" w:rsidRPr="00664C2C" w:rsidRDefault="00D22320" w:rsidP="00664C2C">
      <w:pPr>
        <w:pStyle w:val="Caption"/>
        <w:keepNext/>
        <w:spacing w:before="200" w:after="0"/>
        <w:ind w:left="1411" w:hanging="1411"/>
        <w:rPr>
          <w:b w:val="0"/>
          <w:bCs w:val="0"/>
          <w:szCs w:val="22"/>
          <w:vertAlign w:val="superscript"/>
        </w:rPr>
      </w:pPr>
      <w:bookmarkStart w:id="220" w:name="_Toc213229059"/>
      <w:r w:rsidRPr="003D1B27">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3D1B27">
        <w:noBreakHyphen/>
      </w:r>
      <w:r w:rsidR="00974F02">
        <w:fldChar w:fldCharType="begin"/>
      </w:r>
      <w:r w:rsidR="00974F02">
        <w:instrText xml:space="preserve"> SEQ Табл. \* ARABIC \s 1 </w:instrText>
      </w:r>
      <w:r w:rsidR="00974F02">
        <w:fldChar w:fldCharType="separate"/>
      </w:r>
      <w:r w:rsidR="00841DFA">
        <w:rPr>
          <w:noProof/>
        </w:rPr>
        <w:t>7</w:t>
      </w:r>
      <w:r w:rsidR="00974F02">
        <w:rPr>
          <w:noProof/>
        </w:rPr>
        <w:fldChar w:fldCharType="end"/>
      </w:r>
      <w:r w:rsidRPr="003D1B27">
        <w:t>:</w:t>
      </w:r>
      <w:r w:rsidRPr="003D1B27">
        <w:tab/>
        <w:t>Изменение на показателите на сектор „Държ</w:t>
      </w:r>
      <w:r w:rsidR="0089581E">
        <w:t>авно управление“ за периода 2025</w:t>
      </w:r>
      <w:r>
        <w:t>-2028 </w:t>
      </w:r>
      <w:r w:rsidRPr="003D1B27">
        <w:t>г.</w:t>
      </w:r>
      <w:r w:rsidR="00BC1E8C" w:rsidRPr="00BC1E8C">
        <w:rPr>
          <w:b w:val="0"/>
          <w:bCs w:val="0"/>
          <w:szCs w:val="22"/>
          <w:vertAlign w:val="superscript"/>
        </w:rPr>
        <w:t xml:space="preserve"> </w:t>
      </w:r>
      <w:r w:rsidR="00BC1E8C" w:rsidRPr="00BC1E8C">
        <w:rPr>
          <w:vertAlign w:val="superscript"/>
        </w:rPr>
        <w:footnoteReference w:id="18"/>
      </w:r>
      <w:bookmarkEnd w:id="220"/>
    </w:p>
    <w:tbl>
      <w:tblPr>
        <w:tblW w:w="5001" w:type="pct"/>
        <w:tblCellMar>
          <w:left w:w="70" w:type="dxa"/>
          <w:right w:w="70" w:type="dxa"/>
        </w:tblCellMar>
        <w:tblLook w:val="04A0" w:firstRow="1" w:lastRow="0" w:firstColumn="1" w:lastColumn="0" w:noHBand="0" w:noVBand="1"/>
      </w:tblPr>
      <w:tblGrid>
        <w:gridCol w:w="1900"/>
        <w:gridCol w:w="770"/>
        <w:gridCol w:w="985"/>
        <w:gridCol w:w="770"/>
        <w:gridCol w:w="985"/>
        <w:gridCol w:w="770"/>
        <w:gridCol w:w="985"/>
        <w:gridCol w:w="770"/>
        <w:gridCol w:w="1127"/>
      </w:tblGrid>
      <w:tr w:rsidR="00664C2C" w:rsidRPr="003D5973" w14:paraId="6F5C316E" w14:textId="77777777" w:rsidTr="001A551D">
        <w:trPr>
          <w:trHeight w:val="300"/>
          <w:tblHeader/>
        </w:trPr>
        <w:tc>
          <w:tcPr>
            <w:tcW w:w="1048" w:type="pct"/>
            <w:vMerge w:val="restart"/>
            <w:tcBorders>
              <w:top w:val="single" w:sz="4" w:space="0" w:color="auto"/>
              <w:left w:val="single" w:sz="4" w:space="0" w:color="auto"/>
              <w:bottom w:val="single" w:sz="4" w:space="0" w:color="000000"/>
              <w:right w:val="nil"/>
            </w:tcBorders>
            <w:shd w:val="clear" w:color="auto" w:fill="auto"/>
            <w:vAlign w:val="center"/>
            <w:hideMark/>
          </w:tcPr>
          <w:p w14:paraId="0813AC87"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 xml:space="preserve">Показатели, </w:t>
            </w:r>
            <w:r w:rsidRPr="003D5973">
              <w:rPr>
                <w:rFonts w:eastAsia="Times New Roman" w:cs="Times New Roman"/>
                <w:b/>
                <w:bCs/>
                <w:sz w:val="16"/>
                <w:szCs w:val="16"/>
              </w:rPr>
              <w:br/>
              <w:t xml:space="preserve">млн. </w:t>
            </w:r>
            <w:r>
              <w:rPr>
                <w:rFonts w:eastAsia="Times New Roman" w:cs="Times New Roman"/>
                <w:b/>
                <w:bCs/>
                <w:sz w:val="16"/>
                <w:szCs w:val="16"/>
              </w:rPr>
              <w:t>евро</w:t>
            </w:r>
          </w:p>
        </w:tc>
        <w:tc>
          <w:tcPr>
            <w:tcW w:w="968" w:type="pct"/>
            <w:gridSpan w:val="2"/>
            <w:tcBorders>
              <w:top w:val="single" w:sz="4" w:space="0" w:color="auto"/>
              <w:left w:val="single" w:sz="4" w:space="0" w:color="auto"/>
              <w:bottom w:val="single" w:sz="4" w:space="0" w:color="595959"/>
              <w:right w:val="single" w:sz="4" w:space="0" w:color="000000"/>
            </w:tcBorders>
            <w:shd w:val="clear" w:color="auto" w:fill="auto"/>
            <w:noWrap/>
            <w:vAlign w:val="bottom"/>
            <w:hideMark/>
          </w:tcPr>
          <w:p w14:paraId="75CE5C5B"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2025</w:t>
            </w:r>
          </w:p>
        </w:tc>
        <w:tc>
          <w:tcPr>
            <w:tcW w:w="968"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08B9FA6F"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2026</w:t>
            </w:r>
          </w:p>
        </w:tc>
        <w:tc>
          <w:tcPr>
            <w:tcW w:w="968"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61C9330A"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2027</w:t>
            </w:r>
          </w:p>
        </w:tc>
        <w:tc>
          <w:tcPr>
            <w:tcW w:w="104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7EB7E1BE"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2028</w:t>
            </w:r>
          </w:p>
        </w:tc>
      </w:tr>
      <w:tr w:rsidR="00664C2C" w:rsidRPr="003D5973" w14:paraId="1FBBC7A3" w14:textId="77777777" w:rsidTr="001A551D">
        <w:trPr>
          <w:trHeight w:val="387"/>
          <w:tblHeader/>
        </w:trPr>
        <w:tc>
          <w:tcPr>
            <w:tcW w:w="1048" w:type="pct"/>
            <w:vMerge/>
            <w:tcBorders>
              <w:top w:val="single" w:sz="4" w:space="0" w:color="auto"/>
              <w:left w:val="single" w:sz="4" w:space="0" w:color="auto"/>
              <w:bottom w:val="single" w:sz="4" w:space="0" w:color="000000"/>
              <w:right w:val="nil"/>
            </w:tcBorders>
            <w:vAlign w:val="center"/>
            <w:hideMark/>
          </w:tcPr>
          <w:p w14:paraId="3EE12918" w14:textId="77777777" w:rsidR="00664C2C" w:rsidRPr="003D5973" w:rsidRDefault="00664C2C" w:rsidP="001A551D">
            <w:pPr>
              <w:spacing w:after="0"/>
              <w:jc w:val="left"/>
              <w:rPr>
                <w:rFonts w:eastAsia="Times New Roman" w:cs="Times New Roman"/>
                <w:b/>
                <w:bCs/>
                <w:sz w:val="16"/>
                <w:szCs w:val="16"/>
              </w:rPr>
            </w:pPr>
          </w:p>
        </w:tc>
        <w:tc>
          <w:tcPr>
            <w:tcW w:w="425" w:type="pct"/>
            <w:tcBorders>
              <w:top w:val="nil"/>
              <w:left w:val="single" w:sz="4" w:space="0" w:color="auto"/>
              <w:bottom w:val="single" w:sz="4" w:space="0" w:color="auto"/>
              <w:right w:val="nil"/>
            </w:tcBorders>
            <w:shd w:val="clear" w:color="auto" w:fill="auto"/>
            <w:hideMark/>
          </w:tcPr>
          <w:p w14:paraId="5EF2595B"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543" w:type="pct"/>
            <w:tcBorders>
              <w:top w:val="nil"/>
              <w:left w:val="nil"/>
              <w:bottom w:val="single" w:sz="4" w:space="0" w:color="auto"/>
              <w:right w:val="single" w:sz="4" w:space="0" w:color="auto"/>
            </w:tcBorders>
            <w:shd w:val="clear" w:color="auto" w:fill="auto"/>
            <w:hideMark/>
          </w:tcPr>
          <w:p w14:paraId="125AD785"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Изменение,</w:t>
            </w:r>
            <w:r w:rsidRPr="003D5973">
              <w:rPr>
                <w:rFonts w:eastAsia="Times New Roman" w:cs="Times New Roman"/>
                <w:b/>
                <w:bCs/>
                <w:sz w:val="16"/>
                <w:szCs w:val="16"/>
              </w:rPr>
              <w:br/>
              <w:t>%</w:t>
            </w:r>
          </w:p>
        </w:tc>
        <w:tc>
          <w:tcPr>
            <w:tcW w:w="425" w:type="pct"/>
            <w:tcBorders>
              <w:top w:val="nil"/>
              <w:left w:val="nil"/>
              <w:bottom w:val="single" w:sz="4" w:space="0" w:color="auto"/>
              <w:right w:val="nil"/>
            </w:tcBorders>
            <w:shd w:val="clear" w:color="auto" w:fill="auto"/>
            <w:hideMark/>
          </w:tcPr>
          <w:p w14:paraId="420ACC87"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543" w:type="pct"/>
            <w:tcBorders>
              <w:top w:val="nil"/>
              <w:left w:val="nil"/>
              <w:bottom w:val="single" w:sz="4" w:space="0" w:color="auto"/>
              <w:right w:val="single" w:sz="4" w:space="0" w:color="auto"/>
            </w:tcBorders>
            <w:shd w:val="clear" w:color="auto" w:fill="auto"/>
            <w:hideMark/>
          </w:tcPr>
          <w:p w14:paraId="33552E43"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Изменение,</w:t>
            </w:r>
          </w:p>
          <w:p w14:paraId="65DC844C"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w:t>
            </w:r>
          </w:p>
        </w:tc>
        <w:tc>
          <w:tcPr>
            <w:tcW w:w="425" w:type="pct"/>
            <w:tcBorders>
              <w:top w:val="nil"/>
              <w:left w:val="nil"/>
              <w:bottom w:val="single" w:sz="4" w:space="0" w:color="auto"/>
              <w:right w:val="nil"/>
            </w:tcBorders>
            <w:shd w:val="clear" w:color="auto" w:fill="auto"/>
            <w:hideMark/>
          </w:tcPr>
          <w:p w14:paraId="57CC4E25"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543" w:type="pct"/>
            <w:tcBorders>
              <w:top w:val="nil"/>
              <w:left w:val="nil"/>
              <w:bottom w:val="single" w:sz="4" w:space="0" w:color="auto"/>
              <w:right w:val="single" w:sz="4" w:space="0" w:color="auto"/>
            </w:tcBorders>
            <w:shd w:val="clear" w:color="auto" w:fill="auto"/>
            <w:hideMark/>
          </w:tcPr>
          <w:p w14:paraId="53DEC8EB"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Изменение,</w:t>
            </w:r>
          </w:p>
          <w:p w14:paraId="24CEB34B"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w:t>
            </w:r>
          </w:p>
        </w:tc>
        <w:tc>
          <w:tcPr>
            <w:tcW w:w="425" w:type="pct"/>
            <w:tcBorders>
              <w:top w:val="nil"/>
              <w:left w:val="nil"/>
              <w:bottom w:val="single" w:sz="4" w:space="0" w:color="auto"/>
              <w:right w:val="nil"/>
            </w:tcBorders>
            <w:shd w:val="clear" w:color="auto" w:fill="auto"/>
            <w:hideMark/>
          </w:tcPr>
          <w:p w14:paraId="28C10882"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Проект</w:t>
            </w:r>
          </w:p>
        </w:tc>
        <w:tc>
          <w:tcPr>
            <w:tcW w:w="622" w:type="pct"/>
            <w:tcBorders>
              <w:top w:val="nil"/>
              <w:left w:val="nil"/>
              <w:bottom w:val="single" w:sz="4" w:space="0" w:color="auto"/>
              <w:right w:val="single" w:sz="4" w:space="0" w:color="auto"/>
            </w:tcBorders>
            <w:shd w:val="clear" w:color="auto" w:fill="auto"/>
            <w:hideMark/>
          </w:tcPr>
          <w:p w14:paraId="107028EA" w14:textId="77777777" w:rsidR="00664C2C"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Изменение,</w:t>
            </w:r>
          </w:p>
          <w:p w14:paraId="39DE49A3" w14:textId="77777777" w:rsidR="00664C2C" w:rsidRPr="003D5973" w:rsidRDefault="00664C2C" w:rsidP="001A551D">
            <w:pPr>
              <w:spacing w:after="0"/>
              <w:jc w:val="center"/>
              <w:rPr>
                <w:rFonts w:eastAsia="Times New Roman" w:cs="Times New Roman"/>
                <w:b/>
                <w:bCs/>
                <w:sz w:val="16"/>
                <w:szCs w:val="16"/>
              </w:rPr>
            </w:pPr>
            <w:r w:rsidRPr="003D5973">
              <w:rPr>
                <w:rFonts w:eastAsia="Times New Roman" w:cs="Times New Roman"/>
                <w:b/>
                <w:bCs/>
                <w:sz w:val="16"/>
                <w:szCs w:val="16"/>
              </w:rPr>
              <w:t>%</w:t>
            </w:r>
          </w:p>
        </w:tc>
      </w:tr>
      <w:tr w:rsidR="003E44E9" w:rsidRPr="003D5973" w14:paraId="3383ABEA" w14:textId="77777777" w:rsidTr="001A551D">
        <w:trPr>
          <w:trHeight w:val="495"/>
        </w:trPr>
        <w:tc>
          <w:tcPr>
            <w:tcW w:w="1048" w:type="pct"/>
            <w:tcBorders>
              <w:top w:val="nil"/>
              <w:left w:val="single" w:sz="4" w:space="0" w:color="auto"/>
              <w:bottom w:val="nil"/>
              <w:right w:val="nil"/>
            </w:tcBorders>
            <w:shd w:val="clear" w:color="auto" w:fill="auto"/>
            <w:hideMark/>
          </w:tcPr>
          <w:p w14:paraId="01E66E64"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 Данъци върху производството и вноса</w:t>
            </w:r>
          </w:p>
        </w:tc>
        <w:tc>
          <w:tcPr>
            <w:tcW w:w="425" w:type="pct"/>
            <w:tcBorders>
              <w:top w:val="nil"/>
              <w:left w:val="single" w:sz="4" w:space="0" w:color="auto"/>
              <w:bottom w:val="nil"/>
              <w:right w:val="nil"/>
            </w:tcBorders>
            <w:shd w:val="clear" w:color="auto" w:fill="auto"/>
            <w:noWrap/>
            <w:vAlign w:val="bottom"/>
          </w:tcPr>
          <w:p w14:paraId="0025B252" w14:textId="77777777" w:rsidR="003E44E9" w:rsidRDefault="003E44E9" w:rsidP="003E44E9">
            <w:pPr>
              <w:jc w:val="right"/>
              <w:rPr>
                <w:sz w:val="18"/>
                <w:szCs w:val="18"/>
              </w:rPr>
            </w:pPr>
            <w:r>
              <w:rPr>
                <w:sz w:val="18"/>
                <w:szCs w:val="18"/>
              </w:rPr>
              <w:t>16 990,3</w:t>
            </w:r>
          </w:p>
        </w:tc>
        <w:tc>
          <w:tcPr>
            <w:tcW w:w="543" w:type="pct"/>
            <w:tcBorders>
              <w:top w:val="nil"/>
              <w:left w:val="nil"/>
              <w:bottom w:val="nil"/>
              <w:right w:val="single" w:sz="4" w:space="0" w:color="auto"/>
            </w:tcBorders>
            <w:shd w:val="clear" w:color="auto" w:fill="auto"/>
            <w:noWrap/>
            <w:vAlign w:val="bottom"/>
          </w:tcPr>
          <w:p w14:paraId="4136ABEA" w14:textId="77777777" w:rsidR="003E44E9" w:rsidRDefault="003E44E9" w:rsidP="003E44E9">
            <w:pPr>
              <w:jc w:val="right"/>
              <w:rPr>
                <w:sz w:val="18"/>
                <w:szCs w:val="18"/>
              </w:rPr>
            </w:pPr>
            <w:r>
              <w:rPr>
                <w:sz w:val="18"/>
                <w:szCs w:val="18"/>
              </w:rPr>
              <w:t>10,7%</w:t>
            </w:r>
          </w:p>
        </w:tc>
        <w:tc>
          <w:tcPr>
            <w:tcW w:w="425" w:type="pct"/>
            <w:tcBorders>
              <w:top w:val="nil"/>
              <w:left w:val="nil"/>
              <w:bottom w:val="nil"/>
              <w:right w:val="nil"/>
            </w:tcBorders>
            <w:shd w:val="clear" w:color="auto" w:fill="auto"/>
            <w:noWrap/>
            <w:vAlign w:val="bottom"/>
          </w:tcPr>
          <w:p w14:paraId="696DFC5A" w14:textId="77777777" w:rsidR="003E44E9" w:rsidRDefault="003E44E9" w:rsidP="003E44E9">
            <w:pPr>
              <w:jc w:val="right"/>
              <w:rPr>
                <w:sz w:val="18"/>
                <w:szCs w:val="18"/>
              </w:rPr>
            </w:pPr>
            <w:r>
              <w:rPr>
                <w:sz w:val="18"/>
                <w:szCs w:val="18"/>
              </w:rPr>
              <w:t>20 603,0</w:t>
            </w:r>
          </w:p>
        </w:tc>
        <w:tc>
          <w:tcPr>
            <w:tcW w:w="543" w:type="pct"/>
            <w:tcBorders>
              <w:top w:val="nil"/>
              <w:left w:val="nil"/>
              <w:bottom w:val="nil"/>
              <w:right w:val="single" w:sz="4" w:space="0" w:color="auto"/>
            </w:tcBorders>
            <w:shd w:val="clear" w:color="auto" w:fill="auto"/>
            <w:noWrap/>
            <w:vAlign w:val="bottom"/>
          </w:tcPr>
          <w:p w14:paraId="3B76FC29" w14:textId="77777777" w:rsidR="003E44E9" w:rsidRDefault="003E44E9" w:rsidP="003E44E9">
            <w:pPr>
              <w:jc w:val="right"/>
              <w:rPr>
                <w:sz w:val="18"/>
                <w:szCs w:val="18"/>
              </w:rPr>
            </w:pPr>
            <w:r>
              <w:rPr>
                <w:sz w:val="18"/>
                <w:szCs w:val="18"/>
              </w:rPr>
              <w:t>21,3%</w:t>
            </w:r>
          </w:p>
        </w:tc>
        <w:tc>
          <w:tcPr>
            <w:tcW w:w="425" w:type="pct"/>
            <w:tcBorders>
              <w:top w:val="nil"/>
              <w:left w:val="nil"/>
              <w:bottom w:val="nil"/>
              <w:right w:val="nil"/>
            </w:tcBorders>
            <w:shd w:val="clear" w:color="auto" w:fill="auto"/>
            <w:noWrap/>
            <w:vAlign w:val="bottom"/>
          </w:tcPr>
          <w:p w14:paraId="5EB48736" w14:textId="77777777" w:rsidR="003E44E9" w:rsidRDefault="003E44E9" w:rsidP="003E44E9">
            <w:pPr>
              <w:jc w:val="right"/>
              <w:rPr>
                <w:sz w:val="18"/>
                <w:szCs w:val="18"/>
              </w:rPr>
            </w:pPr>
            <w:r>
              <w:rPr>
                <w:sz w:val="18"/>
                <w:szCs w:val="18"/>
              </w:rPr>
              <w:t>21 410,2</w:t>
            </w:r>
          </w:p>
        </w:tc>
        <w:tc>
          <w:tcPr>
            <w:tcW w:w="543" w:type="pct"/>
            <w:tcBorders>
              <w:top w:val="nil"/>
              <w:left w:val="nil"/>
              <w:bottom w:val="nil"/>
              <w:right w:val="single" w:sz="4" w:space="0" w:color="auto"/>
            </w:tcBorders>
            <w:shd w:val="clear" w:color="auto" w:fill="auto"/>
            <w:noWrap/>
            <w:vAlign w:val="bottom"/>
          </w:tcPr>
          <w:p w14:paraId="4EB4060C" w14:textId="77777777" w:rsidR="003E44E9" w:rsidRDefault="003E44E9" w:rsidP="003E44E9">
            <w:pPr>
              <w:jc w:val="right"/>
              <w:rPr>
                <w:sz w:val="18"/>
                <w:szCs w:val="18"/>
              </w:rPr>
            </w:pPr>
            <w:r>
              <w:rPr>
                <w:sz w:val="18"/>
                <w:szCs w:val="18"/>
              </w:rPr>
              <w:t>3,9%</w:t>
            </w:r>
          </w:p>
        </w:tc>
        <w:tc>
          <w:tcPr>
            <w:tcW w:w="425" w:type="pct"/>
            <w:tcBorders>
              <w:top w:val="nil"/>
              <w:left w:val="nil"/>
              <w:bottom w:val="nil"/>
              <w:right w:val="nil"/>
            </w:tcBorders>
            <w:shd w:val="clear" w:color="auto" w:fill="auto"/>
            <w:noWrap/>
            <w:vAlign w:val="bottom"/>
          </w:tcPr>
          <w:p w14:paraId="6B58D59F" w14:textId="77777777" w:rsidR="003E44E9" w:rsidRDefault="003E44E9" w:rsidP="003E44E9">
            <w:pPr>
              <w:jc w:val="right"/>
              <w:rPr>
                <w:sz w:val="18"/>
                <w:szCs w:val="18"/>
              </w:rPr>
            </w:pPr>
            <w:r>
              <w:rPr>
                <w:sz w:val="18"/>
                <w:szCs w:val="18"/>
              </w:rPr>
              <w:t>22 424,7</w:t>
            </w:r>
          </w:p>
        </w:tc>
        <w:tc>
          <w:tcPr>
            <w:tcW w:w="622" w:type="pct"/>
            <w:tcBorders>
              <w:top w:val="nil"/>
              <w:left w:val="nil"/>
              <w:bottom w:val="nil"/>
              <w:right w:val="single" w:sz="4" w:space="0" w:color="auto"/>
            </w:tcBorders>
            <w:shd w:val="clear" w:color="auto" w:fill="auto"/>
            <w:noWrap/>
            <w:vAlign w:val="bottom"/>
          </w:tcPr>
          <w:p w14:paraId="4A0817BE" w14:textId="77777777" w:rsidR="003E44E9" w:rsidRDefault="003E44E9" w:rsidP="003E44E9">
            <w:pPr>
              <w:jc w:val="right"/>
              <w:rPr>
                <w:sz w:val="18"/>
                <w:szCs w:val="18"/>
              </w:rPr>
            </w:pPr>
            <w:r>
              <w:rPr>
                <w:sz w:val="18"/>
                <w:szCs w:val="18"/>
              </w:rPr>
              <w:t>4,7%</w:t>
            </w:r>
          </w:p>
        </w:tc>
      </w:tr>
      <w:tr w:rsidR="003E44E9" w:rsidRPr="003D5973" w14:paraId="36AF5753" w14:textId="77777777" w:rsidTr="001A551D">
        <w:trPr>
          <w:trHeight w:val="495"/>
        </w:trPr>
        <w:tc>
          <w:tcPr>
            <w:tcW w:w="1048" w:type="pct"/>
            <w:tcBorders>
              <w:top w:val="nil"/>
              <w:left w:val="single" w:sz="4" w:space="0" w:color="auto"/>
              <w:bottom w:val="nil"/>
              <w:right w:val="nil"/>
            </w:tcBorders>
            <w:shd w:val="clear" w:color="auto" w:fill="auto"/>
            <w:hideMark/>
          </w:tcPr>
          <w:p w14:paraId="5D670C51"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2. Текущи данъци върху доходите, богатството и др.</w:t>
            </w:r>
          </w:p>
        </w:tc>
        <w:tc>
          <w:tcPr>
            <w:tcW w:w="425" w:type="pct"/>
            <w:tcBorders>
              <w:top w:val="nil"/>
              <w:left w:val="single" w:sz="4" w:space="0" w:color="auto"/>
              <w:bottom w:val="nil"/>
              <w:right w:val="nil"/>
            </w:tcBorders>
            <w:shd w:val="clear" w:color="auto" w:fill="auto"/>
            <w:noWrap/>
            <w:vAlign w:val="bottom"/>
          </w:tcPr>
          <w:p w14:paraId="5550773C" w14:textId="77777777" w:rsidR="003E44E9" w:rsidRDefault="003E44E9" w:rsidP="003E44E9">
            <w:pPr>
              <w:jc w:val="right"/>
              <w:rPr>
                <w:sz w:val="18"/>
                <w:szCs w:val="18"/>
              </w:rPr>
            </w:pPr>
            <w:r>
              <w:rPr>
                <w:sz w:val="18"/>
                <w:szCs w:val="18"/>
              </w:rPr>
              <w:t>7 965,2</w:t>
            </w:r>
          </w:p>
        </w:tc>
        <w:tc>
          <w:tcPr>
            <w:tcW w:w="543" w:type="pct"/>
            <w:tcBorders>
              <w:top w:val="nil"/>
              <w:left w:val="nil"/>
              <w:bottom w:val="nil"/>
              <w:right w:val="single" w:sz="4" w:space="0" w:color="auto"/>
            </w:tcBorders>
            <w:shd w:val="clear" w:color="auto" w:fill="auto"/>
            <w:noWrap/>
            <w:vAlign w:val="bottom"/>
          </w:tcPr>
          <w:p w14:paraId="0AFB23A6" w14:textId="77777777" w:rsidR="003E44E9" w:rsidRDefault="003E44E9" w:rsidP="003E44E9">
            <w:pPr>
              <w:jc w:val="right"/>
              <w:rPr>
                <w:sz w:val="18"/>
                <w:szCs w:val="18"/>
              </w:rPr>
            </w:pPr>
            <w:r>
              <w:rPr>
                <w:sz w:val="18"/>
                <w:szCs w:val="18"/>
              </w:rPr>
              <w:t>17,4%</w:t>
            </w:r>
          </w:p>
        </w:tc>
        <w:tc>
          <w:tcPr>
            <w:tcW w:w="425" w:type="pct"/>
            <w:tcBorders>
              <w:top w:val="nil"/>
              <w:left w:val="nil"/>
              <w:bottom w:val="nil"/>
              <w:right w:val="nil"/>
            </w:tcBorders>
            <w:shd w:val="clear" w:color="auto" w:fill="auto"/>
            <w:noWrap/>
            <w:vAlign w:val="bottom"/>
          </w:tcPr>
          <w:p w14:paraId="5F934B87" w14:textId="77777777" w:rsidR="003E44E9" w:rsidRDefault="003E44E9" w:rsidP="003E44E9">
            <w:pPr>
              <w:jc w:val="right"/>
              <w:rPr>
                <w:sz w:val="18"/>
                <w:szCs w:val="18"/>
              </w:rPr>
            </w:pPr>
            <w:r>
              <w:rPr>
                <w:sz w:val="18"/>
                <w:szCs w:val="18"/>
              </w:rPr>
              <w:t>8 804,2</w:t>
            </w:r>
          </w:p>
        </w:tc>
        <w:tc>
          <w:tcPr>
            <w:tcW w:w="543" w:type="pct"/>
            <w:tcBorders>
              <w:top w:val="nil"/>
              <w:left w:val="nil"/>
              <w:bottom w:val="nil"/>
              <w:right w:val="single" w:sz="4" w:space="0" w:color="auto"/>
            </w:tcBorders>
            <w:shd w:val="clear" w:color="auto" w:fill="auto"/>
            <w:noWrap/>
            <w:vAlign w:val="bottom"/>
          </w:tcPr>
          <w:p w14:paraId="30C56B09" w14:textId="77777777" w:rsidR="003E44E9" w:rsidRDefault="003E44E9" w:rsidP="003E44E9">
            <w:pPr>
              <w:jc w:val="right"/>
              <w:rPr>
                <w:sz w:val="18"/>
                <w:szCs w:val="18"/>
              </w:rPr>
            </w:pPr>
            <w:r>
              <w:rPr>
                <w:sz w:val="18"/>
                <w:szCs w:val="18"/>
              </w:rPr>
              <w:t>10,5%</w:t>
            </w:r>
          </w:p>
        </w:tc>
        <w:tc>
          <w:tcPr>
            <w:tcW w:w="425" w:type="pct"/>
            <w:tcBorders>
              <w:top w:val="nil"/>
              <w:left w:val="nil"/>
              <w:bottom w:val="nil"/>
              <w:right w:val="nil"/>
            </w:tcBorders>
            <w:shd w:val="clear" w:color="auto" w:fill="auto"/>
            <w:noWrap/>
            <w:vAlign w:val="bottom"/>
          </w:tcPr>
          <w:p w14:paraId="20A80ED0" w14:textId="77777777" w:rsidR="003E44E9" w:rsidRDefault="003E44E9" w:rsidP="003E44E9">
            <w:pPr>
              <w:jc w:val="right"/>
              <w:rPr>
                <w:sz w:val="18"/>
                <w:szCs w:val="18"/>
              </w:rPr>
            </w:pPr>
            <w:r>
              <w:rPr>
                <w:sz w:val="18"/>
                <w:szCs w:val="18"/>
              </w:rPr>
              <w:t>9 344,8</w:t>
            </w:r>
          </w:p>
        </w:tc>
        <w:tc>
          <w:tcPr>
            <w:tcW w:w="543" w:type="pct"/>
            <w:tcBorders>
              <w:top w:val="nil"/>
              <w:left w:val="nil"/>
              <w:bottom w:val="nil"/>
              <w:right w:val="single" w:sz="4" w:space="0" w:color="auto"/>
            </w:tcBorders>
            <w:shd w:val="clear" w:color="auto" w:fill="auto"/>
            <w:noWrap/>
            <w:vAlign w:val="bottom"/>
          </w:tcPr>
          <w:p w14:paraId="6A4D1388" w14:textId="77777777" w:rsidR="003E44E9" w:rsidRDefault="003E44E9" w:rsidP="003E44E9">
            <w:pPr>
              <w:jc w:val="right"/>
              <w:rPr>
                <w:sz w:val="18"/>
                <w:szCs w:val="18"/>
              </w:rPr>
            </w:pPr>
            <w:r>
              <w:rPr>
                <w:sz w:val="18"/>
                <w:szCs w:val="18"/>
              </w:rPr>
              <w:t>6,1%</w:t>
            </w:r>
          </w:p>
        </w:tc>
        <w:tc>
          <w:tcPr>
            <w:tcW w:w="425" w:type="pct"/>
            <w:tcBorders>
              <w:top w:val="nil"/>
              <w:left w:val="nil"/>
              <w:bottom w:val="nil"/>
              <w:right w:val="nil"/>
            </w:tcBorders>
            <w:shd w:val="clear" w:color="auto" w:fill="auto"/>
            <w:noWrap/>
            <w:vAlign w:val="bottom"/>
          </w:tcPr>
          <w:p w14:paraId="29F33DAC" w14:textId="77777777" w:rsidR="003E44E9" w:rsidRDefault="003E44E9" w:rsidP="003E44E9">
            <w:pPr>
              <w:jc w:val="right"/>
              <w:rPr>
                <w:sz w:val="18"/>
                <w:szCs w:val="18"/>
              </w:rPr>
            </w:pPr>
            <w:r>
              <w:rPr>
                <w:sz w:val="18"/>
                <w:szCs w:val="18"/>
              </w:rPr>
              <w:t>9 912,2</w:t>
            </w:r>
          </w:p>
        </w:tc>
        <w:tc>
          <w:tcPr>
            <w:tcW w:w="622" w:type="pct"/>
            <w:tcBorders>
              <w:top w:val="nil"/>
              <w:left w:val="nil"/>
              <w:bottom w:val="nil"/>
              <w:right w:val="single" w:sz="4" w:space="0" w:color="auto"/>
            </w:tcBorders>
            <w:shd w:val="clear" w:color="auto" w:fill="auto"/>
            <w:noWrap/>
            <w:vAlign w:val="bottom"/>
          </w:tcPr>
          <w:p w14:paraId="7391AD39" w14:textId="77777777" w:rsidR="003E44E9" w:rsidRDefault="003E44E9" w:rsidP="003E44E9">
            <w:pPr>
              <w:jc w:val="right"/>
              <w:rPr>
                <w:sz w:val="18"/>
                <w:szCs w:val="18"/>
              </w:rPr>
            </w:pPr>
            <w:r>
              <w:rPr>
                <w:sz w:val="18"/>
                <w:szCs w:val="18"/>
              </w:rPr>
              <w:t>6,1%</w:t>
            </w:r>
          </w:p>
        </w:tc>
      </w:tr>
      <w:tr w:rsidR="003E44E9" w:rsidRPr="003D5973" w14:paraId="6B8530C0" w14:textId="77777777" w:rsidTr="001A551D">
        <w:trPr>
          <w:trHeight w:val="495"/>
        </w:trPr>
        <w:tc>
          <w:tcPr>
            <w:tcW w:w="1048" w:type="pct"/>
            <w:tcBorders>
              <w:top w:val="nil"/>
              <w:left w:val="single" w:sz="4" w:space="0" w:color="auto"/>
              <w:bottom w:val="nil"/>
              <w:right w:val="nil"/>
            </w:tcBorders>
            <w:shd w:val="clear" w:color="auto" w:fill="auto"/>
            <w:hideMark/>
          </w:tcPr>
          <w:p w14:paraId="7FB5C91D" w14:textId="77777777" w:rsidR="003E44E9" w:rsidRPr="003D5973" w:rsidRDefault="003E44E9" w:rsidP="003E44E9">
            <w:pPr>
              <w:spacing w:after="0"/>
              <w:jc w:val="left"/>
              <w:rPr>
                <w:rFonts w:eastAsia="Times New Roman" w:cs="Times New Roman"/>
                <w:i/>
                <w:iCs/>
                <w:sz w:val="16"/>
                <w:szCs w:val="16"/>
              </w:rPr>
            </w:pPr>
            <w:r w:rsidRPr="003D5973">
              <w:rPr>
                <w:rFonts w:eastAsia="Times New Roman" w:cs="Times New Roman"/>
                <w:i/>
                <w:iCs/>
                <w:sz w:val="16"/>
                <w:szCs w:val="16"/>
              </w:rPr>
              <w:t xml:space="preserve"> 2a. - в т.ч. платени от домакинствата</w:t>
            </w:r>
          </w:p>
        </w:tc>
        <w:tc>
          <w:tcPr>
            <w:tcW w:w="425" w:type="pct"/>
            <w:tcBorders>
              <w:top w:val="nil"/>
              <w:left w:val="single" w:sz="4" w:space="0" w:color="auto"/>
              <w:bottom w:val="nil"/>
              <w:right w:val="nil"/>
            </w:tcBorders>
            <w:shd w:val="clear" w:color="auto" w:fill="auto"/>
            <w:noWrap/>
            <w:vAlign w:val="bottom"/>
          </w:tcPr>
          <w:p w14:paraId="7BF1660D" w14:textId="77777777" w:rsidR="003E44E9" w:rsidRDefault="003E44E9" w:rsidP="003E44E9">
            <w:pPr>
              <w:jc w:val="right"/>
              <w:rPr>
                <w:i/>
                <w:iCs/>
                <w:sz w:val="18"/>
                <w:szCs w:val="18"/>
              </w:rPr>
            </w:pPr>
            <w:r>
              <w:rPr>
                <w:i/>
                <w:iCs/>
                <w:sz w:val="18"/>
                <w:szCs w:val="18"/>
              </w:rPr>
              <w:t>4 648,9</w:t>
            </w:r>
          </w:p>
        </w:tc>
        <w:tc>
          <w:tcPr>
            <w:tcW w:w="543" w:type="pct"/>
            <w:tcBorders>
              <w:top w:val="nil"/>
              <w:left w:val="nil"/>
              <w:bottom w:val="nil"/>
              <w:right w:val="single" w:sz="4" w:space="0" w:color="auto"/>
            </w:tcBorders>
            <w:shd w:val="clear" w:color="auto" w:fill="auto"/>
            <w:noWrap/>
            <w:vAlign w:val="bottom"/>
          </w:tcPr>
          <w:p w14:paraId="76E4FF20" w14:textId="77777777" w:rsidR="003E44E9" w:rsidRDefault="003E44E9" w:rsidP="003E44E9">
            <w:pPr>
              <w:jc w:val="right"/>
              <w:rPr>
                <w:sz w:val="18"/>
                <w:szCs w:val="18"/>
              </w:rPr>
            </w:pPr>
            <w:r>
              <w:rPr>
                <w:sz w:val="18"/>
                <w:szCs w:val="18"/>
              </w:rPr>
              <w:t>21,6%</w:t>
            </w:r>
          </w:p>
        </w:tc>
        <w:tc>
          <w:tcPr>
            <w:tcW w:w="425" w:type="pct"/>
            <w:tcBorders>
              <w:top w:val="nil"/>
              <w:left w:val="nil"/>
              <w:bottom w:val="nil"/>
              <w:right w:val="nil"/>
            </w:tcBorders>
            <w:shd w:val="clear" w:color="auto" w:fill="auto"/>
            <w:noWrap/>
            <w:vAlign w:val="bottom"/>
          </w:tcPr>
          <w:p w14:paraId="4A1C58F3" w14:textId="77777777" w:rsidR="003E44E9" w:rsidRDefault="003E44E9" w:rsidP="003E44E9">
            <w:pPr>
              <w:jc w:val="right"/>
              <w:rPr>
                <w:i/>
                <w:iCs/>
                <w:sz w:val="18"/>
                <w:szCs w:val="18"/>
              </w:rPr>
            </w:pPr>
            <w:r>
              <w:rPr>
                <w:i/>
                <w:iCs/>
                <w:sz w:val="18"/>
                <w:szCs w:val="18"/>
              </w:rPr>
              <w:t>4 933,4</w:t>
            </w:r>
          </w:p>
        </w:tc>
        <w:tc>
          <w:tcPr>
            <w:tcW w:w="543" w:type="pct"/>
            <w:tcBorders>
              <w:top w:val="nil"/>
              <w:left w:val="nil"/>
              <w:bottom w:val="nil"/>
              <w:right w:val="single" w:sz="4" w:space="0" w:color="auto"/>
            </w:tcBorders>
            <w:shd w:val="clear" w:color="auto" w:fill="auto"/>
            <w:noWrap/>
            <w:vAlign w:val="bottom"/>
          </w:tcPr>
          <w:p w14:paraId="3C8D3287" w14:textId="77777777" w:rsidR="003E44E9" w:rsidRDefault="003E44E9" w:rsidP="003E44E9">
            <w:pPr>
              <w:jc w:val="right"/>
              <w:rPr>
                <w:sz w:val="18"/>
                <w:szCs w:val="18"/>
              </w:rPr>
            </w:pPr>
            <w:r>
              <w:rPr>
                <w:sz w:val="18"/>
                <w:szCs w:val="18"/>
              </w:rPr>
              <w:t>6,1%</w:t>
            </w:r>
          </w:p>
        </w:tc>
        <w:tc>
          <w:tcPr>
            <w:tcW w:w="425" w:type="pct"/>
            <w:tcBorders>
              <w:top w:val="nil"/>
              <w:left w:val="nil"/>
              <w:bottom w:val="nil"/>
              <w:right w:val="nil"/>
            </w:tcBorders>
            <w:shd w:val="clear" w:color="auto" w:fill="auto"/>
            <w:noWrap/>
            <w:vAlign w:val="bottom"/>
          </w:tcPr>
          <w:p w14:paraId="0FD82D21" w14:textId="77777777" w:rsidR="003E44E9" w:rsidRDefault="003E44E9" w:rsidP="003E44E9">
            <w:pPr>
              <w:jc w:val="right"/>
              <w:rPr>
                <w:i/>
                <w:iCs/>
                <w:sz w:val="18"/>
                <w:szCs w:val="18"/>
              </w:rPr>
            </w:pPr>
            <w:r>
              <w:rPr>
                <w:i/>
                <w:iCs/>
                <w:sz w:val="18"/>
                <w:szCs w:val="18"/>
              </w:rPr>
              <w:t>5 214,4</w:t>
            </w:r>
          </w:p>
        </w:tc>
        <w:tc>
          <w:tcPr>
            <w:tcW w:w="543" w:type="pct"/>
            <w:tcBorders>
              <w:top w:val="nil"/>
              <w:left w:val="nil"/>
              <w:bottom w:val="nil"/>
              <w:right w:val="single" w:sz="4" w:space="0" w:color="auto"/>
            </w:tcBorders>
            <w:shd w:val="clear" w:color="auto" w:fill="auto"/>
            <w:noWrap/>
            <w:vAlign w:val="bottom"/>
          </w:tcPr>
          <w:p w14:paraId="7347F46C" w14:textId="77777777" w:rsidR="003E44E9" w:rsidRDefault="003E44E9" w:rsidP="003E44E9">
            <w:pPr>
              <w:jc w:val="right"/>
              <w:rPr>
                <w:sz w:val="18"/>
                <w:szCs w:val="18"/>
              </w:rPr>
            </w:pPr>
            <w:r>
              <w:rPr>
                <w:sz w:val="18"/>
                <w:szCs w:val="18"/>
              </w:rPr>
              <w:t>5,7%</w:t>
            </w:r>
          </w:p>
        </w:tc>
        <w:tc>
          <w:tcPr>
            <w:tcW w:w="425" w:type="pct"/>
            <w:tcBorders>
              <w:top w:val="nil"/>
              <w:left w:val="nil"/>
              <w:bottom w:val="nil"/>
              <w:right w:val="nil"/>
            </w:tcBorders>
            <w:shd w:val="clear" w:color="auto" w:fill="auto"/>
            <w:noWrap/>
            <w:vAlign w:val="bottom"/>
          </w:tcPr>
          <w:p w14:paraId="2A78BE3C" w14:textId="77777777" w:rsidR="003E44E9" w:rsidRDefault="003E44E9" w:rsidP="003E44E9">
            <w:pPr>
              <w:jc w:val="right"/>
              <w:rPr>
                <w:i/>
                <w:iCs/>
                <w:sz w:val="18"/>
                <w:szCs w:val="18"/>
              </w:rPr>
            </w:pPr>
            <w:r>
              <w:rPr>
                <w:i/>
                <w:iCs/>
                <w:sz w:val="18"/>
                <w:szCs w:val="18"/>
              </w:rPr>
              <w:t>5 499,0</w:t>
            </w:r>
          </w:p>
        </w:tc>
        <w:tc>
          <w:tcPr>
            <w:tcW w:w="622" w:type="pct"/>
            <w:tcBorders>
              <w:top w:val="nil"/>
              <w:left w:val="nil"/>
              <w:bottom w:val="nil"/>
              <w:right w:val="single" w:sz="4" w:space="0" w:color="auto"/>
            </w:tcBorders>
            <w:shd w:val="clear" w:color="auto" w:fill="auto"/>
            <w:noWrap/>
            <w:vAlign w:val="bottom"/>
          </w:tcPr>
          <w:p w14:paraId="7526C5F5" w14:textId="77777777" w:rsidR="003E44E9" w:rsidRDefault="003E44E9" w:rsidP="003E44E9">
            <w:pPr>
              <w:jc w:val="right"/>
              <w:rPr>
                <w:sz w:val="18"/>
                <w:szCs w:val="18"/>
              </w:rPr>
            </w:pPr>
            <w:r>
              <w:rPr>
                <w:sz w:val="18"/>
                <w:szCs w:val="18"/>
              </w:rPr>
              <w:t>5,5%</w:t>
            </w:r>
          </w:p>
        </w:tc>
      </w:tr>
      <w:tr w:rsidR="003E44E9" w:rsidRPr="003D5973" w14:paraId="004D67B3" w14:textId="77777777" w:rsidTr="001A551D">
        <w:trPr>
          <w:trHeight w:val="300"/>
        </w:trPr>
        <w:tc>
          <w:tcPr>
            <w:tcW w:w="1048" w:type="pct"/>
            <w:tcBorders>
              <w:top w:val="nil"/>
              <w:left w:val="single" w:sz="4" w:space="0" w:color="auto"/>
              <w:bottom w:val="nil"/>
              <w:right w:val="nil"/>
            </w:tcBorders>
            <w:shd w:val="clear" w:color="auto" w:fill="auto"/>
            <w:hideMark/>
          </w:tcPr>
          <w:p w14:paraId="6FAC338D" w14:textId="77777777" w:rsidR="003E44E9" w:rsidRPr="003D5973" w:rsidRDefault="003E44E9" w:rsidP="003E44E9">
            <w:pPr>
              <w:spacing w:after="0"/>
              <w:jc w:val="left"/>
              <w:rPr>
                <w:rFonts w:eastAsia="Times New Roman" w:cs="Times New Roman"/>
                <w:i/>
                <w:iCs/>
                <w:sz w:val="16"/>
                <w:szCs w:val="16"/>
              </w:rPr>
            </w:pPr>
            <w:r w:rsidRPr="003D5973">
              <w:rPr>
                <w:rFonts w:eastAsia="Times New Roman" w:cs="Times New Roman"/>
                <w:i/>
                <w:iCs/>
                <w:sz w:val="16"/>
                <w:szCs w:val="16"/>
              </w:rPr>
              <w:t xml:space="preserve"> 2b. - в т.ч. платени от фирмите</w:t>
            </w:r>
          </w:p>
        </w:tc>
        <w:tc>
          <w:tcPr>
            <w:tcW w:w="425" w:type="pct"/>
            <w:tcBorders>
              <w:top w:val="nil"/>
              <w:left w:val="single" w:sz="4" w:space="0" w:color="auto"/>
              <w:bottom w:val="nil"/>
              <w:right w:val="nil"/>
            </w:tcBorders>
            <w:shd w:val="clear" w:color="auto" w:fill="auto"/>
            <w:noWrap/>
            <w:vAlign w:val="bottom"/>
          </w:tcPr>
          <w:p w14:paraId="3C42A787" w14:textId="77777777" w:rsidR="003E44E9" w:rsidRDefault="003E44E9" w:rsidP="003E44E9">
            <w:pPr>
              <w:jc w:val="right"/>
              <w:rPr>
                <w:i/>
                <w:iCs/>
                <w:sz w:val="18"/>
                <w:szCs w:val="18"/>
              </w:rPr>
            </w:pPr>
            <w:r>
              <w:rPr>
                <w:i/>
                <w:iCs/>
                <w:sz w:val="18"/>
                <w:szCs w:val="18"/>
              </w:rPr>
              <w:t>3 316,3</w:t>
            </w:r>
          </w:p>
        </w:tc>
        <w:tc>
          <w:tcPr>
            <w:tcW w:w="543" w:type="pct"/>
            <w:tcBorders>
              <w:top w:val="nil"/>
              <w:left w:val="nil"/>
              <w:bottom w:val="nil"/>
              <w:right w:val="single" w:sz="4" w:space="0" w:color="auto"/>
            </w:tcBorders>
            <w:shd w:val="clear" w:color="auto" w:fill="auto"/>
            <w:noWrap/>
            <w:vAlign w:val="bottom"/>
          </w:tcPr>
          <w:p w14:paraId="6421B0E5" w14:textId="77777777" w:rsidR="003E44E9" w:rsidRDefault="003E44E9" w:rsidP="003E44E9">
            <w:pPr>
              <w:jc w:val="right"/>
              <w:rPr>
                <w:sz w:val="18"/>
                <w:szCs w:val="18"/>
              </w:rPr>
            </w:pPr>
            <w:r>
              <w:rPr>
                <w:sz w:val="18"/>
                <w:szCs w:val="18"/>
              </w:rPr>
              <w:t>12,1%</w:t>
            </w:r>
          </w:p>
        </w:tc>
        <w:tc>
          <w:tcPr>
            <w:tcW w:w="425" w:type="pct"/>
            <w:tcBorders>
              <w:top w:val="nil"/>
              <w:left w:val="nil"/>
              <w:bottom w:val="nil"/>
              <w:right w:val="nil"/>
            </w:tcBorders>
            <w:shd w:val="clear" w:color="auto" w:fill="auto"/>
            <w:noWrap/>
            <w:vAlign w:val="bottom"/>
          </w:tcPr>
          <w:p w14:paraId="7B8C2CA3" w14:textId="77777777" w:rsidR="003E44E9" w:rsidRDefault="003E44E9" w:rsidP="003E44E9">
            <w:pPr>
              <w:jc w:val="right"/>
              <w:rPr>
                <w:i/>
                <w:iCs/>
                <w:sz w:val="18"/>
                <w:szCs w:val="18"/>
              </w:rPr>
            </w:pPr>
            <w:r>
              <w:rPr>
                <w:i/>
                <w:iCs/>
                <w:sz w:val="18"/>
                <w:szCs w:val="18"/>
              </w:rPr>
              <w:t>3 870,7</w:t>
            </w:r>
          </w:p>
        </w:tc>
        <w:tc>
          <w:tcPr>
            <w:tcW w:w="543" w:type="pct"/>
            <w:tcBorders>
              <w:top w:val="nil"/>
              <w:left w:val="nil"/>
              <w:bottom w:val="nil"/>
              <w:right w:val="single" w:sz="4" w:space="0" w:color="auto"/>
            </w:tcBorders>
            <w:shd w:val="clear" w:color="auto" w:fill="auto"/>
            <w:noWrap/>
            <w:vAlign w:val="bottom"/>
          </w:tcPr>
          <w:p w14:paraId="4B995530" w14:textId="77777777" w:rsidR="003E44E9" w:rsidRDefault="003E44E9" w:rsidP="003E44E9">
            <w:pPr>
              <w:jc w:val="right"/>
              <w:rPr>
                <w:sz w:val="18"/>
                <w:szCs w:val="18"/>
              </w:rPr>
            </w:pPr>
            <w:r>
              <w:rPr>
                <w:sz w:val="18"/>
                <w:szCs w:val="18"/>
              </w:rPr>
              <w:t>16,7%</w:t>
            </w:r>
          </w:p>
        </w:tc>
        <w:tc>
          <w:tcPr>
            <w:tcW w:w="425" w:type="pct"/>
            <w:tcBorders>
              <w:top w:val="nil"/>
              <w:left w:val="nil"/>
              <w:bottom w:val="nil"/>
              <w:right w:val="nil"/>
            </w:tcBorders>
            <w:shd w:val="clear" w:color="auto" w:fill="auto"/>
            <w:noWrap/>
            <w:vAlign w:val="bottom"/>
          </w:tcPr>
          <w:p w14:paraId="5465E289" w14:textId="77777777" w:rsidR="003E44E9" w:rsidRDefault="003E44E9" w:rsidP="003E44E9">
            <w:pPr>
              <w:jc w:val="right"/>
              <w:rPr>
                <w:i/>
                <w:iCs/>
                <w:sz w:val="18"/>
                <w:szCs w:val="18"/>
              </w:rPr>
            </w:pPr>
            <w:r>
              <w:rPr>
                <w:i/>
                <w:iCs/>
                <w:sz w:val="18"/>
                <w:szCs w:val="18"/>
              </w:rPr>
              <w:t>4 130,3</w:t>
            </w:r>
          </w:p>
        </w:tc>
        <w:tc>
          <w:tcPr>
            <w:tcW w:w="543" w:type="pct"/>
            <w:tcBorders>
              <w:top w:val="nil"/>
              <w:left w:val="nil"/>
              <w:bottom w:val="nil"/>
              <w:right w:val="single" w:sz="4" w:space="0" w:color="auto"/>
            </w:tcBorders>
            <w:shd w:val="clear" w:color="auto" w:fill="auto"/>
            <w:noWrap/>
            <w:vAlign w:val="bottom"/>
          </w:tcPr>
          <w:p w14:paraId="63B08246" w14:textId="77777777" w:rsidR="003E44E9" w:rsidRDefault="003E44E9" w:rsidP="003E44E9">
            <w:pPr>
              <w:jc w:val="right"/>
              <w:rPr>
                <w:sz w:val="18"/>
                <w:szCs w:val="18"/>
              </w:rPr>
            </w:pPr>
            <w:r>
              <w:rPr>
                <w:sz w:val="18"/>
                <w:szCs w:val="18"/>
              </w:rPr>
              <w:t>6,7%</w:t>
            </w:r>
          </w:p>
        </w:tc>
        <w:tc>
          <w:tcPr>
            <w:tcW w:w="425" w:type="pct"/>
            <w:tcBorders>
              <w:top w:val="nil"/>
              <w:left w:val="nil"/>
              <w:bottom w:val="nil"/>
              <w:right w:val="nil"/>
            </w:tcBorders>
            <w:shd w:val="clear" w:color="auto" w:fill="auto"/>
            <w:noWrap/>
            <w:vAlign w:val="bottom"/>
          </w:tcPr>
          <w:p w14:paraId="0582B5D6" w14:textId="77777777" w:rsidR="003E44E9" w:rsidRDefault="003E44E9" w:rsidP="003E44E9">
            <w:pPr>
              <w:jc w:val="right"/>
              <w:rPr>
                <w:i/>
                <w:iCs/>
                <w:sz w:val="18"/>
                <w:szCs w:val="18"/>
              </w:rPr>
            </w:pPr>
            <w:r>
              <w:rPr>
                <w:i/>
                <w:iCs/>
                <w:sz w:val="18"/>
                <w:szCs w:val="18"/>
              </w:rPr>
              <w:t>4 413,2</w:t>
            </w:r>
          </w:p>
        </w:tc>
        <w:tc>
          <w:tcPr>
            <w:tcW w:w="622" w:type="pct"/>
            <w:tcBorders>
              <w:top w:val="nil"/>
              <w:left w:val="nil"/>
              <w:bottom w:val="nil"/>
              <w:right w:val="single" w:sz="4" w:space="0" w:color="auto"/>
            </w:tcBorders>
            <w:shd w:val="clear" w:color="auto" w:fill="auto"/>
            <w:noWrap/>
            <w:vAlign w:val="bottom"/>
          </w:tcPr>
          <w:p w14:paraId="028696A2" w14:textId="77777777" w:rsidR="003E44E9" w:rsidRDefault="003E44E9" w:rsidP="003E44E9">
            <w:pPr>
              <w:jc w:val="right"/>
              <w:rPr>
                <w:sz w:val="18"/>
                <w:szCs w:val="18"/>
              </w:rPr>
            </w:pPr>
            <w:r>
              <w:rPr>
                <w:sz w:val="18"/>
                <w:szCs w:val="18"/>
              </w:rPr>
              <w:t>6,8%</w:t>
            </w:r>
          </w:p>
        </w:tc>
      </w:tr>
      <w:tr w:rsidR="003E44E9" w:rsidRPr="003D5973" w14:paraId="7CBE58EA" w14:textId="77777777" w:rsidTr="001A551D">
        <w:trPr>
          <w:trHeight w:val="300"/>
        </w:trPr>
        <w:tc>
          <w:tcPr>
            <w:tcW w:w="1048" w:type="pct"/>
            <w:tcBorders>
              <w:top w:val="nil"/>
              <w:left w:val="single" w:sz="4" w:space="0" w:color="auto"/>
              <w:bottom w:val="nil"/>
              <w:right w:val="nil"/>
            </w:tcBorders>
            <w:shd w:val="clear" w:color="auto" w:fill="auto"/>
            <w:hideMark/>
          </w:tcPr>
          <w:p w14:paraId="348FDCE7"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3. Социално-осигурителни вноски</w:t>
            </w:r>
          </w:p>
        </w:tc>
        <w:tc>
          <w:tcPr>
            <w:tcW w:w="425" w:type="pct"/>
            <w:tcBorders>
              <w:top w:val="nil"/>
              <w:left w:val="single" w:sz="4" w:space="0" w:color="auto"/>
              <w:bottom w:val="nil"/>
              <w:right w:val="nil"/>
            </w:tcBorders>
            <w:shd w:val="clear" w:color="auto" w:fill="auto"/>
            <w:noWrap/>
            <w:vAlign w:val="bottom"/>
          </w:tcPr>
          <w:p w14:paraId="0E1A4E1A" w14:textId="77777777" w:rsidR="003E44E9" w:rsidRDefault="003E44E9" w:rsidP="003E44E9">
            <w:pPr>
              <w:jc w:val="right"/>
              <w:rPr>
                <w:sz w:val="18"/>
                <w:szCs w:val="18"/>
              </w:rPr>
            </w:pPr>
            <w:r>
              <w:rPr>
                <w:sz w:val="18"/>
                <w:szCs w:val="18"/>
              </w:rPr>
              <w:t>10 759,5</w:t>
            </w:r>
          </w:p>
        </w:tc>
        <w:tc>
          <w:tcPr>
            <w:tcW w:w="543" w:type="pct"/>
            <w:tcBorders>
              <w:top w:val="nil"/>
              <w:left w:val="nil"/>
              <w:bottom w:val="nil"/>
              <w:right w:val="single" w:sz="4" w:space="0" w:color="auto"/>
            </w:tcBorders>
            <w:shd w:val="clear" w:color="auto" w:fill="auto"/>
            <w:noWrap/>
            <w:vAlign w:val="bottom"/>
          </w:tcPr>
          <w:p w14:paraId="2232E9E7" w14:textId="77777777" w:rsidR="003E44E9" w:rsidRDefault="003E44E9" w:rsidP="003E44E9">
            <w:pPr>
              <w:jc w:val="right"/>
              <w:rPr>
                <w:sz w:val="18"/>
                <w:szCs w:val="18"/>
              </w:rPr>
            </w:pPr>
            <w:r>
              <w:rPr>
                <w:sz w:val="18"/>
                <w:szCs w:val="18"/>
              </w:rPr>
              <w:t>15,9%</w:t>
            </w:r>
          </w:p>
        </w:tc>
        <w:tc>
          <w:tcPr>
            <w:tcW w:w="425" w:type="pct"/>
            <w:tcBorders>
              <w:top w:val="nil"/>
              <w:left w:val="nil"/>
              <w:bottom w:val="nil"/>
              <w:right w:val="nil"/>
            </w:tcBorders>
            <w:shd w:val="clear" w:color="auto" w:fill="auto"/>
            <w:noWrap/>
            <w:vAlign w:val="bottom"/>
          </w:tcPr>
          <w:p w14:paraId="16440E13" w14:textId="77777777" w:rsidR="003E44E9" w:rsidRDefault="003E44E9" w:rsidP="003E44E9">
            <w:pPr>
              <w:jc w:val="right"/>
              <w:rPr>
                <w:sz w:val="18"/>
                <w:szCs w:val="18"/>
              </w:rPr>
            </w:pPr>
            <w:r>
              <w:rPr>
                <w:sz w:val="18"/>
                <w:szCs w:val="18"/>
              </w:rPr>
              <w:t>11 658,7</w:t>
            </w:r>
          </w:p>
        </w:tc>
        <w:tc>
          <w:tcPr>
            <w:tcW w:w="543" w:type="pct"/>
            <w:tcBorders>
              <w:top w:val="nil"/>
              <w:left w:val="nil"/>
              <w:bottom w:val="nil"/>
              <w:right w:val="single" w:sz="4" w:space="0" w:color="auto"/>
            </w:tcBorders>
            <w:shd w:val="clear" w:color="auto" w:fill="auto"/>
            <w:noWrap/>
            <w:vAlign w:val="bottom"/>
          </w:tcPr>
          <w:p w14:paraId="4BDCA97F" w14:textId="77777777" w:rsidR="003E44E9" w:rsidRDefault="003E44E9" w:rsidP="003E44E9">
            <w:pPr>
              <w:jc w:val="right"/>
              <w:rPr>
                <w:sz w:val="18"/>
                <w:szCs w:val="18"/>
              </w:rPr>
            </w:pPr>
            <w:r>
              <w:rPr>
                <w:sz w:val="18"/>
                <w:szCs w:val="18"/>
              </w:rPr>
              <w:t>8,4%</w:t>
            </w:r>
          </w:p>
        </w:tc>
        <w:tc>
          <w:tcPr>
            <w:tcW w:w="425" w:type="pct"/>
            <w:tcBorders>
              <w:top w:val="nil"/>
              <w:left w:val="nil"/>
              <w:bottom w:val="nil"/>
              <w:right w:val="nil"/>
            </w:tcBorders>
            <w:shd w:val="clear" w:color="auto" w:fill="auto"/>
            <w:noWrap/>
            <w:vAlign w:val="bottom"/>
          </w:tcPr>
          <w:p w14:paraId="6B5F489F" w14:textId="77777777" w:rsidR="003E44E9" w:rsidRDefault="003E44E9" w:rsidP="003E44E9">
            <w:pPr>
              <w:jc w:val="right"/>
              <w:rPr>
                <w:sz w:val="18"/>
                <w:szCs w:val="18"/>
              </w:rPr>
            </w:pPr>
            <w:r>
              <w:rPr>
                <w:sz w:val="18"/>
                <w:szCs w:val="18"/>
              </w:rPr>
              <w:t>12 553,5</w:t>
            </w:r>
          </w:p>
        </w:tc>
        <w:tc>
          <w:tcPr>
            <w:tcW w:w="543" w:type="pct"/>
            <w:tcBorders>
              <w:top w:val="nil"/>
              <w:left w:val="nil"/>
              <w:bottom w:val="nil"/>
              <w:right w:val="single" w:sz="4" w:space="0" w:color="auto"/>
            </w:tcBorders>
            <w:shd w:val="clear" w:color="auto" w:fill="auto"/>
            <w:noWrap/>
            <w:vAlign w:val="bottom"/>
          </w:tcPr>
          <w:p w14:paraId="4171F3A6" w14:textId="77777777" w:rsidR="003E44E9" w:rsidRDefault="003E44E9" w:rsidP="003E44E9">
            <w:pPr>
              <w:jc w:val="right"/>
              <w:rPr>
                <w:sz w:val="18"/>
                <w:szCs w:val="18"/>
              </w:rPr>
            </w:pPr>
            <w:r>
              <w:rPr>
                <w:sz w:val="18"/>
                <w:szCs w:val="18"/>
              </w:rPr>
              <w:t>7,7%</w:t>
            </w:r>
          </w:p>
        </w:tc>
        <w:tc>
          <w:tcPr>
            <w:tcW w:w="425" w:type="pct"/>
            <w:tcBorders>
              <w:top w:val="nil"/>
              <w:left w:val="nil"/>
              <w:bottom w:val="nil"/>
              <w:right w:val="nil"/>
            </w:tcBorders>
            <w:shd w:val="clear" w:color="auto" w:fill="auto"/>
            <w:noWrap/>
            <w:vAlign w:val="bottom"/>
          </w:tcPr>
          <w:p w14:paraId="4B9CF2C2" w14:textId="77777777" w:rsidR="003E44E9" w:rsidRDefault="003E44E9" w:rsidP="003E44E9">
            <w:pPr>
              <w:jc w:val="right"/>
              <w:rPr>
                <w:sz w:val="18"/>
                <w:szCs w:val="18"/>
              </w:rPr>
            </w:pPr>
            <w:r>
              <w:rPr>
                <w:sz w:val="18"/>
                <w:szCs w:val="18"/>
              </w:rPr>
              <w:t>13 735,9</w:t>
            </w:r>
          </w:p>
        </w:tc>
        <w:tc>
          <w:tcPr>
            <w:tcW w:w="622" w:type="pct"/>
            <w:tcBorders>
              <w:top w:val="nil"/>
              <w:left w:val="nil"/>
              <w:bottom w:val="nil"/>
              <w:right w:val="single" w:sz="4" w:space="0" w:color="auto"/>
            </w:tcBorders>
            <w:shd w:val="clear" w:color="auto" w:fill="auto"/>
            <w:noWrap/>
            <w:vAlign w:val="bottom"/>
          </w:tcPr>
          <w:p w14:paraId="5F19D2F1" w14:textId="77777777" w:rsidR="003E44E9" w:rsidRDefault="003E44E9" w:rsidP="003E44E9">
            <w:pPr>
              <w:jc w:val="right"/>
              <w:rPr>
                <w:sz w:val="18"/>
                <w:szCs w:val="18"/>
              </w:rPr>
            </w:pPr>
            <w:r>
              <w:rPr>
                <w:sz w:val="18"/>
                <w:szCs w:val="18"/>
              </w:rPr>
              <w:t>9,4%</w:t>
            </w:r>
          </w:p>
        </w:tc>
      </w:tr>
      <w:tr w:rsidR="003E44E9" w:rsidRPr="003D5973" w14:paraId="031934C9" w14:textId="77777777" w:rsidTr="001A551D">
        <w:trPr>
          <w:trHeight w:val="495"/>
        </w:trPr>
        <w:tc>
          <w:tcPr>
            <w:tcW w:w="1048" w:type="pct"/>
            <w:tcBorders>
              <w:top w:val="nil"/>
              <w:left w:val="single" w:sz="4" w:space="0" w:color="auto"/>
              <w:bottom w:val="nil"/>
              <w:right w:val="nil"/>
            </w:tcBorders>
            <w:shd w:val="clear" w:color="auto" w:fill="auto"/>
            <w:hideMark/>
          </w:tcPr>
          <w:p w14:paraId="2D660265" w14:textId="77777777" w:rsidR="003E44E9" w:rsidRPr="003D5973" w:rsidRDefault="003E44E9" w:rsidP="003E44E9">
            <w:pPr>
              <w:spacing w:after="0"/>
              <w:jc w:val="left"/>
              <w:rPr>
                <w:rFonts w:eastAsia="Times New Roman" w:cs="Times New Roman"/>
                <w:i/>
                <w:iCs/>
                <w:sz w:val="16"/>
                <w:szCs w:val="16"/>
              </w:rPr>
            </w:pPr>
            <w:r w:rsidRPr="003D5973">
              <w:rPr>
                <w:rFonts w:eastAsia="Times New Roman" w:cs="Times New Roman"/>
                <w:i/>
                <w:iCs/>
                <w:sz w:val="16"/>
                <w:szCs w:val="16"/>
              </w:rPr>
              <w:t xml:space="preserve"> 3a. - в т.ч. действително платени вноски</w:t>
            </w:r>
          </w:p>
        </w:tc>
        <w:tc>
          <w:tcPr>
            <w:tcW w:w="425" w:type="pct"/>
            <w:tcBorders>
              <w:top w:val="nil"/>
              <w:left w:val="single" w:sz="4" w:space="0" w:color="auto"/>
              <w:bottom w:val="nil"/>
              <w:right w:val="nil"/>
            </w:tcBorders>
            <w:shd w:val="clear" w:color="auto" w:fill="auto"/>
            <w:noWrap/>
            <w:vAlign w:val="bottom"/>
          </w:tcPr>
          <w:p w14:paraId="3D769A0F" w14:textId="77777777" w:rsidR="003E44E9" w:rsidRDefault="003E44E9" w:rsidP="003E44E9">
            <w:pPr>
              <w:jc w:val="right"/>
              <w:rPr>
                <w:i/>
                <w:iCs/>
                <w:sz w:val="18"/>
                <w:szCs w:val="18"/>
              </w:rPr>
            </w:pPr>
            <w:r>
              <w:rPr>
                <w:i/>
                <w:iCs/>
                <w:sz w:val="18"/>
                <w:szCs w:val="18"/>
              </w:rPr>
              <w:t>10 759,5</w:t>
            </w:r>
          </w:p>
        </w:tc>
        <w:tc>
          <w:tcPr>
            <w:tcW w:w="543" w:type="pct"/>
            <w:tcBorders>
              <w:top w:val="nil"/>
              <w:left w:val="nil"/>
              <w:bottom w:val="nil"/>
              <w:right w:val="single" w:sz="4" w:space="0" w:color="auto"/>
            </w:tcBorders>
            <w:shd w:val="clear" w:color="auto" w:fill="auto"/>
            <w:noWrap/>
            <w:vAlign w:val="bottom"/>
          </w:tcPr>
          <w:p w14:paraId="0A01023A" w14:textId="77777777" w:rsidR="003E44E9" w:rsidRDefault="003E44E9" w:rsidP="003E44E9">
            <w:pPr>
              <w:jc w:val="right"/>
              <w:rPr>
                <w:sz w:val="18"/>
                <w:szCs w:val="18"/>
              </w:rPr>
            </w:pPr>
            <w:r>
              <w:rPr>
                <w:sz w:val="18"/>
                <w:szCs w:val="18"/>
              </w:rPr>
              <w:t>15,9%</w:t>
            </w:r>
          </w:p>
        </w:tc>
        <w:tc>
          <w:tcPr>
            <w:tcW w:w="425" w:type="pct"/>
            <w:tcBorders>
              <w:top w:val="nil"/>
              <w:left w:val="nil"/>
              <w:bottom w:val="nil"/>
              <w:right w:val="nil"/>
            </w:tcBorders>
            <w:shd w:val="clear" w:color="auto" w:fill="auto"/>
            <w:noWrap/>
            <w:vAlign w:val="bottom"/>
          </w:tcPr>
          <w:p w14:paraId="63BF1734" w14:textId="77777777" w:rsidR="003E44E9" w:rsidRDefault="003E44E9" w:rsidP="003E44E9">
            <w:pPr>
              <w:jc w:val="right"/>
              <w:rPr>
                <w:i/>
                <w:iCs/>
                <w:sz w:val="18"/>
                <w:szCs w:val="18"/>
              </w:rPr>
            </w:pPr>
            <w:r>
              <w:rPr>
                <w:i/>
                <w:iCs/>
                <w:sz w:val="18"/>
                <w:szCs w:val="18"/>
              </w:rPr>
              <w:t>11 658,7</w:t>
            </w:r>
          </w:p>
        </w:tc>
        <w:tc>
          <w:tcPr>
            <w:tcW w:w="543" w:type="pct"/>
            <w:tcBorders>
              <w:top w:val="nil"/>
              <w:left w:val="nil"/>
              <w:bottom w:val="nil"/>
              <w:right w:val="single" w:sz="4" w:space="0" w:color="auto"/>
            </w:tcBorders>
            <w:shd w:val="clear" w:color="auto" w:fill="auto"/>
            <w:noWrap/>
            <w:vAlign w:val="bottom"/>
          </w:tcPr>
          <w:p w14:paraId="34E9FF35" w14:textId="77777777" w:rsidR="003E44E9" w:rsidRDefault="003E44E9" w:rsidP="003E44E9">
            <w:pPr>
              <w:jc w:val="right"/>
              <w:rPr>
                <w:sz w:val="18"/>
                <w:szCs w:val="18"/>
              </w:rPr>
            </w:pPr>
            <w:r>
              <w:rPr>
                <w:sz w:val="18"/>
                <w:szCs w:val="18"/>
              </w:rPr>
              <w:t>8,4%</w:t>
            </w:r>
          </w:p>
        </w:tc>
        <w:tc>
          <w:tcPr>
            <w:tcW w:w="425" w:type="pct"/>
            <w:tcBorders>
              <w:top w:val="nil"/>
              <w:left w:val="nil"/>
              <w:bottom w:val="nil"/>
              <w:right w:val="nil"/>
            </w:tcBorders>
            <w:shd w:val="clear" w:color="auto" w:fill="auto"/>
            <w:noWrap/>
            <w:vAlign w:val="bottom"/>
          </w:tcPr>
          <w:p w14:paraId="0FF05B84" w14:textId="77777777" w:rsidR="003E44E9" w:rsidRDefault="003E44E9" w:rsidP="003E44E9">
            <w:pPr>
              <w:jc w:val="right"/>
              <w:rPr>
                <w:i/>
                <w:iCs/>
                <w:sz w:val="18"/>
                <w:szCs w:val="18"/>
              </w:rPr>
            </w:pPr>
            <w:r>
              <w:rPr>
                <w:i/>
                <w:iCs/>
                <w:sz w:val="18"/>
                <w:szCs w:val="18"/>
              </w:rPr>
              <w:t>12 553,5</w:t>
            </w:r>
          </w:p>
        </w:tc>
        <w:tc>
          <w:tcPr>
            <w:tcW w:w="543" w:type="pct"/>
            <w:tcBorders>
              <w:top w:val="nil"/>
              <w:left w:val="nil"/>
              <w:bottom w:val="nil"/>
              <w:right w:val="single" w:sz="4" w:space="0" w:color="auto"/>
            </w:tcBorders>
            <w:shd w:val="clear" w:color="auto" w:fill="auto"/>
            <w:noWrap/>
            <w:vAlign w:val="bottom"/>
          </w:tcPr>
          <w:p w14:paraId="12F38077" w14:textId="77777777" w:rsidR="003E44E9" w:rsidRDefault="003E44E9" w:rsidP="003E44E9">
            <w:pPr>
              <w:jc w:val="right"/>
              <w:rPr>
                <w:sz w:val="18"/>
                <w:szCs w:val="18"/>
              </w:rPr>
            </w:pPr>
            <w:r>
              <w:rPr>
                <w:sz w:val="18"/>
                <w:szCs w:val="18"/>
              </w:rPr>
              <w:t>7,7%</w:t>
            </w:r>
          </w:p>
        </w:tc>
        <w:tc>
          <w:tcPr>
            <w:tcW w:w="425" w:type="pct"/>
            <w:tcBorders>
              <w:top w:val="nil"/>
              <w:left w:val="nil"/>
              <w:bottom w:val="nil"/>
              <w:right w:val="nil"/>
            </w:tcBorders>
            <w:shd w:val="clear" w:color="auto" w:fill="auto"/>
            <w:noWrap/>
            <w:vAlign w:val="bottom"/>
          </w:tcPr>
          <w:p w14:paraId="229420D6" w14:textId="77777777" w:rsidR="003E44E9" w:rsidRDefault="003E44E9" w:rsidP="003E44E9">
            <w:pPr>
              <w:jc w:val="right"/>
              <w:rPr>
                <w:i/>
                <w:iCs/>
                <w:sz w:val="18"/>
                <w:szCs w:val="18"/>
              </w:rPr>
            </w:pPr>
            <w:r>
              <w:rPr>
                <w:i/>
                <w:iCs/>
                <w:sz w:val="18"/>
                <w:szCs w:val="18"/>
              </w:rPr>
              <w:t>13 735,9</w:t>
            </w:r>
          </w:p>
        </w:tc>
        <w:tc>
          <w:tcPr>
            <w:tcW w:w="622" w:type="pct"/>
            <w:tcBorders>
              <w:top w:val="nil"/>
              <w:left w:val="nil"/>
              <w:bottom w:val="nil"/>
              <w:right w:val="single" w:sz="4" w:space="0" w:color="auto"/>
            </w:tcBorders>
            <w:shd w:val="clear" w:color="auto" w:fill="auto"/>
            <w:noWrap/>
            <w:vAlign w:val="bottom"/>
          </w:tcPr>
          <w:p w14:paraId="27BC6FC9" w14:textId="77777777" w:rsidR="003E44E9" w:rsidRDefault="003E44E9" w:rsidP="003E44E9">
            <w:pPr>
              <w:jc w:val="right"/>
              <w:rPr>
                <w:sz w:val="18"/>
                <w:szCs w:val="18"/>
              </w:rPr>
            </w:pPr>
            <w:r>
              <w:rPr>
                <w:sz w:val="18"/>
                <w:szCs w:val="18"/>
              </w:rPr>
              <w:t>9,4%</w:t>
            </w:r>
          </w:p>
        </w:tc>
      </w:tr>
      <w:tr w:rsidR="003E44E9" w:rsidRPr="003D5973" w14:paraId="4DAA8592" w14:textId="77777777" w:rsidTr="001A551D">
        <w:trPr>
          <w:trHeight w:val="495"/>
        </w:trPr>
        <w:tc>
          <w:tcPr>
            <w:tcW w:w="1048" w:type="pct"/>
            <w:tcBorders>
              <w:top w:val="nil"/>
              <w:left w:val="single" w:sz="4" w:space="0" w:color="auto"/>
              <w:bottom w:val="nil"/>
              <w:right w:val="nil"/>
            </w:tcBorders>
            <w:shd w:val="clear" w:color="auto" w:fill="auto"/>
            <w:hideMark/>
          </w:tcPr>
          <w:p w14:paraId="790AB06C"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4. Други приходи, вкл. приходи от продажби</w:t>
            </w:r>
          </w:p>
        </w:tc>
        <w:tc>
          <w:tcPr>
            <w:tcW w:w="425" w:type="pct"/>
            <w:tcBorders>
              <w:top w:val="nil"/>
              <w:left w:val="single" w:sz="4" w:space="0" w:color="auto"/>
              <w:bottom w:val="nil"/>
              <w:right w:val="nil"/>
            </w:tcBorders>
            <w:shd w:val="clear" w:color="auto" w:fill="auto"/>
            <w:noWrap/>
            <w:vAlign w:val="bottom"/>
          </w:tcPr>
          <w:p w14:paraId="2A1F224A" w14:textId="77777777" w:rsidR="003E44E9" w:rsidRDefault="003E44E9" w:rsidP="003E44E9">
            <w:pPr>
              <w:jc w:val="right"/>
              <w:rPr>
                <w:sz w:val="18"/>
                <w:szCs w:val="18"/>
              </w:rPr>
            </w:pPr>
            <w:r>
              <w:rPr>
                <w:sz w:val="18"/>
                <w:szCs w:val="18"/>
              </w:rPr>
              <w:t>5 975,2</w:t>
            </w:r>
          </w:p>
        </w:tc>
        <w:tc>
          <w:tcPr>
            <w:tcW w:w="543" w:type="pct"/>
            <w:tcBorders>
              <w:top w:val="nil"/>
              <w:left w:val="nil"/>
              <w:bottom w:val="nil"/>
              <w:right w:val="single" w:sz="4" w:space="0" w:color="auto"/>
            </w:tcBorders>
            <w:shd w:val="clear" w:color="auto" w:fill="auto"/>
            <w:noWrap/>
            <w:vAlign w:val="bottom"/>
          </w:tcPr>
          <w:p w14:paraId="07732F74" w14:textId="77777777" w:rsidR="003E44E9" w:rsidRDefault="003E44E9" w:rsidP="003E44E9">
            <w:pPr>
              <w:jc w:val="right"/>
              <w:rPr>
                <w:sz w:val="18"/>
                <w:szCs w:val="18"/>
              </w:rPr>
            </w:pPr>
            <w:r>
              <w:rPr>
                <w:sz w:val="18"/>
                <w:szCs w:val="18"/>
              </w:rPr>
              <w:t>36,2%</w:t>
            </w:r>
          </w:p>
        </w:tc>
        <w:tc>
          <w:tcPr>
            <w:tcW w:w="425" w:type="pct"/>
            <w:tcBorders>
              <w:top w:val="nil"/>
              <w:left w:val="nil"/>
              <w:bottom w:val="nil"/>
              <w:right w:val="nil"/>
            </w:tcBorders>
            <w:shd w:val="clear" w:color="auto" w:fill="auto"/>
            <w:noWrap/>
            <w:vAlign w:val="bottom"/>
          </w:tcPr>
          <w:p w14:paraId="68F01BF4" w14:textId="77777777" w:rsidR="003E44E9" w:rsidRDefault="003E44E9" w:rsidP="003E44E9">
            <w:pPr>
              <w:jc w:val="right"/>
              <w:rPr>
                <w:sz w:val="18"/>
                <w:szCs w:val="18"/>
              </w:rPr>
            </w:pPr>
            <w:r>
              <w:rPr>
                <w:sz w:val="18"/>
                <w:szCs w:val="18"/>
              </w:rPr>
              <w:t>6 188,2</w:t>
            </w:r>
          </w:p>
        </w:tc>
        <w:tc>
          <w:tcPr>
            <w:tcW w:w="543" w:type="pct"/>
            <w:tcBorders>
              <w:top w:val="nil"/>
              <w:left w:val="nil"/>
              <w:bottom w:val="nil"/>
              <w:right w:val="single" w:sz="4" w:space="0" w:color="auto"/>
            </w:tcBorders>
            <w:shd w:val="clear" w:color="auto" w:fill="auto"/>
            <w:noWrap/>
            <w:vAlign w:val="bottom"/>
          </w:tcPr>
          <w:p w14:paraId="5E6D3CED" w14:textId="77777777" w:rsidR="003E44E9" w:rsidRDefault="003E44E9" w:rsidP="003E44E9">
            <w:pPr>
              <w:jc w:val="right"/>
              <w:rPr>
                <w:sz w:val="18"/>
                <w:szCs w:val="18"/>
              </w:rPr>
            </w:pPr>
            <w:r>
              <w:rPr>
                <w:sz w:val="18"/>
                <w:szCs w:val="18"/>
              </w:rPr>
              <w:t>3,6%</w:t>
            </w:r>
          </w:p>
        </w:tc>
        <w:tc>
          <w:tcPr>
            <w:tcW w:w="425" w:type="pct"/>
            <w:tcBorders>
              <w:top w:val="nil"/>
              <w:left w:val="nil"/>
              <w:bottom w:val="nil"/>
              <w:right w:val="nil"/>
            </w:tcBorders>
            <w:shd w:val="clear" w:color="auto" w:fill="auto"/>
            <w:noWrap/>
            <w:vAlign w:val="bottom"/>
          </w:tcPr>
          <w:p w14:paraId="1FC72F69" w14:textId="77777777" w:rsidR="003E44E9" w:rsidRDefault="003E44E9" w:rsidP="003E44E9">
            <w:pPr>
              <w:jc w:val="right"/>
              <w:rPr>
                <w:sz w:val="18"/>
                <w:szCs w:val="18"/>
              </w:rPr>
            </w:pPr>
            <w:r>
              <w:rPr>
                <w:sz w:val="18"/>
                <w:szCs w:val="18"/>
              </w:rPr>
              <w:t>6 395,9</w:t>
            </w:r>
          </w:p>
        </w:tc>
        <w:tc>
          <w:tcPr>
            <w:tcW w:w="543" w:type="pct"/>
            <w:tcBorders>
              <w:top w:val="nil"/>
              <w:left w:val="nil"/>
              <w:bottom w:val="nil"/>
              <w:right w:val="single" w:sz="4" w:space="0" w:color="auto"/>
            </w:tcBorders>
            <w:shd w:val="clear" w:color="auto" w:fill="auto"/>
            <w:noWrap/>
            <w:vAlign w:val="bottom"/>
          </w:tcPr>
          <w:p w14:paraId="3772846B" w14:textId="77777777" w:rsidR="003E44E9" w:rsidRDefault="003E44E9" w:rsidP="003E44E9">
            <w:pPr>
              <w:jc w:val="right"/>
              <w:rPr>
                <w:sz w:val="18"/>
                <w:szCs w:val="18"/>
              </w:rPr>
            </w:pPr>
            <w:r>
              <w:rPr>
                <w:sz w:val="18"/>
                <w:szCs w:val="18"/>
              </w:rPr>
              <w:t>3,4%</w:t>
            </w:r>
          </w:p>
        </w:tc>
        <w:tc>
          <w:tcPr>
            <w:tcW w:w="425" w:type="pct"/>
            <w:tcBorders>
              <w:top w:val="nil"/>
              <w:left w:val="nil"/>
              <w:bottom w:val="nil"/>
              <w:right w:val="nil"/>
            </w:tcBorders>
            <w:shd w:val="clear" w:color="auto" w:fill="auto"/>
            <w:noWrap/>
            <w:vAlign w:val="bottom"/>
          </w:tcPr>
          <w:p w14:paraId="3F4EDC55" w14:textId="77777777" w:rsidR="003E44E9" w:rsidRDefault="003E44E9" w:rsidP="003E44E9">
            <w:pPr>
              <w:jc w:val="right"/>
              <w:rPr>
                <w:sz w:val="18"/>
                <w:szCs w:val="18"/>
              </w:rPr>
            </w:pPr>
            <w:r>
              <w:rPr>
                <w:sz w:val="18"/>
                <w:szCs w:val="18"/>
              </w:rPr>
              <w:t>6 425,4</w:t>
            </w:r>
          </w:p>
        </w:tc>
        <w:tc>
          <w:tcPr>
            <w:tcW w:w="622" w:type="pct"/>
            <w:tcBorders>
              <w:top w:val="nil"/>
              <w:left w:val="nil"/>
              <w:bottom w:val="nil"/>
              <w:right w:val="single" w:sz="4" w:space="0" w:color="auto"/>
            </w:tcBorders>
            <w:shd w:val="clear" w:color="auto" w:fill="auto"/>
            <w:noWrap/>
            <w:vAlign w:val="bottom"/>
          </w:tcPr>
          <w:p w14:paraId="4F676C17" w14:textId="77777777" w:rsidR="003E44E9" w:rsidRDefault="003E44E9" w:rsidP="003E44E9">
            <w:pPr>
              <w:jc w:val="right"/>
              <w:rPr>
                <w:sz w:val="18"/>
                <w:szCs w:val="18"/>
              </w:rPr>
            </w:pPr>
            <w:r>
              <w:rPr>
                <w:sz w:val="18"/>
                <w:szCs w:val="18"/>
              </w:rPr>
              <w:t>0,5%</w:t>
            </w:r>
          </w:p>
        </w:tc>
      </w:tr>
      <w:tr w:rsidR="003E44E9" w:rsidRPr="003D5973" w14:paraId="56877221" w14:textId="77777777" w:rsidTr="001A551D">
        <w:trPr>
          <w:trHeight w:val="300"/>
        </w:trPr>
        <w:tc>
          <w:tcPr>
            <w:tcW w:w="1048" w:type="pct"/>
            <w:tcBorders>
              <w:top w:val="nil"/>
              <w:left w:val="single" w:sz="4" w:space="0" w:color="auto"/>
              <w:bottom w:val="nil"/>
              <w:right w:val="nil"/>
            </w:tcBorders>
            <w:shd w:val="clear" w:color="auto" w:fill="auto"/>
            <w:hideMark/>
          </w:tcPr>
          <w:p w14:paraId="21D31C5D"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 xml:space="preserve">5. Общо текущи приходи </w:t>
            </w:r>
          </w:p>
        </w:tc>
        <w:tc>
          <w:tcPr>
            <w:tcW w:w="425" w:type="pct"/>
            <w:tcBorders>
              <w:top w:val="nil"/>
              <w:left w:val="single" w:sz="4" w:space="0" w:color="auto"/>
              <w:bottom w:val="nil"/>
              <w:right w:val="nil"/>
            </w:tcBorders>
            <w:shd w:val="clear" w:color="auto" w:fill="auto"/>
            <w:noWrap/>
            <w:vAlign w:val="bottom"/>
          </w:tcPr>
          <w:p w14:paraId="3AF3EBF6" w14:textId="77777777" w:rsidR="003E44E9" w:rsidRDefault="003E44E9" w:rsidP="003E44E9">
            <w:pPr>
              <w:jc w:val="right"/>
              <w:rPr>
                <w:b/>
                <w:bCs/>
                <w:sz w:val="18"/>
                <w:szCs w:val="18"/>
              </w:rPr>
            </w:pPr>
            <w:r>
              <w:rPr>
                <w:b/>
                <w:bCs/>
                <w:sz w:val="18"/>
                <w:szCs w:val="18"/>
              </w:rPr>
              <w:t>41 690,2</w:t>
            </w:r>
          </w:p>
        </w:tc>
        <w:tc>
          <w:tcPr>
            <w:tcW w:w="543" w:type="pct"/>
            <w:tcBorders>
              <w:top w:val="nil"/>
              <w:left w:val="nil"/>
              <w:bottom w:val="nil"/>
              <w:right w:val="single" w:sz="4" w:space="0" w:color="auto"/>
            </w:tcBorders>
            <w:shd w:val="clear" w:color="auto" w:fill="auto"/>
            <w:noWrap/>
            <w:vAlign w:val="bottom"/>
          </w:tcPr>
          <w:p w14:paraId="3AAFFD7B" w14:textId="77777777" w:rsidR="003E44E9" w:rsidRDefault="003E44E9" w:rsidP="003E44E9">
            <w:pPr>
              <w:jc w:val="right"/>
              <w:rPr>
                <w:b/>
                <w:bCs/>
                <w:sz w:val="18"/>
                <w:szCs w:val="18"/>
              </w:rPr>
            </w:pPr>
            <w:r>
              <w:rPr>
                <w:b/>
                <w:bCs/>
                <w:sz w:val="18"/>
                <w:szCs w:val="18"/>
              </w:rPr>
              <w:t>16,5%</w:t>
            </w:r>
          </w:p>
        </w:tc>
        <w:tc>
          <w:tcPr>
            <w:tcW w:w="425" w:type="pct"/>
            <w:tcBorders>
              <w:top w:val="nil"/>
              <w:left w:val="nil"/>
              <w:bottom w:val="nil"/>
              <w:right w:val="nil"/>
            </w:tcBorders>
            <w:shd w:val="clear" w:color="auto" w:fill="auto"/>
            <w:noWrap/>
            <w:vAlign w:val="bottom"/>
          </w:tcPr>
          <w:p w14:paraId="0C9C2B9B" w14:textId="77777777" w:rsidR="003E44E9" w:rsidRDefault="003E44E9" w:rsidP="003E44E9">
            <w:pPr>
              <w:jc w:val="right"/>
              <w:rPr>
                <w:b/>
                <w:bCs/>
                <w:sz w:val="18"/>
                <w:szCs w:val="18"/>
              </w:rPr>
            </w:pPr>
            <w:r>
              <w:rPr>
                <w:b/>
                <w:bCs/>
                <w:sz w:val="18"/>
                <w:szCs w:val="18"/>
              </w:rPr>
              <w:t>47 254,1</w:t>
            </w:r>
          </w:p>
        </w:tc>
        <w:tc>
          <w:tcPr>
            <w:tcW w:w="543" w:type="pct"/>
            <w:tcBorders>
              <w:top w:val="nil"/>
              <w:left w:val="nil"/>
              <w:bottom w:val="nil"/>
              <w:right w:val="single" w:sz="4" w:space="0" w:color="auto"/>
            </w:tcBorders>
            <w:shd w:val="clear" w:color="auto" w:fill="auto"/>
            <w:noWrap/>
            <w:vAlign w:val="bottom"/>
          </w:tcPr>
          <w:p w14:paraId="5E419D91" w14:textId="77777777" w:rsidR="003E44E9" w:rsidRDefault="003E44E9" w:rsidP="003E44E9">
            <w:pPr>
              <w:jc w:val="right"/>
              <w:rPr>
                <w:b/>
                <w:bCs/>
                <w:sz w:val="18"/>
                <w:szCs w:val="18"/>
              </w:rPr>
            </w:pPr>
            <w:r>
              <w:rPr>
                <w:b/>
                <w:bCs/>
                <w:sz w:val="18"/>
                <w:szCs w:val="18"/>
              </w:rPr>
              <w:t>13,3%</w:t>
            </w:r>
          </w:p>
        </w:tc>
        <w:tc>
          <w:tcPr>
            <w:tcW w:w="425" w:type="pct"/>
            <w:tcBorders>
              <w:top w:val="nil"/>
              <w:left w:val="nil"/>
              <w:bottom w:val="nil"/>
              <w:right w:val="nil"/>
            </w:tcBorders>
            <w:shd w:val="clear" w:color="auto" w:fill="auto"/>
            <w:noWrap/>
            <w:vAlign w:val="bottom"/>
          </w:tcPr>
          <w:p w14:paraId="1646AFBA" w14:textId="77777777" w:rsidR="003E44E9" w:rsidRDefault="003E44E9" w:rsidP="003E44E9">
            <w:pPr>
              <w:jc w:val="right"/>
              <w:rPr>
                <w:b/>
                <w:bCs/>
                <w:sz w:val="18"/>
                <w:szCs w:val="18"/>
              </w:rPr>
            </w:pPr>
            <w:r>
              <w:rPr>
                <w:b/>
                <w:bCs/>
                <w:sz w:val="18"/>
                <w:szCs w:val="18"/>
              </w:rPr>
              <w:t>49 704,2</w:t>
            </w:r>
          </w:p>
        </w:tc>
        <w:tc>
          <w:tcPr>
            <w:tcW w:w="543" w:type="pct"/>
            <w:tcBorders>
              <w:top w:val="nil"/>
              <w:left w:val="nil"/>
              <w:bottom w:val="nil"/>
              <w:right w:val="single" w:sz="4" w:space="0" w:color="auto"/>
            </w:tcBorders>
            <w:shd w:val="clear" w:color="auto" w:fill="auto"/>
            <w:noWrap/>
            <w:vAlign w:val="bottom"/>
          </w:tcPr>
          <w:p w14:paraId="30D02333" w14:textId="77777777" w:rsidR="003E44E9" w:rsidRDefault="003E44E9" w:rsidP="003E44E9">
            <w:pPr>
              <w:jc w:val="right"/>
              <w:rPr>
                <w:b/>
                <w:bCs/>
                <w:sz w:val="18"/>
                <w:szCs w:val="18"/>
              </w:rPr>
            </w:pPr>
            <w:r>
              <w:rPr>
                <w:b/>
                <w:bCs/>
                <w:sz w:val="18"/>
                <w:szCs w:val="18"/>
              </w:rPr>
              <w:t>5,2%</w:t>
            </w:r>
          </w:p>
        </w:tc>
        <w:tc>
          <w:tcPr>
            <w:tcW w:w="425" w:type="pct"/>
            <w:tcBorders>
              <w:top w:val="nil"/>
              <w:left w:val="nil"/>
              <w:bottom w:val="nil"/>
              <w:right w:val="nil"/>
            </w:tcBorders>
            <w:shd w:val="clear" w:color="auto" w:fill="auto"/>
            <w:noWrap/>
            <w:vAlign w:val="bottom"/>
          </w:tcPr>
          <w:p w14:paraId="3BE330F2" w14:textId="77777777" w:rsidR="003E44E9" w:rsidRDefault="003E44E9" w:rsidP="003E44E9">
            <w:pPr>
              <w:jc w:val="right"/>
              <w:rPr>
                <w:b/>
                <w:bCs/>
                <w:sz w:val="18"/>
                <w:szCs w:val="18"/>
              </w:rPr>
            </w:pPr>
            <w:r>
              <w:rPr>
                <w:b/>
                <w:bCs/>
                <w:sz w:val="18"/>
                <w:szCs w:val="18"/>
              </w:rPr>
              <w:t>52 498,1</w:t>
            </w:r>
          </w:p>
        </w:tc>
        <w:tc>
          <w:tcPr>
            <w:tcW w:w="622" w:type="pct"/>
            <w:tcBorders>
              <w:top w:val="nil"/>
              <w:left w:val="nil"/>
              <w:bottom w:val="nil"/>
              <w:right w:val="single" w:sz="4" w:space="0" w:color="auto"/>
            </w:tcBorders>
            <w:shd w:val="clear" w:color="auto" w:fill="auto"/>
            <w:noWrap/>
            <w:vAlign w:val="bottom"/>
          </w:tcPr>
          <w:p w14:paraId="15D99074" w14:textId="77777777" w:rsidR="003E44E9" w:rsidRDefault="003E44E9" w:rsidP="003E44E9">
            <w:pPr>
              <w:jc w:val="right"/>
              <w:rPr>
                <w:b/>
                <w:bCs/>
                <w:sz w:val="18"/>
                <w:szCs w:val="18"/>
              </w:rPr>
            </w:pPr>
            <w:r>
              <w:rPr>
                <w:b/>
                <w:bCs/>
                <w:sz w:val="18"/>
                <w:szCs w:val="18"/>
              </w:rPr>
              <w:t>5,6%</w:t>
            </w:r>
          </w:p>
        </w:tc>
      </w:tr>
      <w:tr w:rsidR="003E44E9" w:rsidRPr="003D5973" w14:paraId="39F002BE" w14:textId="77777777" w:rsidTr="001A551D">
        <w:trPr>
          <w:trHeight w:val="300"/>
        </w:trPr>
        <w:tc>
          <w:tcPr>
            <w:tcW w:w="1048" w:type="pct"/>
            <w:tcBorders>
              <w:top w:val="nil"/>
              <w:left w:val="single" w:sz="4" w:space="0" w:color="auto"/>
              <w:bottom w:val="nil"/>
              <w:right w:val="nil"/>
            </w:tcBorders>
            <w:shd w:val="clear" w:color="auto" w:fill="auto"/>
            <w:hideMark/>
          </w:tcPr>
          <w:p w14:paraId="25323A7A"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6. Компенсация на наетите лица</w:t>
            </w:r>
          </w:p>
        </w:tc>
        <w:tc>
          <w:tcPr>
            <w:tcW w:w="425" w:type="pct"/>
            <w:tcBorders>
              <w:top w:val="nil"/>
              <w:left w:val="single" w:sz="4" w:space="0" w:color="auto"/>
              <w:bottom w:val="nil"/>
              <w:right w:val="nil"/>
            </w:tcBorders>
            <w:shd w:val="clear" w:color="auto" w:fill="auto"/>
            <w:noWrap/>
            <w:vAlign w:val="bottom"/>
          </w:tcPr>
          <w:p w14:paraId="12FA0FAC" w14:textId="77777777" w:rsidR="003E44E9" w:rsidRDefault="003E44E9" w:rsidP="003E44E9">
            <w:pPr>
              <w:jc w:val="right"/>
              <w:rPr>
                <w:sz w:val="18"/>
                <w:szCs w:val="18"/>
              </w:rPr>
            </w:pPr>
            <w:r>
              <w:rPr>
                <w:sz w:val="18"/>
                <w:szCs w:val="18"/>
              </w:rPr>
              <w:t>13 813,3</w:t>
            </w:r>
          </w:p>
        </w:tc>
        <w:tc>
          <w:tcPr>
            <w:tcW w:w="543" w:type="pct"/>
            <w:tcBorders>
              <w:top w:val="nil"/>
              <w:left w:val="nil"/>
              <w:bottom w:val="nil"/>
              <w:right w:val="single" w:sz="4" w:space="0" w:color="auto"/>
            </w:tcBorders>
            <w:shd w:val="clear" w:color="auto" w:fill="auto"/>
            <w:noWrap/>
            <w:vAlign w:val="bottom"/>
          </w:tcPr>
          <w:p w14:paraId="1E37F98D" w14:textId="77777777" w:rsidR="003E44E9" w:rsidRDefault="003E44E9" w:rsidP="003E44E9">
            <w:pPr>
              <w:jc w:val="right"/>
              <w:rPr>
                <w:sz w:val="18"/>
                <w:szCs w:val="18"/>
              </w:rPr>
            </w:pPr>
            <w:r>
              <w:rPr>
                <w:sz w:val="18"/>
                <w:szCs w:val="18"/>
              </w:rPr>
              <w:t>16,3%</w:t>
            </w:r>
          </w:p>
        </w:tc>
        <w:tc>
          <w:tcPr>
            <w:tcW w:w="425" w:type="pct"/>
            <w:tcBorders>
              <w:top w:val="nil"/>
              <w:left w:val="nil"/>
              <w:bottom w:val="nil"/>
              <w:right w:val="nil"/>
            </w:tcBorders>
            <w:shd w:val="clear" w:color="auto" w:fill="auto"/>
            <w:noWrap/>
            <w:vAlign w:val="bottom"/>
          </w:tcPr>
          <w:p w14:paraId="646D554F" w14:textId="77777777" w:rsidR="003E44E9" w:rsidRDefault="003E44E9" w:rsidP="003E44E9">
            <w:pPr>
              <w:jc w:val="right"/>
              <w:rPr>
                <w:sz w:val="18"/>
                <w:szCs w:val="18"/>
              </w:rPr>
            </w:pPr>
            <w:r>
              <w:rPr>
                <w:sz w:val="18"/>
                <w:szCs w:val="18"/>
              </w:rPr>
              <w:t>15 275,3</w:t>
            </w:r>
          </w:p>
        </w:tc>
        <w:tc>
          <w:tcPr>
            <w:tcW w:w="543" w:type="pct"/>
            <w:tcBorders>
              <w:top w:val="nil"/>
              <w:left w:val="nil"/>
              <w:bottom w:val="nil"/>
              <w:right w:val="single" w:sz="4" w:space="0" w:color="auto"/>
            </w:tcBorders>
            <w:shd w:val="clear" w:color="auto" w:fill="auto"/>
            <w:noWrap/>
            <w:vAlign w:val="bottom"/>
          </w:tcPr>
          <w:p w14:paraId="516EB5A7" w14:textId="77777777" w:rsidR="003E44E9" w:rsidRDefault="003E44E9" w:rsidP="003E44E9">
            <w:pPr>
              <w:jc w:val="right"/>
              <w:rPr>
                <w:sz w:val="18"/>
                <w:szCs w:val="18"/>
              </w:rPr>
            </w:pPr>
            <w:r>
              <w:rPr>
                <w:sz w:val="18"/>
                <w:szCs w:val="18"/>
              </w:rPr>
              <w:t>10,6%</w:t>
            </w:r>
          </w:p>
        </w:tc>
        <w:tc>
          <w:tcPr>
            <w:tcW w:w="425" w:type="pct"/>
            <w:tcBorders>
              <w:top w:val="nil"/>
              <w:left w:val="nil"/>
              <w:bottom w:val="nil"/>
              <w:right w:val="nil"/>
            </w:tcBorders>
            <w:shd w:val="clear" w:color="auto" w:fill="auto"/>
            <w:noWrap/>
            <w:vAlign w:val="bottom"/>
          </w:tcPr>
          <w:p w14:paraId="1F3BAE79" w14:textId="77777777" w:rsidR="003E44E9" w:rsidRDefault="003E44E9" w:rsidP="003E44E9">
            <w:pPr>
              <w:jc w:val="right"/>
              <w:rPr>
                <w:sz w:val="18"/>
                <w:szCs w:val="18"/>
              </w:rPr>
            </w:pPr>
            <w:r>
              <w:rPr>
                <w:sz w:val="18"/>
                <w:szCs w:val="18"/>
              </w:rPr>
              <w:t>15 609,8</w:t>
            </w:r>
          </w:p>
        </w:tc>
        <w:tc>
          <w:tcPr>
            <w:tcW w:w="543" w:type="pct"/>
            <w:tcBorders>
              <w:top w:val="nil"/>
              <w:left w:val="nil"/>
              <w:bottom w:val="nil"/>
              <w:right w:val="single" w:sz="4" w:space="0" w:color="auto"/>
            </w:tcBorders>
            <w:shd w:val="clear" w:color="auto" w:fill="auto"/>
            <w:noWrap/>
            <w:vAlign w:val="bottom"/>
          </w:tcPr>
          <w:p w14:paraId="4FA11386" w14:textId="77777777" w:rsidR="003E44E9" w:rsidRDefault="003E44E9" w:rsidP="003E44E9">
            <w:pPr>
              <w:jc w:val="right"/>
              <w:rPr>
                <w:sz w:val="18"/>
                <w:szCs w:val="18"/>
              </w:rPr>
            </w:pPr>
            <w:r>
              <w:rPr>
                <w:sz w:val="18"/>
                <w:szCs w:val="18"/>
              </w:rPr>
              <w:t>2,2%</w:t>
            </w:r>
          </w:p>
        </w:tc>
        <w:tc>
          <w:tcPr>
            <w:tcW w:w="425" w:type="pct"/>
            <w:tcBorders>
              <w:top w:val="nil"/>
              <w:left w:val="nil"/>
              <w:bottom w:val="nil"/>
              <w:right w:val="nil"/>
            </w:tcBorders>
            <w:shd w:val="clear" w:color="auto" w:fill="auto"/>
            <w:noWrap/>
            <w:vAlign w:val="bottom"/>
          </w:tcPr>
          <w:p w14:paraId="7176E507" w14:textId="77777777" w:rsidR="003E44E9" w:rsidRDefault="003E44E9" w:rsidP="003E44E9">
            <w:pPr>
              <w:jc w:val="right"/>
              <w:rPr>
                <w:sz w:val="18"/>
                <w:szCs w:val="18"/>
              </w:rPr>
            </w:pPr>
            <w:r>
              <w:rPr>
                <w:sz w:val="18"/>
                <w:szCs w:val="18"/>
              </w:rPr>
              <w:t>16 000,2</w:t>
            </w:r>
          </w:p>
        </w:tc>
        <w:tc>
          <w:tcPr>
            <w:tcW w:w="622" w:type="pct"/>
            <w:tcBorders>
              <w:top w:val="nil"/>
              <w:left w:val="nil"/>
              <w:bottom w:val="nil"/>
              <w:right w:val="single" w:sz="4" w:space="0" w:color="auto"/>
            </w:tcBorders>
            <w:shd w:val="clear" w:color="auto" w:fill="auto"/>
            <w:noWrap/>
            <w:vAlign w:val="bottom"/>
          </w:tcPr>
          <w:p w14:paraId="793D2637" w14:textId="77777777" w:rsidR="003E44E9" w:rsidRDefault="003E44E9" w:rsidP="003E44E9">
            <w:pPr>
              <w:jc w:val="right"/>
              <w:rPr>
                <w:sz w:val="18"/>
                <w:szCs w:val="18"/>
              </w:rPr>
            </w:pPr>
            <w:r>
              <w:rPr>
                <w:sz w:val="18"/>
                <w:szCs w:val="18"/>
              </w:rPr>
              <w:t>2,5%</w:t>
            </w:r>
          </w:p>
        </w:tc>
      </w:tr>
      <w:tr w:rsidR="003E44E9" w:rsidRPr="003D5973" w14:paraId="2926E4D1" w14:textId="77777777" w:rsidTr="001A551D">
        <w:trPr>
          <w:trHeight w:val="300"/>
        </w:trPr>
        <w:tc>
          <w:tcPr>
            <w:tcW w:w="1048" w:type="pct"/>
            <w:tcBorders>
              <w:top w:val="nil"/>
              <w:left w:val="single" w:sz="4" w:space="0" w:color="auto"/>
              <w:bottom w:val="nil"/>
              <w:right w:val="nil"/>
            </w:tcBorders>
            <w:shd w:val="clear" w:color="auto" w:fill="auto"/>
            <w:hideMark/>
          </w:tcPr>
          <w:p w14:paraId="47A6091E"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7. Междинно потребление</w:t>
            </w:r>
          </w:p>
        </w:tc>
        <w:tc>
          <w:tcPr>
            <w:tcW w:w="425" w:type="pct"/>
            <w:tcBorders>
              <w:top w:val="nil"/>
              <w:left w:val="single" w:sz="4" w:space="0" w:color="auto"/>
              <w:bottom w:val="nil"/>
              <w:right w:val="nil"/>
            </w:tcBorders>
            <w:shd w:val="clear" w:color="auto" w:fill="auto"/>
            <w:noWrap/>
            <w:vAlign w:val="bottom"/>
          </w:tcPr>
          <w:p w14:paraId="47B8926C" w14:textId="77777777" w:rsidR="003E44E9" w:rsidRDefault="003E44E9" w:rsidP="003E44E9">
            <w:pPr>
              <w:jc w:val="right"/>
              <w:rPr>
                <w:sz w:val="18"/>
                <w:szCs w:val="18"/>
              </w:rPr>
            </w:pPr>
            <w:r>
              <w:rPr>
                <w:sz w:val="18"/>
                <w:szCs w:val="18"/>
              </w:rPr>
              <w:t>4 964,5</w:t>
            </w:r>
          </w:p>
        </w:tc>
        <w:tc>
          <w:tcPr>
            <w:tcW w:w="543" w:type="pct"/>
            <w:tcBorders>
              <w:top w:val="nil"/>
              <w:left w:val="nil"/>
              <w:bottom w:val="nil"/>
              <w:right w:val="single" w:sz="4" w:space="0" w:color="auto"/>
            </w:tcBorders>
            <w:shd w:val="clear" w:color="auto" w:fill="auto"/>
            <w:noWrap/>
            <w:vAlign w:val="bottom"/>
          </w:tcPr>
          <w:p w14:paraId="0ED620DD" w14:textId="77777777" w:rsidR="003E44E9" w:rsidRDefault="003E44E9" w:rsidP="003E44E9">
            <w:pPr>
              <w:jc w:val="right"/>
              <w:rPr>
                <w:sz w:val="18"/>
                <w:szCs w:val="18"/>
              </w:rPr>
            </w:pPr>
            <w:r>
              <w:rPr>
                <w:sz w:val="18"/>
                <w:szCs w:val="18"/>
              </w:rPr>
              <w:t>1,9%</w:t>
            </w:r>
          </w:p>
        </w:tc>
        <w:tc>
          <w:tcPr>
            <w:tcW w:w="425" w:type="pct"/>
            <w:tcBorders>
              <w:top w:val="nil"/>
              <w:left w:val="nil"/>
              <w:bottom w:val="nil"/>
              <w:right w:val="nil"/>
            </w:tcBorders>
            <w:shd w:val="clear" w:color="auto" w:fill="auto"/>
            <w:noWrap/>
            <w:vAlign w:val="bottom"/>
          </w:tcPr>
          <w:p w14:paraId="47B779C7" w14:textId="77777777" w:rsidR="003E44E9" w:rsidRDefault="003E44E9" w:rsidP="003E44E9">
            <w:pPr>
              <w:jc w:val="right"/>
              <w:rPr>
                <w:sz w:val="18"/>
                <w:szCs w:val="18"/>
              </w:rPr>
            </w:pPr>
            <w:r>
              <w:rPr>
                <w:sz w:val="18"/>
                <w:szCs w:val="18"/>
              </w:rPr>
              <w:t>5 343,7</w:t>
            </w:r>
          </w:p>
        </w:tc>
        <w:tc>
          <w:tcPr>
            <w:tcW w:w="543" w:type="pct"/>
            <w:tcBorders>
              <w:top w:val="nil"/>
              <w:left w:val="nil"/>
              <w:bottom w:val="nil"/>
              <w:right w:val="single" w:sz="4" w:space="0" w:color="auto"/>
            </w:tcBorders>
            <w:shd w:val="clear" w:color="auto" w:fill="auto"/>
            <w:noWrap/>
            <w:vAlign w:val="bottom"/>
          </w:tcPr>
          <w:p w14:paraId="64C7A9AC" w14:textId="77777777" w:rsidR="003E44E9" w:rsidRDefault="003E44E9" w:rsidP="003E44E9">
            <w:pPr>
              <w:jc w:val="right"/>
              <w:rPr>
                <w:sz w:val="18"/>
                <w:szCs w:val="18"/>
              </w:rPr>
            </w:pPr>
            <w:r>
              <w:rPr>
                <w:sz w:val="18"/>
                <w:szCs w:val="18"/>
              </w:rPr>
              <w:t>7,6%</w:t>
            </w:r>
          </w:p>
        </w:tc>
        <w:tc>
          <w:tcPr>
            <w:tcW w:w="425" w:type="pct"/>
            <w:tcBorders>
              <w:top w:val="nil"/>
              <w:left w:val="nil"/>
              <w:bottom w:val="nil"/>
              <w:right w:val="nil"/>
            </w:tcBorders>
            <w:shd w:val="clear" w:color="auto" w:fill="auto"/>
            <w:noWrap/>
            <w:vAlign w:val="bottom"/>
          </w:tcPr>
          <w:p w14:paraId="5AC51847" w14:textId="77777777" w:rsidR="003E44E9" w:rsidRDefault="003E44E9" w:rsidP="003E44E9">
            <w:pPr>
              <w:jc w:val="right"/>
              <w:rPr>
                <w:sz w:val="18"/>
                <w:szCs w:val="18"/>
              </w:rPr>
            </w:pPr>
            <w:r>
              <w:rPr>
                <w:sz w:val="18"/>
                <w:szCs w:val="18"/>
              </w:rPr>
              <w:t>5 540,7</w:t>
            </w:r>
          </w:p>
        </w:tc>
        <w:tc>
          <w:tcPr>
            <w:tcW w:w="543" w:type="pct"/>
            <w:tcBorders>
              <w:top w:val="nil"/>
              <w:left w:val="nil"/>
              <w:bottom w:val="nil"/>
              <w:right w:val="single" w:sz="4" w:space="0" w:color="auto"/>
            </w:tcBorders>
            <w:shd w:val="clear" w:color="auto" w:fill="auto"/>
            <w:noWrap/>
            <w:vAlign w:val="bottom"/>
          </w:tcPr>
          <w:p w14:paraId="5641521B" w14:textId="77777777" w:rsidR="003E44E9" w:rsidRDefault="003E44E9" w:rsidP="003E44E9">
            <w:pPr>
              <w:jc w:val="right"/>
              <w:rPr>
                <w:sz w:val="18"/>
                <w:szCs w:val="18"/>
              </w:rPr>
            </w:pPr>
            <w:r>
              <w:rPr>
                <w:sz w:val="18"/>
                <w:szCs w:val="18"/>
              </w:rPr>
              <w:t>3,7%</w:t>
            </w:r>
          </w:p>
        </w:tc>
        <w:tc>
          <w:tcPr>
            <w:tcW w:w="425" w:type="pct"/>
            <w:tcBorders>
              <w:top w:val="nil"/>
              <w:left w:val="nil"/>
              <w:bottom w:val="nil"/>
              <w:right w:val="nil"/>
            </w:tcBorders>
            <w:shd w:val="clear" w:color="auto" w:fill="auto"/>
            <w:noWrap/>
            <w:vAlign w:val="bottom"/>
          </w:tcPr>
          <w:p w14:paraId="22F7A862" w14:textId="77777777" w:rsidR="003E44E9" w:rsidRDefault="003E44E9" w:rsidP="003E44E9">
            <w:pPr>
              <w:jc w:val="right"/>
              <w:rPr>
                <w:sz w:val="18"/>
                <w:szCs w:val="18"/>
              </w:rPr>
            </w:pPr>
            <w:r>
              <w:rPr>
                <w:sz w:val="18"/>
                <w:szCs w:val="18"/>
              </w:rPr>
              <w:t>5 281,2</w:t>
            </w:r>
          </w:p>
        </w:tc>
        <w:tc>
          <w:tcPr>
            <w:tcW w:w="622" w:type="pct"/>
            <w:tcBorders>
              <w:top w:val="nil"/>
              <w:left w:val="nil"/>
              <w:bottom w:val="nil"/>
              <w:right w:val="single" w:sz="4" w:space="0" w:color="auto"/>
            </w:tcBorders>
            <w:shd w:val="clear" w:color="auto" w:fill="auto"/>
            <w:noWrap/>
            <w:vAlign w:val="bottom"/>
          </w:tcPr>
          <w:p w14:paraId="12037186" w14:textId="77777777" w:rsidR="003E44E9" w:rsidRDefault="003E44E9" w:rsidP="003E44E9">
            <w:pPr>
              <w:jc w:val="right"/>
              <w:rPr>
                <w:sz w:val="18"/>
                <w:szCs w:val="18"/>
              </w:rPr>
            </w:pPr>
            <w:r>
              <w:rPr>
                <w:sz w:val="18"/>
                <w:szCs w:val="18"/>
              </w:rPr>
              <w:t>-4,7%</w:t>
            </w:r>
          </w:p>
        </w:tc>
      </w:tr>
      <w:tr w:rsidR="003E44E9" w:rsidRPr="003D5973" w14:paraId="42915A87" w14:textId="77777777" w:rsidTr="001A551D">
        <w:trPr>
          <w:trHeight w:val="300"/>
        </w:trPr>
        <w:tc>
          <w:tcPr>
            <w:tcW w:w="1048" w:type="pct"/>
            <w:tcBorders>
              <w:top w:val="nil"/>
              <w:left w:val="single" w:sz="4" w:space="0" w:color="auto"/>
              <w:bottom w:val="nil"/>
              <w:right w:val="nil"/>
            </w:tcBorders>
            <w:shd w:val="clear" w:color="auto" w:fill="auto"/>
            <w:hideMark/>
          </w:tcPr>
          <w:p w14:paraId="5424F62C"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8. Социални трансфери в натура</w:t>
            </w:r>
          </w:p>
        </w:tc>
        <w:tc>
          <w:tcPr>
            <w:tcW w:w="425" w:type="pct"/>
            <w:tcBorders>
              <w:top w:val="nil"/>
              <w:left w:val="single" w:sz="4" w:space="0" w:color="auto"/>
              <w:bottom w:val="nil"/>
              <w:right w:val="nil"/>
            </w:tcBorders>
            <w:shd w:val="clear" w:color="auto" w:fill="auto"/>
            <w:noWrap/>
            <w:vAlign w:val="bottom"/>
          </w:tcPr>
          <w:p w14:paraId="2904E46E" w14:textId="77777777" w:rsidR="003E44E9" w:rsidRDefault="003E44E9" w:rsidP="003E44E9">
            <w:pPr>
              <w:jc w:val="right"/>
              <w:rPr>
                <w:sz w:val="18"/>
                <w:szCs w:val="18"/>
              </w:rPr>
            </w:pPr>
            <w:r>
              <w:rPr>
                <w:sz w:val="18"/>
                <w:szCs w:val="18"/>
              </w:rPr>
              <w:t>3 572,8</w:t>
            </w:r>
          </w:p>
        </w:tc>
        <w:tc>
          <w:tcPr>
            <w:tcW w:w="543" w:type="pct"/>
            <w:tcBorders>
              <w:top w:val="nil"/>
              <w:left w:val="nil"/>
              <w:bottom w:val="nil"/>
              <w:right w:val="single" w:sz="4" w:space="0" w:color="auto"/>
            </w:tcBorders>
            <w:shd w:val="clear" w:color="auto" w:fill="auto"/>
            <w:noWrap/>
            <w:vAlign w:val="bottom"/>
          </w:tcPr>
          <w:p w14:paraId="3BBC1FC3" w14:textId="77777777" w:rsidR="003E44E9" w:rsidRDefault="003E44E9" w:rsidP="003E44E9">
            <w:pPr>
              <w:jc w:val="right"/>
              <w:rPr>
                <w:sz w:val="18"/>
                <w:szCs w:val="18"/>
              </w:rPr>
            </w:pPr>
            <w:r>
              <w:rPr>
                <w:sz w:val="18"/>
                <w:szCs w:val="18"/>
              </w:rPr>
              <w:t>46,5%</w:t>
            </w:r>
          </w:p>
        </w:tc>
        <w:tc>
          <w:tcPr>
            <w:tcW w:w="425" w:type="pct"/>
            <w:tcBorders>
              <w:top w:val="nil"/>
              <w:left w:val="nil"/>
              <w:bottom w:val="nil"/>
              <w:right w:val="nil"/>
            </w:tcBorders>
            <w:shd w:val="clear" w:color="auto" w:fill="auto"/>
            <w:noWrap/>
            <w:vAlign w:val="bottom"/>
          </w:tcPr>
          <w:p w14:paraId="3B1B407A" w14:textId="77777777" w:rsidR="003E44E9" w:rsidRDefault="003E44E9" w:rsidP="003E44E9">
            <w:pPr>
              <w:jc w:val="right"/>
              <w:rPr>
                <w:sz w:val="18"/>
                <w:szCs w:val="18"/>
              </w:rPr>
            </w:pPr>
            <w:r>
              <w:rPr>
                <w:sz w:val="18"/>
                <w:szCs w:val="18"/>
              </w:rPr>
              <w:t>4 047,7</w:t>
            </w:r>
          </w:p>
        </w:tc>
        <w:tc>
          <w:tcPr>
            <w:tcW w:w="543" w:type="pct"/>
            <w:tcBorders>
              <w:top w:val="nil"/>
              <w:left w:val="nil"/>
              <w:bottom w:val="nil"/>
              <w:right w:val="single" w:sz="4" w:space="0" w:color="auto"/>
            </w:tcBorders>
            <w:shd w:val="clear" w:color="auto" w:fill="auto"/>
            <w:noWrap/>
            <w:vAlign w:val="bottom"/>
          </w:tcPr>
          <w:p w14:paraId="1F854A7C" w14:textId="77777777" w:rsidR="003E44E9" w:rsidRDefault="003E44E9" w:rsidP="003E44E9">
            <w:pPr>
              <w:jc w:val="right"/>
              <w:rPr>
                <w:sz w:val="18"/>
                <w:szCs w:val="18"/>
              </w:rPr>
            </w:pPr>
            <w:r>
              <w:rPr>
                <w:sz w:val="18"/>
                <w:szCs w:val="18"/>
              </w:rPr>
              <w:t>13,3%</w:t>
            </w:r>
          </w:p>
        </w:tc>
        <w:tc>
          <w:tcPr>
            <w:tcW w:w="425" w:type="pct"/>
            <w:tcBorders>
              <w:top w:val="nil"/>
              <w:left w:val="nil"/>
              <w:bottom w:val="nil"/>
              <w:right w:val="nil"/>
            </w:tcBorders>
            <w:shd w:val="clear" w:color="auto" w:fill="auto"/>
            <w:noWrap/>
            <w:vAlign w:val="bottom"/>
          </w:tcPr>
          <w:p w14:paraId="5787396F" w14:textId="77777777" w:rsidR="003E44E9" w:rsidRDefault="003E44E9" w:rsidP="003E44E9">
            <w:pPr>
              <w:jc w:val="right"/>
              <w:rPr>
                <w:sz w:val="18"/>
                <w:szCs w:val="18"/>
              </w:rPr>
            </w:pPr>
            <w:r>
              <w:rPr>
                <w:sz w:val="18"/>
                <w:szCs w:val="18"/>
              </w:rPr>
              <w:t>4 282,0</w:t>
            </w:r>
          </w:p>
        </w:tc>
        <w:tc>
          <w:tcPr>
            <w:tcW w:w="543" w:type="pct"/>
            <w:tcBorders>
              <w:top w:val="nil"/>
              <w:left w:val="nil"/>
              <w:bottom w:val="nil"/>
              <w:right w:val="single" w:sz="4" w:space="0" w:color="auto"/>
            </w:tcBorders>
            <w:shd w:val="clear" w:color="auto" w:fill="auto"/>
            <w:noWrap/>
            <w:vAlign w:val="bottom"/>
          </w:tcPr>
          <w:p w14:paraId="79B32E9D" w14:textId="77777777" w:rsidR="003E44E9" w:rsidRDefault="003E44E9" w:rsidP="003E44E9">
            <w:pPr>
              <w:jc w:val="right"/>
              <w:rPr>
                <w:sz w:val="18"/>
                <w:szCs w:val="18"/>
              </w:rPr>
            </w:pPr>
            <w:r>
              <w:rPr>
                <w:sz w:val="18"/>
                <w:szCs w:val="18"/>
              </w:rPr>
              <w:t>5,8%</w:t>
            </w:r>
          </w:p>
        </w:tc>
        <w:tc>
          <w:tcPr>
            <w:tcW w:w="425" w:type="pct"/>
            <w:tcBorders>
              <w:top w:val="nil"/>
              <w:left w:val="nil"/>
              <w:bottom w:val="nil"/>
              <w:right w:val="nil"/>
            </w:tcBorders>
            <w:shd w:val="clear" w:color="auto" w:fill="auto"/>
            <w:noWrap/>
            <w:vAlign w:val="bottom"/>
          </w:tcPr>
          <w:p w14:paraId="6A102E53" w14:textId="77777777" w:rsidR="003E44E9" w:rsidRDefault="003E44E9" w:rsidP="003E44E9">
            <w:pPr>
              <w:jc w:val="right"/>
              <w:rPr>
                <w:sz w:val="18"/>
                <w:szCs w:val="18"/>
              </w:rPr>
            </w:pPr>
            <w:r>
              <w:rPr>
                <w:sz w:val="18"/>
                <w:szCs w:val="18"/>
              </w:rPr>
              <w:t>4 440,2</w:t>
            </w:r>
          </w:p>
        </w:tc>
        <w:tc>
          <w:tcPr>
            <w:tcW w:w="622" w:type="pct"/>
            <w:tcBorders>
              <w:top w:val="nil"/>
              <w:left w:val="nil"/>
              <w:bottom w:val="nil"/>
              <w:right w:val="single" w:sz="4" w:space="0" w:color="auto"/>
            </w:tcBorders>
            <w:shd w:val="clear" w:color="auto" w:fill="auto"/>
            <w:noWrap/>
            <w:vAlign w:val="bottom"/>
          </w:tcPr>
          <w:p w14:paraId="09CE1892" w14:textId="77777777" w:rsidR="003E44E9" w:rsidRDefault="003E44E9" w:rsidP="003E44E9">
            <w:pPr>
              <w:jc w:val="right"/>
              <w:rPr>
                <w:sz w:val="18"/>
                <w:szCs w:val="18"/>
              </w:rPr>
            </w:pPr>
            <w:r>
              <w:rPr>
                <w:sz w:val="18"/>
                <w:szCs w:val="18"/>
              </w:rPr>
              <w:t>3,7%</w:t>
            </w:r>
          </w:p>
        </w:tc>
      </w:tr>
      <w:tr w:rsidR="003E44E9" w:rsidRPr="003D5973" w14:paraId="095FD480" w14:textId="77777777" w:rsidTr="001A551D">
        <w:trPr>
          <w:trHeight w:val="495"/>
        </w:trPr>
        <w:tc>
          <w:tcPr>
            <w:tcW w:w="1048" w:type="pct"/>
            <w:tcBorders>
              <w:top w:val="nil"/>
              <w:left w:val="single" w:sz="4" w:space="0" w:color="auto"/>
              <w:bottom w:val="nil"/>
              <w:right w:val="nil"/>
            </w:tcBorders>
            <w:shd w:val="clear" w:color="auto" w:fill="auto"/>
            <w:hideMark/>
          </w:tcPr>
          <w:p w14:paraId="5D4ABD71"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9. Социални трансфери без тези в натура</w:t>
            </w:r>
          </w:p>
        </w:tc>
        <w:tc>
          <w:tcPr>
            <w:tcW w:w="425" w:type="pct"/>
            <w:tcBorders>
              <w:top w:val="nil"/>
              <w:left w:val="single" w:sz="4" w:space="0" w:color="auto"/>
              <w:bottom w:val="nil"/>
              <w:right w:val="nil"/>
            </w:tcBorders>
            <w:shd w:val="clear" w:color="auto" w:fill="auto"/>
            <w:noWrap/>
            <w:vAlign w:val="bottom"/>
          </w:tcPr>
          <w:p w14:paraId="17526E12" w14:textId="77777777" w:rsidR="003E44E9" w:rsidRDefault="003E44E9" w:rsidP="003E44E9">
            <w:pPr>
              <w:jc w:val="right"/>
              <w:rPr>
                <w:sz w:val="18"/>
                <w:szCs w:val="18"/>
              </w:rPr>
            </w:pPr>
            <w:r>
              <w:rPr>
                <w:sz w:val="18"/>
                <w:szCs w:val="18"/>
              </w:rPr>
              <w:t>15 035,6</w:t>
            </w:r>
          </w:p>
        </w:tc>
        <w:tc>
          <w:tcPr>
            <w:tcW w:w="543" w:type="pct"/>
            <w:tcBorders>
              <w:top w:val="nil"/>
              <w:left w:val="nil"/>
              <w:bottom w:val="nil"/>
              <w:right w:val="single" w:sz="4" w:space="0" w:color="auto"/>
            </w:tcBorders>
            <w:shd w:val="clear" w:color="auto" w:fill="auto"/>
            <w:noWrap/>
            <w:vAlign w:val="bottom"/>
          </w:tcPr>
          <w:p w14:paraId="50557018" w14:textId="77777777" w:rsidR="003E44E9" w:rsidRDefault="003E44E9" w:rsidP="003E44E9">
            <w:pPr>
              <w:jc w:val="right"/>
              <w:rPr>
                <w:sz w:val="18"/>
                <w:szCs w:val="18"/>
              </w:rPr>
            </w:pPr>
            <w:r>
              <w:rPr>
                <w:sz w:val="18"/>
                <w:szCs w:val="18"/>
              </w:rPr>
              <w:t>12,2%</w:t>
            </w:r>
          </w:p>
        </w:tc>
        <w:tc>
          <w:tcPr>
            <w:tcW w:w="425" w:type="pct"/>
            <w:tcBorders>
              <w:top w:val="nil"/>
              <w:left w:val="nil"/>
              <w:bottom w:val="nil"/>
              <w:right w:val="nil"/>
            </w:tcBorders>
            <w:shd w:val="clear" w:color="auto" w:fill="auto"/>
            <w:noWrap/>
            <w:vAlign w:val="bottom"/>
          </w:tcPr>
          <w:p w14:paraId="78BA3476" w14:textId="77777777" w:rsidR="003E44E9" w:rsidRDefault="003E44E9" w:rsidP="003E44E9">
            <w:pPr>
              <w:jc w:val="right"/>
              <w:rPr>
                <w:sz w:val="18"/>
                <w:szCs w:val="18"/>
              </w:rPr>
            </w:pPr>
            <w:r>
              <w:rPr>
                <w:sz w:val="18"/>
                <w:szCs w:val="18"/>
              </w:rPr>
              <w:t>17 124,3</w:t>
            </w:r>
          </w:p>
        </w:tc>
        <w:tc>
          <w:tcPr>
            <w:tcW w:w="543" w:type="pct"/>
            <w:tcBorders>
              <w:top w:val="nil"/>
              <w:left w:val="nil"/>
              <w:bottom w:val="nil"/>
              <w:right w:val="single" w:sz="4" w:space="0" w:color="auto"/>
            </w:tcBorders>
            <w:shd w:val="clear" w:color="auto" w:fill="auto"/>
            <w:noWrap/>
            <w:vAlign w:val="bottom"/>
          </w:tcPr>
          <w:p w14:paraId="1A7B9AB7" w14:textId="77777777" w:rsidR="003E44E9" w:rsidRDefault="003E44E9" w:rsidP="003E44E9">
            <w:pPr>
              <w:jc w:val="right"/>
              <w:rPr>
                <w:sz w:val="18"/>
                <w:szCs w:val="18"/>
              </w:rPr>
            </w:pPr>
            <w:r>
              <w:rPr>
                <w:sz w:val="18"/>
                <w:szCs w:val="18"/>
              </w:rPr>
              <w:t>13,9%</w:t>
            </w:r>
          </w:p>
        </w:tc>
        <w:tc>
          <w:tcPr>
            <w:tcW w:w="425" w:type="pct"/>
            <w:tcBorders>
              <w:top w:val="nil"/>
              <w:left w:val="nil"/>
              <w:bottom w:val="nil"/>
              <w:right w:val="nil"/>
            </w:tcBorders>
            <w:shd w:val="clear" w:color="auto" w:fill="auto"/>
            <w:noWrap/>
            <w:vAlign w:val="bottom"/>
          </w:tcPr>
          <w:p w14:paraId="12EB1E19" w14:textId="77777777" w:rsidR="003E44E9" w:rsidRDefault="003E44E9" w:rsidP="003E44E9">
            <w:pPr>
              <w:jc w:val="right"/>
              <w:rPr>
                <w:sz w:val="18"/>
                <w:szCs w:val="18"/>
              </w:rPr>
            </w:pPr>
            <w:r>
              <w:rPr>
                <w:sz w:val="18"/>
                <w:szCs w:val="18"/>
              </w:rPr>
              <w:t>18 253,7</w:t>
            </w:r>
          </w:p>
        </w:tc>
        <w:tc>
          <w:tcPr>
            <w:tcW w:w="543" w:type="pct"/>
            <w:tcBorders>
              <w:top w:val="nil"/>
              <w:left w:val="nil"/>
              <w:bottom w:val="nil"/>
              <w:right w:val="single" w:sz="4" w:space="0" w:color="auto"/>
            </w:tcBorders>
            <w:shd w:val="clear" w:color="auto" w:fill="auto"/>
            <w:noWrap/>
            <w:vAlign w:val="bottom"/>
          </w:tcPr>
          <w:p w14:paraId="60EE60B9" w14:textId="77777777" w:rsidR="003E44E9" w:rsidRDefault="003E44E9" w:rsidP="003E44E9">
            <w:pPr>
              <w:jc w:val="right"/>
              <w:rPr>
                <w:sz w:val="18"/>
                <w:szCs w:val="18"/>
              </w:rPr>
            </w:pPr>
            <w:r>
              <w:rPr>
                <w:sz w:val="18"/>
                <w:szCs w:val="18"/>
              </w:rPr>
              <w:t>6,6%</w:t>
            </w:r>
          </w:p>
        </w:tc>
        <w:tc>
          <w:tcPr>
            <w:tcW w:w="425" w:type="pct"/>
            <w:tcBorders>
              <w:top w:val="nil"/>
              <w:left w:val="nil"/>
              <w:bottom w:val="nil"/>
              <w:right w:val="nil"/>
            </w:tcBorders>
            <w:shd w:val="clear" w:color="auto" w:fill="auto"/>
            <w:noWrap/>
            <w:vAlign w:val="bottom"/>
          </w:tcPr>
          <w:p w14:paraId="34018987" w14:textId="77777777" w:rsidR="003E44E9" w:rsidRDefault="003E44E9" w:rsidP="003E44E9">
            <w:pPr>
              <w:jc w:val="right"/>
              <w:rPr>
                <w:sz w:val="18"/>
                <w:szCs w:val="18"/>
              </w:rPr>
            </w:pPr>
            <w:r>
              <w:rPr>
                <w:sz w:val="18"/>
                <w:szCs w:val="18"/>
              </w:rPr>
              <w:t>19 195,3</w:t>
            </w:r>
          </w:p>
        </w:tc>
        <w:tc>
          <w:tcPr>
            <w:tcW w:w="622" w:type="pct"/>
            <w:tcBorders>
              <w:top w:val="nil"/>
              <w:left w:val="nil"/>
              <w:bottom w:val="nil"/>
              <w:right w:val="single" w:sz="4" w:space="0" w:color="auto"/>
            </w:tcBorders>
            <w:shd w:val="clear" w:color="auto" w:fill="auto"/>
            <w:noWrap/>
            <w:vAlign w:val="bottom"/>
          </w:tcPr>
          <w:p w14:paraId="3A05BE3C" w14:textId="77777777" w:rsidR="003E44E9" w:rsidRDefault="003E44E9" w:rsidP="003E44E9">
            <w:pPr>
              <w:jc w:val="right"/>
              <w:rPr>
                <w:sz w:val="18"/>
                <w:szCs w:val="18"/>
              </w:rPr>
            </w:pPr>
            <w:r>
              <w:rPr>
                <w:sz w:val="18"/>
                <w:szCs w:val="18"/>
              </w:rPr>
              <w:t>5,2%</w:t>
            </w:r>
          </w:p>
        </w:tc>
      </w:tr>
      <w:tr w:rsidR="003E44E9" w:rsidRPr="003D5973" w14:paraId="2A5E0032" w14:textId="77777777" w:rsidTr="001A551D">
        <w:trPr>
          <w:trHeight w:val="300"/>
        </w:trPr>
        <w:tc>
          <w:tcPr>
            <w:tcW w:w="1048" w:type="pct"/>
            <w:tcBorders>
              <w:top w:val="nil"/>
              <w:left w:val="single" w:sz="4" w:space="0" w:color="auto"/>
              <w:bottom w:val="nil"/>
              <w:right w:val="nil"/>
            </w:tcBorders>
            <w:shd w:val="clear" w:color="auto" w:fill="auto"/>
            <w:hideMark/>
          </w:tcPr>
          <w:p w14:paraId="3C67D7AA"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10. Лихвени разходи</w:t>
            </w:r>
          </w:p>
        </w:tc>
        <w:tc>
          <w:tcPr>
            <w:tcW w:w="425" w:type="pct"/>
            <w:tcBorders>
              <w:top w:val="nil"/>
              <w:left w:val="single" w:sz="4" w:space="0" w:color="auto"/>
              <w:bottom w:val="nil"/>
              <w:right w:val="nil"/>
            </w:tcBorders>
            <w:shd w:val="clear" w:color="auto" w:fill="auto"/>
            <w:noWrap/>
            <w:vAlign w:val="bottom"/>
          </w:tcPr>
          <w:p w14:paraId="76C97231" w14:textId="77777777" w:rsidR="003E44E9" w:rsidRDefault="003E44E9" w:rsidP="003E44E9">
            <w:pPr>
              <w:jc w:val="right"/>
              <w:rPr>
                <w:sz w:val="18"/>
                <w:szCs w:val="18"/>
              </w:rPr>
            </w:pPr>
            <w:r>
              <w:rPr>
                <w:sz w:val="18"/>
                <w:szCs w:val="18"/>
              </w:rPr>
              <w:t>970,8</w:t>
            </w:r>
          </w:p>
        </w:tc>
        <w:tc>
          <w:tcPr>
            <w:tcW w:w="543" w:type="pct"/>
            <w:tcBorders>
              <w:top w:val="nil"/>
              <w:left w:val="nil"/>
              <w:bottom w:val="nil"/>
              <w:right w:val="single" w:sz="4" w:space="0" w:color="auto"/>
            </w:tcBorders>
            <w:shd w:val="clear" w:color="auto" w:fill="auto"/>
            <w:noWrap/>
            <w:vAlign w:val="bottom"/>
          </w:tcPr>
          <w:p w14:paraId="292EAF0C" w14:textId="77777777" w:rsidR="003E44E9" w:rsidRDefault="003E44E9" w:rsidP="003E44E9">
            <w:pPr>
              <w:jc w:val="right"/>
              <w:rPr>
                <w:sz w:val="18"/>
                <w:szCs w:val="18"/>
              </w:rPr>
            </w:pPr>
            <w:r>
              <w:rPr>
                <w:sz w:val="18"/>
                <w:szCs w:val="18"/>
              </w:rPr>
              <w:t>79,2%</w:t>
            </w:r>
          </w:p>
        </w:tc>
        <w:tc>
          <w:tcPr>
            <w:tcW w:w="425" w:type="pct"/>
            <w:tcBorders>
              <w:top w:val="nil"/>
              <w:left w:val="nil"/>
              <w:bottom w:val="nil"/>
              <w:right w:val="nil"/>
            </w:tcBorders>
            <w:shd w:val="clear" w:color="auto" w:fill="auto"/>
            <w:noWrap/>
            <w:vAlign w:val="bottom"/>
          </w:tcPr>
          <w:p w14:paraId="7EFE32E7" w14:textId="77777777" w:rsidR="003E44E9" w:rsidRDefault="003E44E9" w:rsidP="003E44E9">
            <w:pPr>
              <w:jc w:val="right"/>
              <w:rPr>
                <w:sz w:val="18"/>
                <w:szCs w:val="18"/>
              </w:rPr>
            </w:pPr>
            <w:r>
              <w:rPr>
                <w:sz w:val="18"/>
                <w:szCs w:val="18"/>
              </w:rPr>
              <w:t>1 259,5</w:t>
            </w:r>
          </w:p>
        </w:tc>
        <w:tc>
          <w:tcPr>
            <w:tcW w:w="543" w:type="pct"/>
            <w:tcBorders>
              <w:top w:val="nil"/>
              <w:left w:val="nil"/>
              <w:bottom w:val="nil"/>
              <w:right w:val="single" w:sz="4" w:space="0" w:color="auto"/>
            </w:tcBorders>
            <w:shd w:val="clear" w:color="auto" w:fill="auto"/>
            <w:noWrap/>
            <w:vAlign w:val="bottom"/>
          </w:tcPr>
          <w:p w14:paraId="78F3B60F" w14:textId="77777777" w:rsidR="003E44E9" w:rsidRDefault="003E44E9" w:rsidP="003E44E9">
            <w:pPr>
              <w:jc w:val="right"/>
              <w:rPr>
                <w:sz w:val="18"/>
                <w:szCs w:val="18"/>
              </w:rPr>
            </w:pPr>
            <w:r>
              <w:rPr>
                <w:sz w:val="18"/>
                <w:szCs w:val="18"/>
              </w:rPr>
              <w:t>29,7%</w:t>
            </w:r>
          </w:p>
        </w:tc>
        <w:tc>
          <w:tcPr>
            <w:tcW w:w="425" w:type="pct"/>
            <w:tcBorders>
              <w:top w:val="nil"/>
              <w:left w:val="nil"/>
              <w:bottom w:val="nil"/>
              <w:right w:val="nil"/>
            </w:tcBorders>
            <w:shd w:val="clear" w:color="auto" w:fill="auto"/>
            <w:noWrap/>
            <w:vAlign w:val="bottom"/>
          </w:tcPr>
          <w:p w14:paraId="389C5E40" w14:textId="77777777" w:rsidR="003E44E9" w:rsidRDefault="003E44E9" w:rsidP="003E44E9">
            <w:pPr>
              <w:jc w:val="right"/>
              <w:rPr>
                <w:sz w:val="18"/>
                <w:szCs w:val="18"/>
              </w:rPr>
            </w:pPr>
            <w:r>
              <w:rPr>
                <w:sz w:val="18"/>
                <w:szCs w:val="18"/>
              </w:rPr>
              <w:t>1 565,8</w:t>
            </w:r>
          </w:p>
        </w:tc>
        <w:tc>
          <w:tcPr>
            <w:tcW w:w="543" w:type="pct"/>
            <w:tcBorders>
              <w:top w:val="nil"/>
              <w:left w:val="nil"/>
              <w:bottom w:val="nil"/>
              <w:right w:val="single" w:sz="4" w:space="0" w:color="auto"/>
            </w:tcBorders>
            <w:shd w:val="clear" w:color="auto" w:fill="auto"/>
            <w:noWrap/>
            <w:vAlign w:val="bottom"/>
          </w:tcPr>
          <w:p w14:paraId="61D8A061" w14:textId="77777777" w:rsidR="003E44E9" w:rsidRDefault="003E44E9" w:rsidP="003E44E9">
            <w:pPr>
              <w:jc w:val="right"/>
              <w:rPr>
                <w:sz w:val="18"/>
                <w:szCs w:val="18"/>
              </w:rPr>
            </w:pPr>
            <w:r>
              <w:rPr>
                <w:sz w:val="18"/>
                <w:szCs w:val="18"/>
              </w:rPr>
              <w:t>24,3%</w:t>
            </w:r>
          </w:p>
        </w:tc>
        <w:tc>
          <w:tcPr>
            <w:tcW w:w="425" w:type="pct"/>
            <w:tcBorders>
              <w:top w:val="nil"/>
              <w:left w:val="nil"/>
              <w:bottom w:val="nil"/>
              <w:right w:val="nil"/>
            </w:tcBorders>
            <w:shd w:val="clear" w:color="auto" w:fill="auto"/>
            <w:noWrap/>
            <w:vAlign w:val="bottom"/>
          </w:tcPr>
          <w:p w14:paraId="4E8D8EFE" w14:textId="77777777" w:rsidR="003E44E9" w:rsidRDefault="003E44E9" w:rsidP="003E44E9">
            <w:pPr>
              <w:jc w:val="right"/>
              <w:rPr>
                <w:sz w:val="18"/>
                <w:szCs w:val="18"/>
              </w:rPr>
            </w:pPr>
            <w:r>
              <w:rPr>
                <w:sz w:val="18"/>
                <w:szCs w:val="18"/>
              </w:rPr>
              <w:t>1 850,3</w:t>
            </w:r>
          </w:p>
        </w:tc>
        <w:tc>
          <w:tcPr>
            <w:tcW w:w="622" w:type="pct"/>
            <w:tcBorders>
              <w:top w:val="nil"/>
              <w:left w:val="nil"/>
              <w:bottom w:val="nil"/>
              <w:right w:val="single" w:sz="4" w:space="0" w:color="auto"/>
            </w:tcBorders>
            <w:shd w:val="clear" w:color="auto" w:fill="auto"/>
            <w:noWrap/>
            <w:vAlign w:val="bottom"/>
          </w:tcPr>
          <w:p w14:paraId="27B37360" w14:textId="77777777" w:rsidR="003E44E9" w:rsidRDefault="003E44E9" w:rsidP="003E44E9">
            <w:pPr>
              <w:jc w:val="right"/>
              <w:rPr>
                <w:sz w:val="18"/>
                <w:szCs w:val="18"/>
              </w:rPr>
            </w:pPr>
            <w:r>
              <w:rPr>
                <w:sz w:val="18"/>
                <w:szCs w:val="18"/>
              </w:rPr>
              <w:t>18,2%</w:t>
            </w:r>
          </w:p>
        </w:tc>
      </w:tr>
      <w:tr w:rsidR="003E44E9" w:rsidRPr="003D5973" w14:paraId="64138887" w14:textId="77777777" w:rsidTr="001A551D">
        <w:trPr>
          <w:trHeight w:val="300"/>
        </w:trPr>
        <w:tc>
          <w:tcPr>
            <w:tcW w:w="1048" w:type="pct"/>
            <w:tcBorders>
              <w:top w:val="nil"/>
              <w:left w:val="single" w:sz="4" w:space="0" w:color="auto"/>
              <w:bottom w:val="nil"/>
              <w:right w:val="nil"/>
            </w:tcBorders>
            <w:shd w:val="clear" w:color="auto" w:fill="auto"/>
            <w:hideMark/>
          </w:tcPr>
          <w:p w14:paraId="733A3B3A"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11. Субсидии</w:t>
            </w:r>
          </w:p>
        </w:tc>
        <w:tc>
          <w:tcPr>
            <w:tcW w:w="425" w:type="pct"/>
            <w:tcBorders>
              <w:top w:val="nil"/>
              <w:left w:val="single" w:sz="4" w:space="0" w:color="auto"/>
              <w:bottom w:val="nil"/>
              <w:right w:val="nil"/>
            </w:tcBorders>
            <w:shd w:val="clear" w:color="auto" w:fill="auto"/>
            <w:noWrap/>
            <w:vAlign w:val="bottom"/>
          </w:tcPr>
          <w:p w14:paraId="1BFF21B3" w14:textId="77777777" w:rsidR="003E44E9" w:rsidRDefault="003E44E9" w:rsidP="003E44E9">
            <w:pPr>
              <w:jc w:val="right"/>
              <w:rPr>
                <w:sz w:val="18"/>
                <w:szCs w:val="18"/>
              </w:rPr>
            </w:pPr>
            <w:r>
              <w:rPr>
                <w:sz w:val="18"/>
                <w:szCs w:val="18"/>
              </w:rPr>
              <w:t>2 084,7</w:t>
            </w:r>
          </w:p>
        </w:tc>
        <w:tc>
          <w:tcPr>
            <w:tcW w:w="543" w:type="pct"/>
            <w:tcBorders>
              <w:top w:val="nil"/>
              <w:left w:val="nil"/>
              <w:bottom w:val="nil"/>
              <w:right w:val="single" w:sz="4" w:space="0" w:color="auto"/>
            </w:tcBorders>
            <w:shd w:val="clear" w:color="auto" w:fill="auto"/>
            <w:noWrap/>
            <w:vAlign w:val="bottom"/>
          </w:tcPr>
          <w:p w14:paraId="25BC8CCC" w14:textId="77777777" w:rsidR="003E44E9" w:rsidRDefault="003E44E9" w:rsidP="003E44E9">
            <w:pPr>
              <w:jc w:val="right"/>
              <w:rPr>
                <w:sz w:val="18"/>
                <w:szCs w:val="18"/>
              </w:rPr>
            </w:pPr>
            <w:r>
              <w:rPr>
                <w:sz w:val="18"/>
                <w:szCs w:val="18"/>
              </w:rPr>
              <w:t>-9,8%</w:t>
            </w:r>
          </w:p>
        </w:tc>
        <w:tc>
          <w:tcPr>
            <w:tcW w:w="425" w:type="pct"/>
            <w:tcBorders>
              <w:top w:val="nil"/>
              <w:left w:val="nil"/>
              <w:bottom w:val="nil"/>
              <w:right w:val="nil"/>
            </w:tcBorders>
            <w:shd w:val="clear" w:color="auto" w:fill="auto"/>
            <w:noWrap/>
            <w:vAlign w:val="bottom"/>
          </w:tcPr>
          <w:p w14:paraId="4D722D80" w14:textId="77777777" w:rsidR="003E44E9" w:rsidRDefault="003E44E9" w:rsidP="003E44E9">
            <w:pPr>
              <w:jc w:val="right"/>
              <w:rPr>
                <w:sz w:val="18"/>
                <w:szCs w:val="18"/>
              </w:rPr>
            </w:pPr>
            <w:r>
              <w:rPr>
                <w:sz w:val="18"/>
                <w:szCs w:val="18"/>
              </w:rPr>
              <w:t>2 377,3</w:t>
            </w:r>
          </w:p>
        </w:tc>
        <w:tc>
          <w:tcPr>
            <w:tcW w:w="543" w:type="pct"/>
            <w:tcBorders>
              <w:top w:val="nil"/>
              <w:left w:val="nil"/>
              <w:bottom w:val="nil"/>
              <w:right w:val="single" w:sz="4" w:space="0" w:color="auto"/>
            </w:tcBorders>
            <w:shd w:val="clear" w:color="auto" w:fill="auto"/>
            <w:noWrap/>
            <w:vAlign w:val="bottom"/>
          </w:tcPr>
          <w:p w14:paraId="3048549A" w14:textId="77777777" w:rsidR="003E44E9" w:rsidRDefault="003E44E9" w:rsidP="003E44E9">
            <w:pPr>
              <w:jc w:val="right"/>
              <w:rPr>
                <w:sz w:val="18"/>
                <w:szCs w:val="18"/>
              </w:rPr>
            </w:pPr>
            <w:r>
              <w:rPr>
                <w:sz w:val="18"/>
                <w:szCs w:val="18"/>
              </w:rPr>
              <w:t>14,0%</w:t>
            </w:r>
          </w:p>
        </w:tc>
        <w:tc>
          <w:tcPr>
            <w:tcW w:w="425" w:type="pct"/>
            <w:tcBorders>
              <w:top w:val="nil"/>
              <w:left w:val="nil"/>
              <w:bottom w:val="nil"/>
              <w:right w:val="nil"/>
            </w:tcBorders>
            <w:shd w:val="clear" w:color="auto" w:fill="auto"/>
            <w:noWrap/>
            <w:vAlign w:val="bottom"/>
          </w:tcPr>
          <w:p w14:paraId="61E26E43" w14:textId="77777777" w:rsidR="003E44E9" w:rsidRDefault="003E44E9" w:rsidP="003E44E9">
            <w:pPr>
              <w:jc w:val="right"/>
              <w:rPr>
                <w:sz w:val="18"/>
                <w:szCs w:val="18"/>
              </w:rPr>
            </w:pPr>
            <w:r>
              <w:rPr>
                <w:sz w:val="18"/>
                <w:szCs w:val="18"/>
              </w:rPr>
              <w:t>1 985,9</w:t>
            </w:r>
          </w:p>
        </w:tc>
        <w:tc>
          <w:tcPr>
            <w:tcW w:w="543" w:type="pct"/>
            <w:tcBorders>
              <w:top w:val="nil"/>
              <w:left w:val="nil"/>
              <w:bottom w:val="nil"/>
              <w:right w:val="single" w:sz="4" w:space="0" w:color="auto"/>
            </w:tcBorders>
            <w:shd w:val="clear" w:color="auto" w:fill="auto"/>
            <w:noWrap/>
            <w:vAlign w:val="bottom"/>
          </w:tcPr>
          <w:p w14:paraId="46ACE3C5" w14:textId="77777777" w:rsidR="003E44E9" w:rsidRDefault="003E44E9" w:rsidP="003E44E9">
            <w:pPr>
              <w:jc w:val="right"/>
              <w:rPr>
                <w:sz w:val="18"/>
                <w:szCs w:val="18"/>
              </w:rPr>
            </w:pPr>
            <w:r>
              <w:rPr>
                <w:sz w:val="18"/>
                <w:szCs w:val="18"/>
              </w:rPr>
              <w:t>-16,5%</w:t>
            </w:r>
          </w:p>
        </w:tc>
        <w:tc>
          <w:tcPr>
            <w:tcW w:w="425" w:type="pct"/>
            <w:tcBorders>
              <w:top w:val="nil"/>
              <w:left w:val="nil"/>
              <w:bottom w:val="nil"/>
              <w:right w:val="nil"/>
            </w:tcBorders>
            <w:shd w:val="clear" w:color="auto" w:fill="auto"/>
            <w:noWrap/>
            <w:vAlign w:val="bottom"/>
          </w:tcPr>
          <w:p w14:paraId="71AAD7D4" w14:textId="77777777" w:rsidR="003E44E9" w:rsidRDefault="003E44E9" w:rsidP="003E44E9">
            <w:pPr>
              <w:jc w:val="right"/>
              <w:rPr>
                <w:sz w:val="18"/>
                <w:szCs w:val="18"/>
              </w:rPr>
            </w:pPr>
            <w:r>
              <w:rPr>
                <w:sz w:val="18"/>
                <w:szCs w:val="18"/>
              </w:rPr>
              <w:t>1 951,6</w:t>
            </w:r>
          </w:p>
        </w:tc>
        <w:tc>
          <w:tcPr>
            <w:tcW w:w="622" w:type="pct"/>
            <w:tcBorders>
              <w:top w:val="nil"/>
              <w:left w:val="nil"/>
              <w:bottom w:val="nil"/>
              <w:right w:val="single" w:sz="4" w:space="0" w:color="auto"/>
            </w:tcBorders>
            <w:shd w:val="clear" w:color="auto" w:fill="auto"/>
            <w:noWrap/>
            <w:vAlign w:val="bottom"/>
          </w:tcPr>
          <w:p w14:paraId="4226C2FF" w14:textId="77777777" w:rsidR="003E44E9" w:rsidRDefault="003E44E9" w:rsidP="003E44E9">
            <w:pPr>
              <w:jc w:val="right"/>
              <w:rPr>
                <w:sz w:val="18"/>
                <w:szCs w:val="18"/>
              </w:rPr>
            </w:pPr>
            <w:r>
              <w:rPr>
                <w:sz w:val="18"/>
                <w:szCs w:val="18"/>
              </w:rPr>
              <w:t>-1,7%</w:t>
            </w:r>
          </w:p>
        </w:tc>
      </w:tr>
      <w:tr w:rsidR="003E44E9" w:rsidRPr="003D5973" w14:paraId="59B726C9" w14:textId="77777777" w:rsidTr="001A551D">
        <w:trPr>
          <w:trHeight w:val="300"/>
        </w:trPr>
        <w:tc>
          <w:tcPr>
            <w:tcW w:w="1048" w:type="pct"/>
            <w:tcBorders>
              <w:top w:val="nil"/>
              <w:left w:val="single" w:sz="4" w:space="0" w:color="auto"/>
              <w:bottom w:val="nil"/>
              <w:right w:val="nil"/>
            </w:tcBorders>
            <w:shd w:val="clear" w:color="auto" w:fill="auto"/>
            <w:hideMark/>
          </w:tcPr>
          <w:p w14:paraId="5C697F5A"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12. Други текущи плащания</w:t>
            </w:r>
          </w:p>
        </w:tc>
        <w:tc>
          <w:tcPr>
            <w:tcW w:w="425" w:type="pct"/>
            <w:tcBorders>
              <w:top w:val="nil"/>
              <w:left w:val="single" w:sz="4" w:space="0" w:color="auto"/>
              <w:bottom w:val="nil"/>
              <w:right w:val="nil"/>
            </w:tcBorders>
            <w:shd w:val="clear" w:color="auto" w:fill="auto"/>
            <w:noWrap/>
            <w:vAlign w:val="bottom"/>
          </w:tcPr>
          <w:p w14:paraId="56479781" w14:textId="77777777" w:rsidR="003E44E9" w:rsidRDefault="003E44E9" w:rsidP="003E44E9">
            <w:pPr>
              <w:jc w:val="right"/>
              <w:rPr>
                <w:sz w:val="18"/>
                <w:szCs w:val="18"/>
              </w:rPr>
            </w:pPr>
            <w:r>
              <w:rPr>
                <w:sz w:val="18"/>
                <w:szCs w:val="18"/>
              </w:rPr>
              <w:t>1 467,2</w:t>
            </w:r>
          </w:p>
        </w:tc>
        <w:tc>
          <w:tcPr>
            <w:tcW w:w="543" w:type="pct"/>
            <w:tcBorders>
              <w:top w:val="nil"/>
              <w:left w:val="nil"/>
              <w:bottom w:val="nil"/>
              <w:right w:val="single" w:sz="4" w:space="0" w:color="auto"/>
            </w:tcBorders>
            <w:shd w:val="clear" w:color="auto" w:fill="auto"/>
            <w:noWrap/>
            <w:vAlign w:val="bottom"/>
          </w:tcPr>
          <w:p w14:paraId="138C1AB7" w14:textId="77777777" w:rsidR="003E44E9" w:rsidRDefault="003E44E9" w:rsidP="003E44E9">
            <w:pPr>
              <w:jc w:val="right"/>
              <w:rPr>
                <w:sz w:val="18"/>
                <w:szCs w:val="18"/>
              </w:rPr>
            </w:pPr>
            <w:r>
              <w:rPr>
                <w:sz w:val="18"/>
                <w:szCs w:val="18"/>
              </w:rPr>
              <w:t>9,9%</w:t>
            </w:r>
          </w:p>
        </w:tc>
        <w:tc>
          <w:tcPr>
            <w:tcW w:w="425" w:type="pct"/>
            <w:tcBorders>
              <w:top w:val="nil"/>
              <w:left w:val="nil"/>
              <w:bottom w:val="nil"/>
              <w:right w:val="nil"/>
            </w:tcBorders>
            <w:shd w:val="clear" w:color="auto" w:fill="auto"/>
            <w:noWrap/>
            <w:vAlign w:val="bottom"/>
          </w:tcPr>
          <w:p w14:paraId="00E992B6" w14:textId="77777777" w:rsidR="003E44E9" w:rsidRDefault="003E44E9" w:rsidP="003E44E9">
            <w:pPr>
              <w:jc w:val="right"/>
              <w:rPr>
                <w:sz w:val="18"/>
                <w:szCs w:val="18"/>
              </w:rPr>
            </w:pPr>
            <w:r>
              <w:rPr>
                <w:sz w:val="18"/>
                <w:szCs w:val="18"/>
              </w:rPr>
              <w:t>1 940,4</w:t>
            </w:r>
          </w:p>
        </w:tc>
        <w:tc>
          <w:tcPr>
            <w:tcW w:w="543" w:type="pct"/>
            <w:tcBorders>
              <w:top w:val="nil"/>
              <w:left w:val="nil"/>
              <w:bottom w:val="nil"/>
              <w:right w:val="single" w:sz="4" w:space="0" w:color="auto"/>
            </w:tcBorders>
            <w:shd w:val="clear" w:color="auto" w:fill="auto"/>
            <w:noWrap/>
            <w:vAlign w:val="bottom"/>
          </w:tcPr>
          <w:p w14:paraId="1BADF463" w14:textId="77777777" w:rsidR="003E44E9" w:rsidRDefault="003E44E9" w:rsidP="003E44E9">
            <w:pPr>
              <w:jc w:val="right"/>
              <w:rPr>
                <w:sz w:val="18"/>
                <w:szCs w:val="18"/>
              </w:rPr>
            </w:pPr>
            <w:r>
              <w:rPr>
                <w:sz w:val="18"/>
                <w:szCs w:val="18"/>
              </w:rPr>
              <w:t>32,3%</w:t>
            </w:r>
          </w:p>
        </w:tc>
        <w:tc>
          <w:tcPr>
            <w:tcW w:w="425" w:type="pct"/>
            <w:tcBorders>
              <w:top w:val="nil"/>
              <w:left w:val="nil"/>
              <w:bottom w:val="nil"/>
              <w:right w:val="nil"/>
            </w:tcBorders>
            <w:shd w:val="clear" w:color="auto" w:fill="auto"/>
            <w:noWrap/>
            <w:vAlign w:val="bottom"/>
          </w:tcPr>
          <w:p w14:paraId="7B852A24" w14:textId="77777777" w:rsidR="003E44E9" w:rsidRDefault="003E44E9" w:rsidP="003E44E9">
            <w:pPr>
              <w:jc w:val="right"/>
              <w:rPr>
                <w:sz w:val="18"/>
                <w:szCs w:val="18"/>
              </w:rPr>
            </w:pPr>
            <w:r>
              <w:rPr>
                <w:sz w:val="18"/>
                <w:szCs w:val="18"/>
              </w:rPr>
              <w:t>2 126,8</w:t>
            </w:r>
          </w:p>
        </w:tc>
        <w:tc>
          <w:tcPr>
            <w:tcW w:w="543" w:type="pct"/>
            <w:tcBorders>
              <w:top w:val="nil"/>
              <w:left w:val="nil"/>
              <w:bottom w:val="nil"/>
              <w:right w:val="single" w:sz="4" w:space="0" w:color="auto"/>
            </w:tcBorders>
            <w:shd w:val="clear" w:color="auto" w:fill="auto"/>
            <w:noWrap/>
            <w:vAlign w:val="bottom"/>
          </w:tcPr>
          <w:p w14:paraId="3EAEAAEA" w14:textId="77777777" w:rsidR="003E44E9" w:rsidRDefault="003E44E9" w:rsidP="003E44E9">
            <w:pPr>
              <w:jc w:val="right"/>
              <w:rPr>
                <w:sz w:val="18"/>
                <w:szCs w:val="18"/>
              </w:rPr>
            </w:pPr>
            <w:r>
              <w:rPr>
                <w:sz w:val="18"/>
                <w:szCs w:val="18"/>
              </w:rPr>
              <w:t>9,6%</w:t>
            </w:r>
          </w:p>
        </w:tc>
        <w:tc>
          <w:tcPr>
            <w:tcW w:w="425" w:type="pct"/>
            <w:tcBorders>
              <w:top w:val="nil"/>
              <w:left w:val="nil"/>
              <w:bottom w:val="nil"/>
              <w:right w:val="nil"/>
            </w:tcBorders>
            <w:shd w:val="clear" w:color="auto" w:fill="auto"/>
            <w:noWrap/>
            <w:vAlign w:val="bottom"/>
          </w:tcPr>
          <w:p w14:paraId="4DDFB098" w14:textId="77777777" w:rsidR="003E44E9" w:rsidRDefault="003E44E9" w:rsidP="003E44E9">
            <w:pPr>
              <w:jc w:val="right"/>
              <w:rPr>
                <w:sz w:val="18"/>
                <w:szCs w:val="18"/>
              </w:rPr>
            </w:pPr>
            <w:r>
              <w:rPr>
                <w:sz w:val="18"/>
                <w:szCs w:val="18"/>
              </w:rPr>
              <w:t>2 481,9</w:t>
            </w:r>
          </w:p>
        </w:tc>
        <w:tc>
          <w:tcPr>
            <w:tcW w:w="622" w:type="pct"/>
            <w:tcBorders>
              <w:top w:val="nil"/>
              <w:left w:val="nil"/>
              <w:bottom w:val="nil"/>
              <w:right w:val="single" w:sz="4" w:space="0" w:color="auto"/>
            </w:tcBorders>
            <w:shd w:val="clear" w:color="auto" w:fill="auto"/>
            <w:noWrap/>
            <w:vAlign w:val="bottom"/>
          </w:tcPr>
          <w:p w14:paraId="19868C0A" w14:textId="77777777" w:rsidR="003E44E9" w:rsidRDefault="003E44E9" w:rsidP="003E44E9">
            <w:pPr>
              <w:jc w:val="right"/>
              <w:rPr>
                <w:sz w:val="18"/>
                <w:szCs w:val="18"/>
              </w:rPr>
            </w:pPr>
            <w:r>
              <w:rPr>
                <w:sz w:val="18"/>
                <w:szCs w:val="18"/>
              </w:rPr>
              <w:t>16,7%</w:t>
            </w:r>
          </w:p>
        </w:tc>
      </w:tr>
      <w:tr w:rsidR="003E44E9" w:rsidRPr="003D5973" w14:paraId="1478322C" w14:textId="77777777" w:rsidTr="001A551D">
        <w:trPr>
          <w:trHeight w:val="300"/>
        </w:trPr>
        <w:tc>
          <w:tcPr>
            <w:tcW w:w="1048" w:type="pct"/>
            <w:tcBorders>
              <w:top w:val="nil"/>
              <w:left w:val="single" w:sz="4" w:space="0" w:color="auto"/>
              <w:bottom w:val="nil"/>
              <w:right w:val="nil"/>
            </w:tcBorders>
            <w:shd w:val="clear" w:color="auto" w:fill="auto"/>
            <w:vAlign w:val="bottom"/>
            <w:hideMark/>
          </w:tcPr>
          <w:p w14:paraId="6257CDFA"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 xml:space="preserve">13. Общо текущи разходи </w:t>
            </w:r>
          </w:p>
        </w:tc>
        <w:tc>
          <w:tcPr>
            <w:tcW w:w="425" w:type="pct"/>
            <w:tcBorders>
              <w:top w:val="nil"/>
              <w:left w:val="single" w:sz="4" w:space="0" w:color="auto"/>
              <w:bottom w:val="nil"/>
              <w:right w:val="nil"/>
            </w:tcBorders>
            <w:shd w:val="clear" w:color="auto" w:fill="auto"/>
            <w:noWrap/>
            <w:vAlign w:val="bottom"/>
          </w:tcPr>
          <w:p w14:paraId="5D85CB4E" w14:textId="77777777" w:rsidR="003E44E9" w:rsidRDefault="003E44E9" w:rsidP="003E44E9">
            <w:pPr>
              <w:jc w:val="right"/>
              <w:rPr>
                <w:b/>
                <w:bCs/>
                <w:sz w:val="18"/>
                <w:szCs w:val="18"/>
              </w:rPr>
            </w:pPr>
            <w:r>
              <w:rPr>
                <w:b/>
                <w:bCs/>
                <w:sz w:val="18"/>
                <w:szCs w:val="18"/>
              </w:rPr>
              <w:t>41 908,9</w:t>
            </w:r>
          </w:p>
        </w:tc>
        <w:tc>
          <w:tcPr>
            <w:tcW w:w="543" w:type="pct"/>
            <w:tcBorders>
              <w:top w:val="nil"/>
              <w:left w:val="nil"/>
              <w:bottom w:val="nil"/>
              <w:right w:val="single" w:sz="4" w:space="0" w:color="auto"/>
            </w:tcBorders>
            <w:shd w:val="clear" w:color="auto" w:fill="auto"/>
            <w:noWrap/>
            <w:vAlign w:val="bottom"/>
          </w:tcPr>
          <w:p w14:paraId="70D56738" w14:textId="77777777" w:rsidR="003E44E9" w:rsidRDefault="003E44E9" w:rsidP="003E44E9">
            <w:pPr>
              <w:jc w:val="right"/>
              <w:rPr>
                <w:b/>
                <w:bCs/>
                <w:sz w:val="18"/>
                <w:szCs w:val="18"/>
              </w:rPr>
            </w:pPr>
            <w:r>
              <w:rPr>
                <w:b/>
                <w:bCs/>
                <w:sz w:val="18"/>
                <w:szCs w:val="18"/>
              </w:rPr>
              <w:t>13,9%</w:t>
            </w:r>
          </w:p>
        </w:tc>
        <w:tc>
          <w:tcPr>
            <w:tcW w:w="425" w:type="pct"/>
            <w:tcBorders>
              <w:top w:val="nil"/>
              <w:left w:val="nil"/>
              <w:bottom w:val="nil"/>
              <w:right w:val="nil"/>
            </w:tcBorders>
            <w:shd w:val="clear" w:color="auto" w:fill="auto"/>
            <w:noWrap/>
            <w:vAlign w:val="bottom"/>
          </w:tcPr>
          <w:p w14:paraId="45E5C129" w14:textId="77777777" w:rsidR="003E44E9" w:rsidRDefault="003E44E9" w:rsidP="003E44E9">
            <w:pPr>
              <w:jc w:val="right"/>
              <w:rPr>
                <w:b/>
                <w:bCs/>
                <w:sz w:val="18"/>
                <w:szCs w:val="18"/>
              </w:rPr>
            </w:pPr>
            <w:r>
              <w:rPr>
                <w:b/>
                <w:bCs/>
                <w:sz w:val="18"/>
                <w:szCs w:val="18"/>
              </w:rPr>
              <w:t>47 368,2</w:t>
            </w:r>
          </w:p>
        </w:tc>
        <w:tc>
          <w:tcPr>
            <w:tcW w:w="543" w:type="pct"/>
            <w:tcBorders>
              <w:top w:val="nil"/>
              <w:left w:val="nil"/>
              <w:bottom w:val="nil"/>
              <w:right w:val="single" w:sz="4" w:space="0" w:color="auto"/>
            </w:tcBorders>
            <w:shd w:val="clear" w:color="auto" w:fill="auto"/>
            <w:noWrap/>
            <w:vAlign w:val="bottom"/>
          </w:tcPr>
          <w:p w14:paraId="1A301870" w14:textId="77777777" w:rsidR="003E44E9" w:rsidRDefault="003E44E9" w:rsidP="003E44E9">
            <w:pPr>
              <w:jc w:val="right"/>
              <w:rPr>
                <w:b/>
                <w:bCs/>
                <w:sz w:val="18"/>
                <w:szCs w:val="18"/>
              </w:rPr>
            </w:pPr>
            <w:r>
              <w:rPr>
                <w:b/>
                <w:bCs/>
                <w:sz w:val="18"/>
                <w:szCs w:val="18"/>
              </w:rPr>
              <w:t>13,0%</w:t>
            </w:r>
          </w:p>
        </w:tc>
        <w:tc>
          <w:tcPr>
            <w:tcW w:w="425" w:type="pct"/>
            <w:tcBorders>
              <w:top w:val="nil"/>
              <w:left w:val="nil"/>
              <w:bottom w:val="nil"/>
              <w:right w:val="nil"/>
            </w:tcBorders>
            <w:shd w:val="clear" w:color="auto" w:fill="auto"/>
            <w:noWrap/>
            <w:vAlign w:val="bottom"/>
          </w:tcPr>
          <w:p w14:paraId="422652A9" w14:textId="77777777" w:rsidR="003E44E9" w:rsidRDefault="003E44E9" w:rsidP="003E44E9">
            <w:pPr>
              <w:jc w:val="right"/>
              <w:rPr>
                <w:b/>
                <w:bCs/>
                <w:sz w:val="18"/>
                <w:szCs w:val="18"/>
              </w:rPr>
            </w:pPr>
            <w:r>
              <w:rPr>
                <w:b/>
                <w:bCs/>
                <w:sz w:val="18"/>
                <w:szCs w:val="18"/>
              </w:rPr>
              <w:t>49 364,7</w:t>
            </w:r>
          </w:p>
        </w:tc>
        <w:tc>
          <w:tcPr>
            <w:tcW w:w="543" w:type="pct"/>
            <w:tcBorders>
              <w:top w:val="nil"/>
              <w:left w:val="nil"/>
              <w:bottom w:val="nil"/>
              <w:right w:val="single" w:sz="4" w:space="0" w:color="auto"/>
            </w:tcBorders>
            <w:shd w:val="clear" w:color="auto" w:fill="auto"/>
            <w:noWrap/>
            <w:vAlign w:val="bottom"/>
          </w:tcPr>
          <w:p w14:paraId="533DEC4B" w14:textId="77777777" w:rsidR="003E44E9" w:rsidRDefault="003E44E9" w:rsidP="003E44E9">
            <w:pPr>
              <w:jc w:val="right"/>
              <w:rPr>
                <w:b/>
                <w:bCs/>
                <w:sz w:val="18"/>
                <w:szCs w:val="18"/>
              </w:rPr>
            </w:pPr>
            <w:r>
              <w:rPr>
                <w:b/>
                <w:bCs/>
                <w:sz w:val="18"/>
                <w:szCs w:val="18"/>
              </w:rPr>
              <w:t>4,2%</w:t>
            </w:r>
          </w:p>
        </w:tc>
        <w:tc>
          <w:tcPr>
            <w:tcW w:w="425" w:type="pct"/>
            <w:tcBorders>
              <w:top w:val="nil"/>
              <w:left w:val="nil"/>
              <w:bottom w:val="nil"/>
              <w:right w:val="nil"/>
            </w:tcBorders>
            <w:shd w:val="clear" w:color="auto" w:fill="auto"/>
            <w:noWrap/>
            <w:vAlign w:val="bottom"/>
          </w:tcPr>
          <w:p w14:paraId="099EDD5B" w14:textId="77777777" w:rsidR="003E44E9" w:rsidRDefault="003E44E9" w:rsidP="003E44E9">
            <w:pPr>
              <w:jc w:val="right"/>
              <w:rPr>
                <w:b/>
                <w:bCs/>
                <w:sz w:val="18"/>
                <w:szCs w:val="18"/>
              </w:rPr>
            </w:pPr>
            <w:r>
              <w:rPr>
                <w:b/>
                <w:bCs/>
                <w:sz w:val="18"/>
                <w:szCs w:val="18"/>
              </w:rPr>
              <w:t>51 200,8</w:t>
            </w:r>
          </w:p>
        </w:tc>
        <w:tc>
          <w:tcPr>
            <w:tcW w:w="622" w:type="pct"/>
            <w:tcBorders>
              <w:top w:val="nil"/>
              <w:left w:val="nil"/>
              <w:bottom w:val="nil"/>
              <w:right w:val="single" w:sz="4" w:space="0" w:color="auto"/>
            </w:tcBorders>
            <w:shd w:val="clear" w:color="auto" w:fill="auto"/>
            <w:noWrap/>
            <w:vAlign w:val="bottom"/>
          </w:tcPr>
          <w:p w14:paraId="2E9E92F3" w14:textId="77777777" w:rsidR="003E44E9" w:rsidRDefault="003E44E9" w:rsidP="003E44E9">
            <w:pPr>
              <w:jc w:val="right"/>
              <w:rPr>
                <w:b/>
                <w:bCs/>
                <w:sz w:val="18"/>
                <w:szCs w:val="18"/>
              </w:rPr>
            </w:pPr>
            <w:r>
              <w:rPr>
                <w:b/>
                <w:bCs/>
                <w:sz w:val="18"/>
                <w:szCs w:val="18"/>
              </w:rPr>
              <w:t>3,7%</w:t>
            </w:r>
          </w:p>
        </w:tc>
      </w:tr>
      <w:tr w:rsidR="003E44E9" w:rsidRPr="003D5973" w14:paraId="28A8584E" w14:textId="77777777" w:rsidTr="001A551D">
        <w:trPr>
          <w:trHeight w:val="300"/>
        </w:trPr>
        <w:tc>
          <w:tcPr>
            <w:tcW w:w="1048" w:type="pct"/>
            <w:tcBorders>
              <w:top w:val="nil"/>
              <w:left w:val="single" w:sz="4" w:space="0" w:color="auto"/>
              <w:bottom w:val="nil"/>
              <w:right w:val="nil"/>
            </w:tcBorders>
            <w:shd w:val="clear" w:color="auto" w:fill="auto"/>
            <w:vAlign w:val="bottom"/>
            <w:hideMark/>
          </w:tcPr>
          <w:p w14:paraId="622976CF"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14. Брутни спестявания (5-13)</w:t>
            </w:r>
          </w:p>
        </w:tc>
        <w:tc>
          <w:tcPr>
            <w:tcW w:w="425" w:type="pct"/>
            <w:tcBorders>
              <w:top w:val="nil"/>
              <w:left w:val="single" w:sz="4" w:space="0" w:color="auto"/>
              <w:bottom w:val="nil"/>
              <w:right w:val="nil"/>
            </w:tcBorders>
            <w:shd w:val="clear" w:color="auto" w:fill="auto"/>
            <w:noWrap/>
            <w:vAlign w:val="bottom"/>
          </w:tcPr>
          <w:p w14:paraId="6BBFBF35" w14:textId="77777777" w:rsidR="003E44E9" w:rsidRDefault="003E44E9" w:rsidP="003E44E9">
            <w:pPr>
              <w:jc w:val="right"/>
              <w:rPr>
                <w:sz w:val="18"/>
                <w:szCs w:val="18"/>
              </w:rPr>
            </w:pPr>
            <w:r>
              <w:rPr>
                <w:sz w:val="18"/>
                <w:szCs w:val="18"/>
              </w:rPr>
              <w:t>-218,6</w:t>
            </w:r>
          </w:p>
        </w:tc>
        <w:tc>
          <w:tcPr>
            <w:tcW w:w="543" w:type="pct"/>
            <w:tcBorders>
              <w:top w:val="nil"/>
              <w:left w:val="nil"/>
              <w:bottom w:val="nil"/>
              <w:right w:val="single" w:sz="4" w:space="0" w:color="auto"/>
            </w:tcBorders>
            <w:shd w:val="clear" w:color="auto" w:fill="auto"/>
            <w:noWrap/>
            <w:vAlign w:val="bottom"/>
          </w:tcPr>
          <w:p w14:paraId="3617568E" w14:textId="77777777" w:rsidR="003E44E9" w:rsidRDefault="003E44E9" w:rsidP="003E44E9">
            <w:pPr>
              <w:jc w:val="right"/>
              <w:rPr>
                <w:sz w:val="18"/>
                <w:szCs w:val="18"/>
              </w:rPr>
            </w:pPr>
            <w:r>
              <w:rPr>
                <w:sz w:val="18"/>
                <w:szCs w:val="18"/>
              </w:rPr>
              <w:t>-77,9%</w:t>
            </w:r>
          </w:p>
        </w:tc>
        <w:tc>
          <w:tcPr>
            <w:tcW w:w="425" w:type="pct"/>
            <w:tcBorders>
              <w:top w:val="nil"/>
              <w:left w:val="nil"/>
              <w:bottom w:val="nil"/>
              <w:right w:val="nil"/>
            </w:tcBorders>
            <w:shd w:val="clear" w:color="auto" w:fill="auto"/>
            <w:noWrap/>
            <w:vAlign w:val="bottom"/>
          </w:tcPr>
          <w:p w14:paraId="38605AA1" w14:textId="77777777" w:rsidR="003E44E9" w:rsidRDefault="003E44E9" w:rsidP="003E44E9">
            <w:pPr>
              <w:jc w:val="right"/>
              <w:rPr>
                <w:sz w:val="18"/>
                <w:szCs w:val="18"/>
              </w:rPr>
            </w:pPr>
            <w:r>
              <w:rPr>
                <w:sz w:val="18"/>
                <w:szCs w:val="18"/>
              </w:rPr>
              <w:t>-114,0</w:t>
            </w:r>
          </w:p>
        </w:tc>
        <w:tc>
          <w:tcPr>
            <w:tcW w:w="543" w:type="pct"/>
            <w:tcBorders>
              <w:top w:val="nil"/>
              <w:left w:val="nil"/>
              <w:bottom w:val="nil"/>
              <w:right w:val="single" w:sz="4" w:space="0" w:color="auto"/>
            </w:tcBorders>
            <w:shd w:val="clear" w:color="auto" w:fill="auto"/>
            <w:noWrap/>
            <w:vAlign w:val="bottom"/>
          </w:tcPr>
          <w:p w14:paraId="6381B28B" w14:textId="77777777" w:rsidR="003E44E9" w:rsidRDefault="003E44E9" w:rsidP="003E44E9">
            <w:pPr>
              <w:jc w:val="right"/>
              <w:rPr>
                <w:sz w:val="18"/>
                <w:szCs w:val="18"/>
              </w:rPr>
            </w:pPr>
            <w:r>
              <w:rPr>
                <w:sz w:val="18"/>
                <w:szCs w:val="18"/>
              </w:rPr>
              <w:t>-47,8%</w:t>
            </w:r>
          </w:p>
        </w:tc>
        <w:tc>
          <w:tcPr>
            <w:tcW w:w="425" w:type="pct"/>
            <w:tcBorders>
              <w:top w:val="nil"/>
              <w:left w:val="nil"/>
              <w:bottom w:val="nil"/>
              <w:right w:val="nil"/>
            </w:tcBorders>
            <w:shd w:val="clear" w:color="auto" w:fill="auto"/>
            <w:noWrap/>
            <w:vAlign w:val="bottom"/>
          </w:tcPr>
          <w:p w14:paraId="01AB7975" w14:textId="77777777" w:rsidR="003E44E9" w:rsidRDefault="003E44E9" w:rsidP="003E44E9">
            <w:pPr>
              <w:jc w:val="right"/>
              <w:rPr>
                <w:sz w:val="18"/>
                <w:szCs w:val="18"/>
              </w:rPr>
            </w:pPr>
            <w:r>
              <w:rPr>
                <w:sz w:val="18"/>
                <w:szCs w:val="18"/>
              </w:rPr>
              <w:t>339,6</w:t>
            </w:r>
          </w:p>
        </w:tc>
        <w:tc>
          <w:tcPr>
            <w:tcW w:w="543" w:type="pct"/>
            <w:tcBorders>
              <w:top w:val="nil"/>
              <w:left w:val="nil"/>
              <w:bottom w:val="nil"/>
              <w:right w:val="single" w:sz="4" w:space="0" w:color="auto"/>
            </w:tcBorders>
            <w:shd w:val="clear" w:color="auto" w:fill="auto"/>
            <w:noWrap/>
            <w:vAlign w:val="bottom"/>
          </w:tcPr>
          <w:p w14:paraId="2A5F33C1" w14:textId="77777777" w:rsidR="003E44E9" w:rsidRDefault="003E44E9" w:rsidP="003E44E9">
            <w:pPr>
              <w:jc w:val="right"/>
              <w:rPr>
                <w:sz w:val="18"/>
                <w:szCs w:val="18"/>
              </w:rPr>
            </w:pPr>
            <w:r>
              <w:rPr>
                <w:sz w:val="18"/>
                <w:szCs w:val="18"/>
              </w:rPr>
              <w:t>-397,8%</w:t>
            </w:r>
          </w:p>
        </w:tc>
        <w:tc>
          <w:tcPr>
            <w:tcW w:w="425" w:type="pct"/>
            <w:tcBorders>
              <w:top w:val="nil"/>
              <w:left w:val="nil"/>
              <w:bottom w:val="nil"/>
              <w:right w:val="nil"/>
            </w:tcBorders>
            <w:shd w:val="clear" w:color="auto" w:fill="auto"/>
            <w:noWrap/>
            <w:vAlign w:val="bottom"/>
          </w:tcPr>
          <w:p w14:paraId="21513A13" w14:textId="77777777" w:rsidR="003E44E9" w:rsidRDefault="003E44E9" w:rsidP="003E44E9">
            <w:pPr>
              <w:jc w:val="right"/>
              <w:rPr>
                <w:sz w:val="18"/>
                <w:szCs w:val="18"/>
              </w:rPr>
            </w:pPr>
            <w:r>
              <w:rPr>
                <w:sz w:val="18"/>
                <w:szCs w:val="18"/>
              </w:rPr>
              <w:t>1 297,4</w:t>
            </w:r>
          </w:p>
        </w:tc>
        <w:tc>
          <w:tcPr>
            <w:tcW w:w="622" w:type="pct"/>
            <w:tcBorders>
              <w:top w:val="nil"/>
              <w:left w:val="nil"/>
              <w:bottom w:val="nil"/>
              <w:right w:val="single" w:sz="4" w:space="0" w:color="auto"/>
            </w:tcBorders>
            <w:shd w:val="clear" w:color="auto" w:fill="auto"/>
            <w:noWrap/>
            <w:vAlign w:val="bottom"/>
          </w:tcPr>
          <w:p w14:paraId="442DB5E8" w14:textId="77777777" w:rsidR="003E44E9" w:rsidRDefault="003E44E9" w:rsidP="003E44E9">
            <w:pPr>
              <w:jc w:val="right"/>
              <w:rPr>
                <w:sz w:val="18"/>
                <w:szCs w:val="18"/>
              </w:rPr>
            </w:pPr>
            <w:r>
              <w:rPr>
                <w:sz w:val="18"/>
                <w:szCs w:val="18"/>
              </w:rPr>
              <w:t>282,0%</w:t>
            </w:r>
          </w:p>
        </w:tc>
      </w:tr>
      <w:tr w:rsidR="003E44E9" w:rsidRPr="003D5973" w14:paraId="0E8536BD" w14:textId="77777777" w:rsidTr="001A551D">
        <w:trPr>
          <w:trHeight w:val="495"/>
        </w:trPr>
        <w:tc>
          <w:tcPr>
            <w:tcW w:w="1048" w:type="pct"/>
            <w:tcBorders>
              <w:top w:val="nil"/>
              <w:left w:val="single" w:sz="4" w:space="0" w:color="auto"/>
              <w:bottom w:val="nil"/>
              <w:right w:val="nil"/>
            </w:tcBorders>
            <w:shd w:val="clear" w:color="auto" w:fill="auto"/>
            <w:hideMark/>
          </w:tcPr>
          <w:p w14:paraId="5D5065B3"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15. Капиталови трансфери, получени</w:t>
            </w:r>
          </w:p>
        </w:tc>
        <w:tc>
          <w:tcPr>
            <w:tcW w:w="425" w:type="pct"/>
            <w:tcBorders>
              <w:top w:val="nil"/>
              <w:left w:val="single" w:sz="4" w:space="0" w:color="auto"/>
              <w:bottom w:val="nil"/>
              <w:right w:val="nil"/>
            </w:tcBorders>
            <w:shd w:val="clear" w:color="auto" w:fill="auto"/>
            <w:noWrap/>
            <w:vAlign w:val="bottom"/>
          </w:tcPr>
          <w:p w14:paraId="705A7B29" w14:textId="77777777" w:rsidR="003E44E9" w:rsidRDefault="003E44E9" w:rsidP="003E44E9">
            <w:pPr>
              <w:jc w:val="right"/>
              <w:rPr>
                <w:b/>
                <w:bCs/>
                <w:sz w:val="18"/>
                <w:szCs w:val="18"/>
              </w:rPr>
            </w:pPr>
            <w:r>
              <w:rPr>
                <w:b/>
                <w:bCs/>
                <w:sz w:val="18"/>
                <w:szCs w:val="18"/>
              </w:rPr>
              <w:t>2 537,2</w:t>
            </w:r>
          </w:p>
        </w:tc>
        <w:tc>
          <w:tcPr>
            <w:tcW w:w="543" w:type="pct"/>
            <w:tcBorders>
              <w:top w:val="nil"/>
              <w:left w:val="nil"/>
              <w:bottom w:val="nil"/>
              <w:right w:val="single" w:sz="4" w:space="0" w:color="auto"/>
            </w:tcBorders>
            <w:shd w:val="clear" w:color="auto" w:fill="auto"/>
            <w:noWrap/>
            <w:vAlign w:val="bottom"/>
          </w:tcPr>
          <w:p w14:paraId="5A33CCC1" w14:textId="77777777" w:rsidR="003E44E9" w:rsidRDefault="003E44E9" w:rsidP="003E44E9">
            <w:pPr>
              <w:jc w:val="right"/>
              <w:rPr>
                <w:sz w:val="18"/>
                <w:szCs w:val="18"/>
              </w:rPr>
            </w:pPr>
            <w:r>
              <w:rPr>
                <w:sz w:val="18"/>
                <w:szCs w:val="18"/>
              </w:rPr>
              <w:t>24,1%</w:t>
            </w:r>
          </w:p>
        </w:tc>
        <w:tc>
          <w:tcPr>
            <w:tcW w:w="425" w:type="pct"/>
            <w:tcBorders>
              <w:top w:val="nil"/>
              <w:left w:val="nil"/>
              <w:bottom w:val="nil"/>
              <w:right w:val="nil"/>
            </w:tcBorders>
            <w:shd w:val="clear" w:color="auto" w:fill="auto"/>
            <w:noWrap/>
            <w:vAlign w:val="bottom"/>
          </w:tcPr>
          <w:p w14:paraId="1042E182" w14:textId="77777777" w:rsidR="003E44E9" w:rsidRDefault="003E44E9" w:rsidP="003E44E9">
            <w:pPr>
              <w:jc w:val="right"/>
              <w:rPr>
                <w:b/>
                <w:bCs/>
                <w:sz w:val="18"/>
                <w:szCs w:val="18"/>
              </w:rPr>
            </w:pPr>
            <w:r>
              <w:rPr>
                <w:b/>
                <w:bCs/>
                <w:sz w:val="18"/>
                <w:szCs w:val="18"/>
              </w:rPr>
              <w:t>2 303,7</w:t>
            </w:r>
          </w:p>
        </w:tc>
        <w:tc>
          <w:tcPr>
            <w:tcW w:w="543" w:type="pct"/>
            <w:tcBorders>
              <w:top w:val="nil"/>
              <w:left w:val="nil"/>
              <w:bottom w:val="nil"/>
              <w:right w:val="single" w:sz="4" w:space="0" w:color="auto"/>
            </w:tcBorders>
            <w:shd w:val="clear" w:color="auto" w:fill="auto"/>
            <w:noWrap/>
            <w:vAlign w:val="bottom"/>
          </w:tcPr>
          <w:p w14:paraId="70D1E016" w14:textId="77777777" w:rsidR="003E44E9" w:rsidRDefault="003E44E9" w:rsidP="003E44E9">
            <w:pPr>
              <w:jc w:val="right"/>
              <w:rPr>
                <w:sz w:val="18"/>
                <w:szCs w:val="18"/>
              </w:rPr>
            </w:pPr>
            <w:r>
              <w:rPr>
                <w:sz w:val="18"/>
                <w:szCs w:val="18"/>
              </w:rPr>
              <w:t>-9,2%</w:t>
            </w:r>
          </w:p>
        </w:tc>
        <w:tc>
          <w:tcPr>
            <w:tcW w:w="425" w:type="pct"/>
            <w:tcBorders>
              <w:top w:val="nil"/>
              <w:left w:val="nil"/>
              <w:bottom w:val="nil"/>
              <w:right w:val="nil"/>
            </w:tcBorders>
            <w:shd w:val="clear" w:color="auto" w:fill="auto"/>
            <w:noWrap/>
            <w:vAlign w:val="bottom"/>
          </w:tcPr>
          <w:p w14:paraId="3E8E9E1C" w14:textId="77777777" w:rsidR="003E44E9" w:rsidRDefault="003E44E9" w:rsidP="003E44E9">
            <w:pPr>
              <w:jc w:val="right"/>
              <w:rPr>
                <w:b/>
                <w:bCs/>
                <w:sz w:val="18"/>
                <w:szCs w:val="18"/>
              </w:rPr>
            </w:pPr>
            <w:r>
              <w:rPr>
                <w:b/>
                <w:bCs/>
                <w:sz w:val="18"/>
                <w:szCs w:val="18"/>
              </w:rPr>
              <w:t>1 193,7</w:t>
            </w:r>
          </w:p>
        </w:tc>
        <w:tc>
          <w:tcPr>
            <w:tcW w:w="543" w:type="pct"/>
            <w:tcBorders>
              <w:top w:val="nil"/>
              <w:left w:val="nil"/>
              <w:bottom w:val="nil"/>
              <w:right w:val="single" w:sz="4" w:space="0" w:color="auto"/>
            </w:tcBorders>
            <w:shd w:val="clear" w:color="auto" w:fill="auto"/>
            <w:noWrap/>
            <w:vAlign w:val="bottom"/>
          </w:tcPr>
          <w:p w14:paraId="0054643A" w14:textId="77777777" w:rsidR="003E44E9" w:rsidRDefault="003E44E9" w:rsidP="003E44E9">
            <w:pPr>
              <w:jc w:val="right"/>
              <w:rPr>
                <w:sz w:val="18"/>
                <w:szCs w:val="18"/>
              </w:rPr>
            </w:pPr>
            <w:r>
              <w:rPr>
                <w:sz w:val="18"/>
                <w:szCs w:val="18"/>
              </w:rPr>
              <w:t>-48,2%</w:t>
            </w:r>
          </w:p>
        </w:tc>
        <w:tc>
          <w:tcPr>
            <w:tcW w:w="425" w:type="pct"/>
            <w:tcBorders>
              <w:top w:val="nil"/>
              <w:left w:val="nil"/>
              <w:bottom w:val="nil"/>
              <w:right w:val="nil"/>
            </w:tcBorders>
            <w:shd w:val="clear" w:color="auto" w:fill="auto"/>
            <w:noWrap/>
            <w:vAlign w:val="bottom"/>
          </w:tcPr>
          <w:p w14:paraId="4095C68F" w14:textId="77777777" w:rsidR="003E44E9" w:rsidRDefault="003E44E9" w:rsidP="003E44E9">
            <w:pPr>
              <w:jc w:val="right"/>
              <w:rPr>
                <w:b/>
                <w:bCs/>
                <w:sz w:val="18"/>
                <w:szCs w:val="18"/>
              </w:rPr>
            </w:pPr>
            <w:r>
              <w:rPr>
                <w:b/>
                <w:bCs/>
                <w:sz w:val="18"/>
                <w:szCs w:val="18"/>
              </w:rPr>
              <w:t>1 066,4</w:t>
            </w:r>
          </w:p>
        </w:tc>
        <w:tc>
          <w:tcPr>
            <w:tcW w:w="622" w:type="pct"/>
            <w:tcBorders>
              <w:top w:val="nil"/>
              <w:left w:val="nil"/>
              <w:bottom w:val="nil"/>
              <w:right w:val="single" w:sz="4" w:space="0" w:color="auto"/>
            </w:tcBorders>
            <w:shd w:val="clear" w:color="auto" w:fill="auto"/>
            <w:noWrap/>
            <w:vAlign w:val="bottom"/>
          </w:tcPr>
          <w:p w14:paraId="4CEF2C59" w14:textId="77777777" w:rsidR="003E44E9" w:rsidRDefault="003E44E9" w:rsidP="003E44E9">
            <w:pPr>
              <w:jc w:val="right"/>
              <w:rPr>
                <w:sz w:val="18"/>
                <w:szCs w:val="18"/>
              </w:rPr>
            </w:pPr>
            <w:r>
              <w:rPr>
                <w:sz w:val="18"/>
                <w:szCs w:val="18"/>
              </w:rPr>
              <w:t>-10,7%</w:t>
            </w:r>
          </w:p>
        </w:tc>
      </w:tr>
      <w:tr w:rsidR="003E44E9" w:rsidRPr="003D5973" w14:paraId="06390A1F" w14:textId="77777777" w:rsidTr="001A551D">
        <w:trPr>
          <w:trHeight w:val="495"/>
        </w:trPr>
        <w:tc>
          <w:tcPr>
            <w:tcW w:w="1048" w:type="pct"/>
            <w:tcBorders>
              <w:top w:val="nil"/>
              <w:left w:val="single" w:sz="4" w:space="0" w:color="auto"/>
              <w:bottom w:val="nil"/>
              <w:right w:val="nil"/>
            </w:tcBorders>
            <w:shd w:val="clear" w:color="auto" w:fill="auto"/>
            <w:hideMark/>
          </w:tcPr>
          <w:p w14:paraId="2791B36C" w14:textId="77777777" w:rsidR="003E44E9" w:rsidRPr="003D5973" w:rsidRDefault="003E44E9" w:rsidP="003E44E9">
            <w:pPr>
              <w:spacing w:after="0"/>
              <w:jc w:val="left"/>
              <w:rPr>
                <w:rFonts w:eastAsia="Times New Roman" w:cs="Times New Roman"/>
                <w:b/>
                <w:bCs/>
                <w:sz w:val="16"/>
                <w:szCs w:val="16"/>
              </w:rPr>
            </w:pPr>
            <w:r>
              <w:rPr>
                <w:rFonts w:eastAsia="Times New Roman" w:cs="Times New Roman"/>
                <w:b/>
                <w:bCs/>
                <w:sz w:val="16"/>
                <w:szCs w:val="16"/>
              </w:rPr>
              <w:t xml:space="preserve">16. </w:t>
            </w:r>
            <w:proofErr w:type="spellStart"/>
            <w:r>
              <w:rPr>
                <w:rFonts w:eastAsia="Times New Roman" w:cs="Times New Roman"/>
                <w:b/>
                <w:bCs/>
                <w:sz w:val="16"/>
                <w:szCs w:val="16"/>
              </w:rPr>
              <w:t>Бруто</w:t>
            </w:r>
            <w:r w:rsidRPr="003D5973">
              <w:rPr>
                <w:rFonts w:eastAsia="Times New Roman" w:cs="Times New Roman"/>
                <w:b/>
                <w:bCs/>
                <w:sz w:val="16"/>
                <w:szCs w:val="16"/>
              </w:rPr>
              <w:t>образуване</w:t>
            </w:r>
            <w:proofErr w:type="spellEnd"/>
            <w:r w:rsidRPr="003D5973">
              <w:rPr>
                <w:rFonts w:eastAsia="Times New Roman" w:cs="Times New Roman"/>
                <w:b/>
                <w:bCs/>
                <w:sz w:val="16"/>
                <w:szCs w:val="16"/>
              </w:rPr>
              <w:t xml:space="preserve"> на основен капитал</w:t>
            </w:r>
          </w:p>
        </w:tc>
        <w:tc>
          <w:tcPr>
            <w:tcW w:w="425" w:type="pct"/>
            <w:tcBorders>
              <w:top w:val="nil"/>
              <w:left w:val="single" w:sz="4" w:space="0" w:color="auto"/>
              <w:bottom w:val="nil"/>
              <w:right w:val="nil"/>
            </w:tcBorders>
            <w:shd w:val="clear" w:color="auto" w:fill="auto"/>
            <w:noWrap/>
            <w:vAlign w:val="bottom"/>
          </w:tcPr>
          <w:p w14:paraId="1B9D0A02" w14:textId="77777777" w:rsidR="003E44E9" w:rsidRDefault="003E44E9" w:rsidP="003E44E9">
            <w:pPr>
              <w:jc w:val="right"/>
              <w:rPr>
                <w:b/>
                <w:bCs/>
                <w:sz w:val="18"/>
                <w:szCs w:val="18"/>
              </w:rPr>
            </w:pPr>
            <w:r>
              <w:rPr>
                <w:b/>
                <w:bCs/>
                <w:sz w:val="18"/>
                <w:szCs w:val="18"/>
              </w:rPr>
              <w:t>5 210,4</w:t>
            </w:r>
          </w:p>
        </w:tc>
        <w:tc>
          <w:tcPr>
            <w:tcW w:w="543" w:type="pct"/>
            <w:tcBorders>
              <w:top w:val="nil"/>
              <w:left w:val="nil"/>
              <w:bottom w:val="nil"/>
              <w:right w:val="single" w:sz="4" w:space="0" w:color="auto"/>
            </w:tcBorders>
            <w:shd w:val="clear" w:color="auto" w:fill="auto"/>
            <w:noWrap/>
            <w:vAlign w:val="bottom"/>
          </w:tcPr>
          <w:p w14:paraId="7295A50C" w14:textId="77777777" w:rsidR="003E44E9" w:rsidRDefault="003E44E9" w:rsidP="003E44E9">
            <w:pPr>
              <w:jc w:val="right"/>
              <w:rPr>
                <w:sz w:val="18"/>
                <w:szCs w:val="18"/>
              </w:rPr>
            </w:pPr>
            <w:r>
              <w:rPr>
                <w:sz w:val="18"/>
                <w:szCs w:val="18"/>
              </w:rPr>
              <w:t>57,4%</w:t>
            </w:r>
          </w:p>
        </w:tc>
        <w:tc>
          <w:tcPr>
            <w:tcW w:w="425" w:type="pct"/>
            <w:tcBorders>
              <w:top w:val="nil"/>
              <w:left w:val="nil"/>
              <w:bottom w:val="nil"/>
              <w:right w:val="nil"/>
            </w:tcBorders>
            <w:shd w:val="clear" w:color="auto" w:fill="auto"/>
            <w:noWrap/>
            <w:vAlign w:val="bottom"/>
          </w:tcPr>
          <w:p w14:paraId="71E9B1A5" w14:textId="77777777" w:rsidR="003E44E9" w:rsidRDefault="003E44E9" w:rsidP="003E44E9">
            <w:pPr>
              <w:jc w:val="right"/>
              <w:rPr>
                <w:b/>
                <w:bCs/>
                <w:sz w:val="18"/>
                <w:szCs w:val="18"/>
              </w:rPr>
            </w:pPr>
            <w:r>
              <w:rPr>
                <w:b/>
                <w:bCs/>
                <w:sz w:val="18"/>
                <w:szCs w:val="18"/>
              </w:rPr>
              <w:t>5 200,8</w:t>
            </w:r>
          </w:p>
        </w:tc>
        <w:tc>
          <w:tcPr>
            <w:tcW w:w="543" w:type="pct"/>
            <w:tcBorders>
              <w:top w:val="nil"/>
              <w:left w:val="nil"/>
              <w:bottom w:val="nil"/>
              <w:right w:val="single" w:sz="4" w:space="0" w:color="auto"/>
            </w:tcBorders>
            <w:shd w:val="clear" w:color="auto" w:fill="auto"/>
            <w:noWrap/>
            <w:vAlign w:val="bottom"/>
          </w:tcPr>
          <w:p w14:paraId="2D51038C" w14:textId="77777777" w:rsidR="003E44E9" w:rsidRDefault="003E44E9" w:rsidP="003E44E9">
            <w:pPr>
              <w:jc w:val="right"/>
              <w:rPr>
                <w:sz w:val="18"/>
                <w:szCs w:val="18"/>
              </w:rPr>
            </w:pPr>
            <w:r>
              <w:rPr>
                <w:sz w:val="18"/>
                <w:szCs w:val="18"/>
              </w:rPr>
              <w:t>-0,2%</w:t>
            </w:r>
          </w:p>
        </w:tc>
        <w:tc>
          <w:tcPr>
            <w:tcW w:w="425" w:type="pct"/>
            <w:tcBorders>
              <w:top w:val="nil"/>
              <w:left w:val="nil"/>
              <w:bottom w:val="nil"/>
              <w:right w:val="nil"/>
            </w:tcBorders>
            <w:shd w:val="clear" w:color="auto" w:fill="auto"/>
            <w:noWrap/>
            <w:vAlign w:val="bottom"/>
          </w:tcPr>
          <w:p w14:paraId="1801EE66" w14:textId="77777777" w:rsidR="003E44E9" w:rsidRDefault="003E44E9" w:rsidP="003E44E9">
            <w:pPr>
              <w:jc w:val="right"/>
              <w:rPr>
                <w:b/>
                <w:bCs/>
                <w:sz w:val="18"/>
                <w:szCs w:val="18"/>
              </w:rPr>
            </w:pPr>
            <w:r>
              <w:rPr>
                <w:b/>
                <w:bCs/>
                <w:sz w:val="18"/>
                <w:szCs w:val="18"/>
              </w:rPr>
              <w:t>6 032,0</w:t>
            </w:r>
          </w:p>
        </w:tc>
        <w:tc>
          <w:tcPr>
            <w:tcW w:w="543" w:type="pct"/>
            <w:tcBorders>
              <w:top w:val="nil"/>
              <w:left w:val="nil"/>
              <w:bottom w:val="nil"/>
              <w:right w:val="single" w:sz="4" w:space="0" w:color="auto"/>
            </w:tcBorders>
            <w:shd w:val="clear" w:color="auto" w:fill="auto"/>
            <w:noWrap/>
            <w:vAlign w:val="bottom"/>
          </w:tcPr>
          <w:p w14:paraId="1D237F0C" w14:textId="77777777" w:rsidR="003E44E9" w:rsidRDefault="003E44E9" w:rsidP="003E44E9">
            <w:pPr>
              <w:jc w:val="right"/>
              <w:rPr>
                <w:sz w:val="18"/>
                <w:szCs w:val="18"/>
              </w:rPr>
            </w:pPr>
            <w:r>
              <w:rPr>
                <w:sz w:val="18"/>
                <w:szCs w:val="18"/>
              </w:rPr>
              <w:t>16,0%</w:t>
            </w:r>
          </w:p>
        </w:tc>
        <w:tc>
          <w:tcPr>
            <w:tcW w:w="425" w:type="pct"/>
            <w:tcBorders>
              <w:top w:val="nil"/>
              <w:left w:val="nil"/>
              <w:bottom w:val="nil"/>
              <w:right w:val="nil"/>
            </w:tcBorders>
            <w:shd w:val="clear" w:color="auto" w:fill="auto"/>
            <w:noWrap/>
            <w:vAlign w:val="bottom"/>
          </w:tcPr>
          <w:p w14:paraId="75CDA77A" w14:textId="77777777" w:rsidR="003E44E9" w:rsidRDefault="003E44E9" w:rsidP="003E44E9">
            <w:pPr>
              <w:jc w:val="right"/>
              <w:rPr>
                <w:b/>
                <w:bCs/>
                <w:sz w:val="18"/>
                <w:szCs w:val="18"/>
              </w:rPr>
            </w:pPr>
            <w:r>
              <w:rPr>
                <w:b/>
                <w:bCs/>
                <w:sz w:val="18"/>
                <w:szCs w:val="18"/>
              </w:rPr>
              <w:t>5 481,4</w:t>
            </w:r>
          </w:p>
        </w:tc>
        <w:tc>
          <w:tcPr>
            <w:tcW w:w="622" w:type="pct"/>
            <w:tcBorders>
              <w:top w:val="nil"/>
              <w:left w:val="nil"/>
              <w:bottom w:val="nil"/>
              <w:right w:val="single" w:sz="4" w:space="0" w:color="auto"/>
            </w:tcBorders>
            <w:shd w:val="clear" w:color="auto" w:fill="auto"/>
            <w:noWrap/>
            <w:vAlign w:val="bottom"/>
          </w:tcPr>
          <w:p w14:paraId="6D9EF565" w14:textId="77777777" w:rsidR="003E44E9" w:rsidRDefault="003E44E9" w:rsidP="003E44E9">
            <w:pPr>
              <w:jc w:val="right"/>
              <w:rPr>
                <w:sz w:val="18"/>
                <w:szCs w:val="18"/>
              </w:rPr>
            </w:pPr>
            <w:r>
              <w:rPr>
                <w:sz w:val="18"/>
                <w:szCs w:val="18"/>
              </w:rPr>
              <w:t>-9,1%</w:t>
            </w:r>
          </w:p>
        </w:tc>
      </w:tr>
      <w:tr w:rsidR="003E44E9" w:rsidRPr="003D5973" w14:paraId="6474982F" w14:textId="77777777" w:rsidTr="001A551D">
        <w:trPr>
          <w:trHeight w:val="300"/>
        </w:trPr>
        <w:tc>
          <w:tcPr>
            <w:tcW w:w="1048" w:type="pct"/>
            <w:tcBorders>
              <w:top w:val="nil"/>
              <w:left w:val="single" w:sz="4" w:space="0" w:color="auto"/>
              <w:bottom w:val="nil"/>
              <w:right w:val="nil"/>
            </w:tcBorders>
            <w:shd w:val="clear" w:color="auto" w:fill="auto"/>
            <w:hideMark/>
          </w:tcPr>
          <w:p w14:paraId="5546066D"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17. Други капиталови разходи</w:t>
            </w:r>
          </w:p>
        </w:tc>
        <w:tc>
          <w:tcPr>
            <w:tcW w:w="425" w:type="pct"/>
            <w:tcBorders>
              <w:top w:val="nil"/>
              <w:left w:val="single" w:sz="4" w:space="0" w:color="auto"/>
              <w:bottom w:val="nil"/>
              <w:right w:val="nil"/>
            </w:tcBorders>
            <w:shd w:val="clear" w:color="auto" w:fill="auto"/>
            <w:noWrap/>
            <w:vAlign w:val="bottom"/>
          </w:tcPr>
          <w:p w14:paraId="7A716227" w14:textId="77777777" w:rsidR="003E44E9" w:rsidRDefault="003E44E9" w:rsidP="003E44E9">
            <w:pPr>
              <w:jc w:val="right"/>
              <w:rPr>
                <w:b/>
                <w:bCs/>
                <w:sz w:val="18"/>
                <w:szCs w:val="18"/>
              </w:rPr>
            </w:pPr>
            <w:r>
              <w:rPr>
                <w:b/>
                <w:bCs/>
                <w:sz w:val="18"/>
                <w:szCs w:val="18"/>
              </w:rPr>
              <w:t>495,3</w:t>
            </w:r>
          </w:p>
        </w:tc>
        <w:tc>
          <w:tcPr>
            <w:tcW w:w="543" w:type="pct"/>
            <w:tcBorders>
              <w:top w:val="nil"/>
              <w:left w:val="nil"/>
              <w:bottom w:val="nil"/>
              <w:right w:val="single" w:sz="4" w:space="0" w:color="auto"/>
            </w:tcBorders>
            <w:shd w:val="clear" w:color="auto" w:fill="auto"/>
            <w:noWrap/>
            <w:vAlign w:val="bottom"/>
          </w:tcPr>
          <w:p w14:paraId="6ACF7B36" w14:textId="77777777" w:rsidR="003E44E9" w:rsidRDefault="003E44E9" w:rsidP="003E44E9">
            <w:pPr>
              <w:jc w:val="right"/>
              <w:rPr>
                <w:sz w:val="18"/>
                <w:szCs w:val="18"/>
              </w:rPr>
            </w:pPr>
            <w:r>
              <w:rPr>
                <w:sz w:val="18"/>
                <w:szCs w:val="18"/>
              </w:rPr>
              <w:t>-46,9%</w:t>
            </w:r>
          </w:p>
        </w:tc>
        <w:tc>
          <w:tcPr>
            <w:tcW w:w="425" w:type="pct"/>
            <w:tcBorders>
              <w:top w:val="nil"/>
              <w:left w:val="nil"/>
              <w:bottom w:val="nil"/>
              <w:right w:val="nil"/>
            </w:tcBorders>
            <w:shd w:val="clear" w:color="auto" w:fill="auto"/>
            <w:noWrap/>
            <w:vAlign w:val="bottom"/>
          </w:tcPr>
          <w:p w14:paraId="34B6A900" w14:textId="77777777" w:rsidR="003E44E9" w:rsidRDefault="003E44E9" w:rsidP="003E44E9">
            <w:pPr>
              <w:jc w:val="right"/>
              <w:rPr>
                <w:b/>
                <w:bCs/>
                <w:sz w:val="18"/>
                <w:szCs w:val="18"/>
              </w:rPr>
            </w:pPr>
            <w:r>
              <w:rPr>
                <w:b/>
                <w:bCs/>
                <w:sz w:val="18"/>
                <w:szCs w:val="18"/>
              </w:rPr>
              <w:t>653,5</w:t>
            </w:r>
          </w:p>
        </w:tc>
        <w:tc>
          <w:tcPr>
            <w:tcW w:w="543" w:type="pct"/>
            <w:tcBorders>
              <w:top w:val="nil"/>
              <w:left w:val="nil"/>
              <w:bottom w:val="nil"/>
              <w:right w:val="single" w:sz="4" w:space="0" w:color="auto"/>
            </w:tcBorders>
            <w:shd w:val="clear" w:color="auto" w:fill="auto"/>
            <w:noWrap/>
            <w:vAlign w:val="bottom"/>
          </w:tcPr>
          <w:p w14:paraId="5E7E2B82" w14:textId="77777777" w:rsidR="003E44E9" w:rsidRDefault="003E44E9" w:rsidP="003E44E9">
            <w:pPr>
              <w:jc w:val="right"/>
              <w:rPr>
                <w:sz w:val="18"/>
                <w:szCs w:val="18"/>
              </w:rPr>
            </w:pPr>
            <w:r>
              <w:rPr>
                <w:sz w:val="18"/>
                <w:szCs w:val="18"/>
              </w:rPr>
              <w:t>31,9%</w:t>
            </w:r>
          </w:p>
        </w:tc>
        <w:tc>
          <w:tcPr>
            <w:tcW w:w="425" w:type="pct"/>
            <w:tcBorders>
              <w:top w:val="nil"/>
              <w:left w:val="nil"/>
              <w:bottom w:val="nil"/>
              <w:right w:val="nil"/>
            </w:tcBorders>
            <w:shd w:val="clear" w:color="auto" w:fill="auto"/>
            <w:noWrap/>
            <w:vAlign w:val="bottom"/>
          </w:tcPr>
          <w:p w14:paraId="2957F125" w14:textId="77777777" w:rsidR="003E44E9" w:rsidRDefault="003E44E9" w:rsidP="003E44E9">
            <w:pPr>
              <w:jc w:val="right"/>
              <w:rPr>
                <w:b/>
                <w:bCs/>
                <w:sz w:val="18"/>
                <w:szCs w:val="18"/>
              </w:rPr>
            </w:pPr>
            <w:r>
              <w:rPr>
                <w:b/>
                <w:bCs/>
                <w:sz w:val="18"/>
                <w:szCs w:val="18"/>
              </w:rPr>
              <w:t>653,3</w:t>
            </w:r>
          </w:p>
        </w:tc>
        <w:tc>
          <w:tcPr>
            <w:tcW w:w="543" w:type="pct"/>
            <w:tcBorders>
              <w:top w:val="nil"/>
              <w:left w:val="nil"/>
              <w:bottom w:val="nil"/>
              <w:right w:val="single" w:sz="4" w:space="0" w:color="auto"/>
            </w:tcBorders>
            <w:shd w:val="clear" w:color="auto" w:fill="auto"/>
            <w:noWrap/>
            <w:vAlign w:val="bottom"/>
          </w:tcPr>
          <w:p w14:paraId="2DCAE6E5" w14:textId="77777777" w:rsidR="003E44E9" w:rsidRDefault="003E44E9" w:rsidP="003E44E9">
            <w:pPr>
              <w:jc w:val="right"/>
              <w:rPr>
                <w:sz w:val="18"/>
                <w:szCs w:val="18"/>
              </w:rPr>
            </w:pPr>
            <w:r>
              <w:rPr>
                <w:sz w:val="18"/>
                <w:szCs w:val="18"/>
              </w:rPr>
              <w:t>0,0%</w:t>
            </w:r>
          </w:p>
        </w:tc>
        <w:tc>
          <w:tcPr>
            <w:tcW w:w="425" w:type="pct"/>
            <w:tcBorders>
              <w:top w:val="nil"/>
              <w:left w:val="nil"/>
              <w:bottom w:val="nil"/>
              <w:right w:val="nil"/>
            </w:tcBorders>
            <w:shd w:val="clear" w:color="auto" w:fill="auto"/>
            <w:noWrap/>
            <w:vAlign w:val="bottom"/>
          </w:tcPr>
          <w:p w14:paraId="5C08997C" w14:textId="77777777" w:rsidR="003E44E9" w:rsidRDefault="003E44E9" w:rsidP="003E44E9">
            <w:pPr>
              <w:jc w:val="right"/>
              <w:rPr>
                <w:b/>
                <w:bCs/>
                <w:sz w:val="18"/>
                <w:szCs w:val="18"/>
              </w:rPr>
            </w:pPr>
            <w:r>
              <w:rPr>
                <w:b/>
                <w:bCs/>
                <w:sz w:val="18"/>
                <w:szCs w:val="18"/>
              </w:rPr>
              <w:t>824,5</w:t>
            </w:r>
          </w:p>
        </w:tc>
        <w:tc>
          <w:tcPr>
            <w:tcW w:w="622" w:type="pct"/>
            <w:tcBorders>
              <w:top w:val="nil"/>
              <w:left w:val="nil"/>
              <w:bottom w:val="nil"/>
              <w:right w:val="single" w:sz="4" w:space="0" w:color="auto"/>
            </w:tcBorders>
            <w:shd w:val="clear" w:color="auto" w:fill="auto"/>
            <w:noWrap/>
            <w:vAlign w:val="bottom"/>
          </w:tcPr>
          <w:p w14:paraId="50F51006" w14:textId="77777777" w:rsidR="003E44E9" w:rsidRDefault="003E44E9" w:rsidP="003E44E9">
            <w:pPr>
              <w:jc w:val="right"/>
              <w:rPr>
                <w:sz w:val="18"/>
                <w:szCs w:val="18"/>
              </w:rPr>
            </w:pPr>
            <w:r>
              <w:rPr>
                <w:sz w:val="18"/>
                <w:szCs w:val="18"/>
              </w:rPr>
              <w:t>26,2%</w:t>
            </w:r>
          </w:p>
        </w:tc>
      </w:tr>
      <w:tr w:rsidR="003E44E9" w:rsidRPr="003D5973" w14:paraId="0294A1F8" w14:textId="77777777" w:rsidTr="001A551D">
        <w:trPr>
          <w:trHeight w:val="310"/>
        </w:trPr>
        <w:tc>
          <w:tcPr>
            <w:tcW w:w="1048" w:type="pct"/>
            <w:tcBorders>
              <w:top w:val="nil"/>
              <w:left w:val="single" w:sz="4" w:space="0" w:color="auto"/>
              <w:bottom w:val="single" w:sz="4" w:space="0" w:color="auto"/>
              <w:right w:val="nil"/>
            </w:tcBorders>
            <w:shd w:val="clear" w:color="auto" w:fill="auto"/>
            <w:vAlign w:val="bottom"/>
            <w:hideMark/>
          </w:tcPr>
          <w:p w14:paraId="67FF3364" w14:textId="77777777" w:rsidR="003E44E9" w:rsidRPr="003D5973" w:rsidRDefault="003E44E9" w:rsidP="003E44E9">
            <w:pPr>
              <w:spacing w:after="0"/>
              <w:rPr>
                <w:rFonts w:eastAsia="Times New Roman" w:cs="Times New Roman"/>
                <w:sz w:val="16"/>
                <w:szCs w:val="16"/>
              </w:rPr>
            </w:pPr>
          </w:p>
        </w:tc>
        <w:tc>
          <w:tcPr>
            <w:tcW w:w="425" w:type="pct"/>
            <w:tcBorders>
              <w:top w:val="nil"/>
              <w:left w:val="single" w:sz="4" w:space="0" w:color="auto"/>
              <w:bottom w:val="nil"/>
              <w:right w:val="nil"/>
            </w:tcBorders>
            <w:shd w:val="clear" w:color="auto" w:fill="auto"/>
            <w:noWrap/>
            <w:vAlign w:val="center"/>
          </w:tcPr>
          <w:p w14:paraId="446367E2" w14:textId="77777777" w:rsidR="003E44E9" w:rsidRPr="00AF21CF" w:rsidRDefault="003E44E9" w:rsidP="003E44E9">
            <w:pPr>
              <w:jc w:val="right"/>
              <w:rPr>
                <w:rFonts w:asciiTheme="minorHAnsi" w:eastAsia="Times New Roman" w:hAnsiTheme="minorHAnsi" w:cstheme="minorHAnsi"/>
                <w:sz w:val="18"/>
                <w:szCs w:val="18"/>
              </w:rPr>
            </w:pPr>
          </w:p>
        </w:tc>
        <w:tc>
          <w:tcPr>
            <w:tcW w:w="543" w:type="pct"/>
            <w:tcBorders>
              <w:top w:val="nil"/>
              <w:left w:val="nil"/>
              <w:bottom w:val="nil"/>
              <w:right w:val="single" w:sz="4" w:space="0" w:color="auto"/>
            </w:tcBorders>
            <w:shd w:val="clear" w:color="auto" w:fill="auto"/>
            <w:noWrap/>
            <w:vAlign w:val="center"/>
          </w:tcPr>
          <w:p w14:paraId="349519CD"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25" w:type="pct"/>
            <w:tcBorders>
              <w:top w:val="nil"/>
              <w:left w:val="nil"/>
              <w:bottom w:val="nil"/>
              <w:right w:val="nil"/>
            </w:tcBorders>
            <w:shd w:val="clear" w:color="auto" w:fill="auto"/>
            <w:noWrap/>
            <w:vAlign w:val="center"/>
          </w:tcPr>
          <w:p w14:paraId="570B9900" w14:textId="77777777" w:rsidR="003E44E9" w:rsidRPr="00AF21CF" w:rsidRDefault="003E44E9" w:rsidP="003E44E9">
            <w:pPr>
              <w:jc w:val="right"/>
              <w:rPr>
                <w:rFonts w:asciiTheme="minorHAnsi" w:eastAsia="Times New Roman" w:hAnsiTheme="minorHAnsi" w:cstheme="minorHAnsi"/>
                <w:b/>
                <w:i/>
                <w:sz w:val="18"/>
                <w:szCs w:val="18"/>
              </w:rPr>
            </w:pPr>
          </w:p>
        </w:tc>
        <w:tc>
          <w:tcPr>
            <w:tcW w:w="543" w:type="pct"/>
            <w:tcBorders>
              <w:top w:val="nil"/>
              <w:left w:val="nil"/>
              <w:bottom w:val="nil"/>
              <w:right w:val="single" w:sz="4" w:space="0" w:color="auto"/>
            </w:tcBorders>
            <w:shd w:val="clear" w:color="auto" w:fill="auto"/>
            <w:noWrap/>
            <w:vAlign w:val="center"/>
          </w:tcPr>
          <w:p w14:paraId="72F9726F"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25" w:type="pct"/>
            <w:tcBorders>
              <w:top w:val="nil"/>
              <w:left w:val="nil"/>
              <w:bottom w:val="nil"/>
              <w:right w:val="nil"/>
            </w:tcBorders>
            <w:shd w:val="clear" w:color="auto" w:fill="auto"/>
            <w:noWrap/>
            <w:vAlign w:val="center"/>
          </w:tcPr>
          <w:p w14:paraId="66A7F991" w14:textId="77777777" w:rsidR="003E44E9" w:rsidRPr="00AF21CF" w:rsidRDefault="003E44E9" w:rsidP="003E44E9">
            <w:pPr>
              <w:jc w:val="right"/>
              <w:rPr>
                <w:rFonts w:asciiTheme="minorHAnsi" w:eastAsia="Times New Roman" w:hAnsiTheme="minorHAnsi" w:cstheme="minorHAnsi"/>
                <w:b/>
                <w:i/>
                <w:sz w:val="18"/>
                <w:szCs w:val="18"/>
              </w:rPr>
            </w:pPr>
          </w:p>
        </w:tc>
        <w:tc>
          <w:tcPr>
            <w:tcW w:w="543" w:type="pct"/>
            <w:tcBorders>
              <w:top w:val="nil"/>
              <w:left w:val="nil"/>
              <w:bottom w:val="nil"/>
              <w:right w:val="single" w:sz="4" w:space="0" w:color="auto"/>
            </w:tcBorders>
            <w:shd w:val="clear" w:color="auto" w:fill="auto"/>
            <w:noWrap/>
            <w:vAlign w:val="center"/>
          </w:tcPr>
          <w:p w14:paraId="551E2995"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25" w:type="pct"/>
            <w:tcBorders>
              <w:top w:val="nil"/>
              <w:left w:val="nil"/>
              <w:bottom w:val="nil"/>
              <w:right w:val="nil"/>
            </w:tcBorders>
            <w:shd w:val="clear" w:color="auto" w:fill="auto"/>
            <w:noWrap/>
            <w:vAlign w:val="center"/>
          </w:tcPr>
          <w:p w14:paraId="012E2747" w14:textId="77777777" w:rsidR="003E44E9" w:rsidRPr="00AF21CF" w:rsidRDefault="003E44E9" w:rsidP="003E44E9">
            <w:pPr>
              <w:jc w:val="right"/>
              <w:rPr>
                <w:rFonts w:asciiTheme="minorHAnsi" w:eastAsia="Times New Roman" w:hAnsiTheme="minorHAnsi" w:cstheme="minorHAnsi"/>
                <w:b/>
                <w:i/>
                <w:sz w:val="18"/>
                <w:szCs w:val="18"/>
              </w:rPr>
            </w:pPr>
          </w:p>
        </w:tc>
        <w:tc>
          <w:tcPr>
            <w:tcW w:w="622" w:type="pct"/>
            <w:tcBorders>
              <w:top w:val="nil"/>
              <w:left w:val="nil"/>
              <w:bottom w:val="nil"/>
              <w:right w:val="single" w:sz="4" w:space="0" w:color="auto"/>
            </w:tcBorders>
            <w:shd w:val="clear" w:color="auto" w:fill="auto"/>
            <w:noWrap/>
            <w:vAlign w:val="center"/>
          </w:tcPr>
          <w:p w14:paraId="62A582B7"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r>
      <w:tr w:rsidR="003E44E9" w:rsidRPr="003D5973" w14:paraId="69E349B9" w14:textId="77777777" w:rsidTr="001A551D">
        <w:trPr>
          <w:trHeight w:val="300"/>
        </w:trPr>
        <w:tc>
          <w:tcPr>
            <w:tcW w:w="1048" w:type="pct"/>
            <w:tcBorders>
              <w:top w:val="nil"/>
              <w:left w:val="single" w:sz="4" w:space="0" w:color="auto"/>
              <w:bottom w:val="nil"/>
              <w:right w:val="nil"/>
            </w:tcBorders>
            <w:shd w:val="clear" w:color="auto" w:fill="auto"/>
            <w:vAlign w:val="bottom"/>
            <w:hideMark/>
          </w:tcPr>
          <w:p w14:paraId="1B164CDC"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18. Общи правителствени приходи</w:t>
            </w:r>
          </w:p>
        </w:tc>
        <w:tc>
          <w:tcPr>
            <w:tcW w:w="425" w:type="pct"/>
            <w:tcBorders>
              <w:top w:val="single" w:sz="4" w:space="0" w:color="auto"/>
              <w:left w:val="single" w:sz="4" w:space="0" w:color="auto"/>
              <w:bottom w:val="nil"/>
              <w:right w:val="nil"/>
            </w:tcBorders>
            <w:shd w:val="clear" w:color="auto" w:fill="auto"/>
            <w:noWrap/>
            <w:vAlign w:val="bottom"/>
          </w:tcPr>
          <w:p w14:paraId="418F5C61" w14:textId="77777777" w:rsidR="003E44E9" w:rsidRDefault="003E44E9" w:rsidP="003E44E9">
            <w:pPr>
              <w:jc w:val="right"/>
              <w:rPr>
                <w:b/>
                <w:bCs/>
                <w:sz w:val="18"/>
                <w:szCs w:val="18"/>
              </w:rPr>
            </w:pPr>
            <w:r>
              <w:rPr>
                <w:b/>
                <w:bCs/>
                <w:sz w:val="18"/>
                <w:szCs w:val="18"/>
              </w:rPr>
              <w:t>44 227,5</w:t>
            </w:r>
          </w:p>
        </w:tc>
        <w:tc>
          <w:tcPr>
            <w:tcW w:w="543" w:type="pct"/>
            <w:tcBorders>
              <w:top w:val="single" w:sz="4" w:space="0" w:color="auto"/>
              <w:left w:val="nil"/>
              <w:bottom w:val="nil"/>
              <w:right w:val="single" w:sz="4" w:space="0" w:color="auto"/>
            </w:tcBorders>
            <w:shd w:val="clear" w:color="auto" w:fill="auto"/>
            <w:noWrap/>
            <w:vAlign w:val="bottom"/>
          </w:tcPr>
          <w:p w14:paraId="33D7D885" w14:textId="77777777" w:rsidR="003E44E9" w:rsidRDefault="003E44E9" w:rsidP="003E44E9">
            <w:pPr>
              <w:jc w:val="right"/>
              <w:rPr>
                <w:b/>
                <w:bCs/>
                <w:sz w:val="18"/>
                <w:szCs w:val="18"/>
              </w:rPr>
            </w:pPr>
            <w:r>
              <w:rPr>
                <w:b/>
                <w:bCs/>
                <w:sz w:val="18"/>
                <w:szCs w:val="18"/>
              </w:rPr>
              <w:t>39,2%</w:t>
            </w:r>
          </w:p>
        </w:tc>
        <w:tc>
          <w:tcPr>
            <w:tcW w:w="425" w:type="pct"/>
            <w:tcBorders>
              <w:top w:val="single" w:sz="4" w:space="0" w:color="auto"/>
              <w:left w:val="nil"/>
              <w:bottom w:val="nil"/>
              <w:right w:val="nil"/>
            </w:tcBorders>
            <w:shd w:val="clear" w:color="auto" w:fill="auto"/>
            <w:noWrap/>
            <w:vAlign w:val="bottom"/>
          </w:tcPr>
          <w:p w14:paraId="7A9A33A4" w14:textId="77777777" w:rsidR="003E44E9" w:rsidRDefault="003E44E9" w:rsidP="003E44E9">
            <w:pPr>
              <w:jc w:val="right"/>
              <w:rPr>
                <w:b/>
                <w:bCs/>
                <w:sz w:val="18"/>
                <w:szCs w:val="18"/>
              </w:rPr>
            </w:pPr>
            <w:r>
              <w:rPr>
                <w:b/>
                <w:bCs/>
                <w:sz w:val="18"/>
                <w:szCs w:val="18"/>
              </w:rPr>
              <w:t>49 557,8</w:t>
            </w:r>
          </w:p>
        </w:tc>
        <w:tc>
          <w:tcPr>
            <w:tcW w:w="543" w:type="pct"/>
            <w:tcBorders>
              <w:top w:val="single" w:sz="4" w:space="0" w:color="auto"/>
              <w:left w:val="nil"/>
              <w:bottom w:val="nil"/>
              <w:right w:val="single" w:sz="4" w:space="0" w:color="auto"/>
            </w:tcBorders>
            <w:shd w:val="clear" w:color="auto" w:fill="auto"/>
            <w:noWrap/>
            <w:vAlign w:val="bottom"/>
          </w:tcPr>
          <w:p w14:paraId="08BC05CE" w14:textId="77777777" w:rsidR="003E44E9" w:rsidRDefault="003E44E9" w:rsidP="003E44E9">
            <w:pPr>
              <w:jc w:val="right"/>
              <w:rPr>
                <w:b/>
                <w:bCs/>
                <w:sz w:val="18"/>
                <w:szCs w:val="18"/>
              </w:rPr>
            </w:pPr>
            <w:r>
              <w:rPr>
                <w:b/>
                <w:bCs/>
                <w:sz w:val="18"/>
                <w:szCs w:val="18"/>
              </w:rPr>
              <w:t>41,2%</w:t>
            </w:r>
          </w:p>
        </w:tc>
        <w:tc>
          <w:tcPr>
            <w:tcW w:w="425" w:type="pct"/>
            <w:tcBorders>
              <w:top w:val="single" w:sz="4" w:space="0" w:color="auto"/>
              <w:left w:val="nil"/>
              <w:bottom w:val="nil"/>
              <w:right w:val="nil"/>
            </w:tcBorders>
            <w:shd w:val="clear" w:color="auto" w:fill="auto"/>
            <w:noWrap/>
            <w:vAlign w:val="bottom"/>
          </w:tcPr>
          <w:p w14:paraId="3037609E" w14:textId="77777777" w:rsidR="003E44E9" w:rsidRDefault="003E44E9" w:rsidP="003E44E9">
            <w:pPr>
              <w:jc w:val="right"/>
              <w:rPr>
                <w:b/>
                <w:bCs/>
                <w:sz w:val="18"/>
                <w:szCs w:val="18"/>
              </w:rPr>
            </w:pPr>
            <w:r>
              <w:rPr>
                <w:b/>
                <w:bCs/>
                <w:sz w:val="18"/>
                <w:szCs w:val="18"/>
              </w:rPr>
              <w:t>50 897,9</w:t>
            </w:r>
          </w:p>
        </w:tc>
        <w:tc>
          <w:tcPr>
            <w:tcW w:w="543" w:type="pct"/>
            <w:tcBorders>
              <w:top w:val="single" w:sz="4" w:space="0" w:color="auto"/>
              <w:left w:val="nil"/>
              <w:bottom w:val="nil"/>
              <w:right w:val="single" w:sz="4" w:space="0" w:color="auto"/>
            </w:tcBorders>
            <w:shd w:val="clear" w:color="auto" w:fill="auto"/>
            <w:noWrap/>
            <w:vAlign w:val="bottom"/>
          </w:tcPr>
          <w:p w14:paraId="57824A64" w14:textId="77777777" w:rsidR="003E44E9" w:rsidRDefault="003E44E9" w:rsidP="003E44E9">
            <w:pPr>
              <w:jc w:val="right"/>
              <w:rPr>
                <w:b/>
                <w:bCs/>
                <w:sz w:val="18"/>
                <w:szCs w:val="18"/>
              </w:rPr>
            </w:pPr>
            <w:r>
              <w:rPr>
                <w:b/>
                <w:bCs/>
                <w:sz w:val="18"/>
                <w:szCs w:val="18"/>
              </w:rPr>
              <w:t>40,1%</w:t>
            </w:r>
          </w:p>
        </w:tc>
        <w:tc>
          <w:tcPr>
            <w:tcW w:w="425" w:type="pct"/>
            <w:tcBorders>
              <w:top w:val="single" w:sz="4" w:space="0" w:color="auto"/>
              <w:left w:val="nil"/>
              <w:bottom w:val="nil"/>
              <w:right w:val="nil"/>
            </w:tcBorders>
            <w:shd w:val="clear" w:color="auto" w:fill="auto"/>
            <w:noWrap/>
            <w:vAlign w:val="bottom"/>
          </w:tcPr>
          <w:p w14:paraId="3C6CB29F" w14:textId="77777777" w:rsidR="003E44E9" w:rsidRDefault="003E44E9" w:rsidP="003E44E9">
            <w:pPr>
              <w:jc w:val="right"/>
              <w:rPr>
                <w:b/>
                <w:bCs/>
                <w:sz w:val="18"/>
                <w:szCs w:val="18"/>
              </w:rPr>
            </w:pPr>
            <w:r>
              <w:rPr>
                <w:b/>
                <w:bCs/>
                <w:sz w:val="18"/>
                <w:szCs w:val="18"/>
              </w:rPr>
              <w:t>53 564,5</w:t>
            </w:r>
          </w:p>
        </w:tc>
        <w:tc>
          <w:tcPr>
            <w:tcW w:w="622" w:type="pct"/>
            <w:tcBorders>
              <w:top w:val="single" w:sz="4" w:space="0" w:color="auto"/>
              <w:left w:val="nil"/>
              <w:bottom w:val="nil"/>
              <w:right w:val="single" w:sz="4" w:space="0" w:color="auto"/>
            </w:tcBorders>
            <w:shd w:val="clear" w:color="auto" w:fill="auto"/>
            <w:noWrap/>
            <w:vAlign w:val="bottom"/>
          </w:tcPr>
          <w:p w14:paraId="310D64DD" w14:textId="77777777" w:rsidR="003E44E9" w:rsidRDefault="003E44E9" w:rsidP="003E44E9">
            <w:pPr>
              <w:jc w:val="right"/>
              <w:rPr>
                <w:b/>
                <w:bCs/>
                <w:sz w:val="18"/>
                <w:szCs w:val="18"/>
              </w:rPr>
            </w:pPr>
            <w:r>
              <w:rPr>
                <w:b/>
                <w:bCs/>
                <w:sz w:val="18"/>
                <w:szCs w:val="18"/>
              </w:rPr>
              <w:t>40,1%</w:t>
            </w:r>
          </w:p>
        </w:tc>
      </w:tr>
      <w:tr w:rsidR="003E44E9" w:rsidRPr="003D5973" w14:paraId="38B7A3A3" w14:textId="77777777" w:rsidTr="001A551D">
        <w:trPr>
          <w:trHeight w:val="300"/>
        </w:trPr>
        <w:tc>
          <w:tcPr>
            <w:tcW w:w="1048" w:type="pct"/>
            <w:tcBorders>
              <w:top w:val="nil"/>
              <w:left w:val="single" w:sz="4" w:space="0" w:color="auto"/>
              <w:bottom w:val="nil"/>
              <w:right w:val="nil"/>
            </w:tcBorders>
            <w:shd w:val="clear" w:color="auto" w:fill="auto"/>
            <w:vAlign w:val="bottom"/>
            <w:hideMark/>
          </w:tcPr>
          <w:p w14:paraId="4F903D6F"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19. Общи правителствени разходи</w:t>
            </w:r>
          </w:p>
        </w:tc>
        <w:tc>
          <w:tcPr>
            <w:tcW w:w="425" w:type="pct"/>
            <w:tcBorders>
              <w:top w:val="nil"/>
              <w:left w:val="single" w:sz="4" w:space="0" w:color="auto"/>
              <w:bottom w:val="nil"/>
              <w:right w:val="nil"/>
            </w:tcBorders>
            <w:shd w:val="clear" w:color="auto" w:fill="auto"/>
            <w:noWrap/>
            <w:vAlign w:val="bottom"/>
          </w:tcPr>
          <w:p w14:paraId="6B91B57F" w14:textId="77777777" w:rsidR="003E44E9" w:rsidRDefault="003E44E9" w:rsidP="003E44E9">
            <w:pPr>
              <w:jc w:val="right"/>
              <w:rPr>
                <w:b/>
                <w:bCs/>
                <w:sz w:val="18"/>
                <w:szCs w:val="18"/>
              </w:rPr>
            </w:pPr>
            <w:r>
              <w:rPr>
                <w:b/>
                <w:bCs/>
                <w:sz w:val="18"/>
                <w:szCs w:val="18"/>
              </w:rPr>
              <w:t>47 614,6</w:t>
            </w:r>
          </w:p>
        </w:tc>
        <w:tc>
          <w:tcPr>
            <w:tcW w:w="543" w:type="pct"/>
            <w:tcBorders>
              <w:top w:val="nil"/>
              <w:left w:val="nil"/>
              <w:bottom w:val="nil"/>
              <w:right w:val="single" w:sz="4" w:space="0" w:color="auto"/>
            </w:tcBorders>
            <w:shd w:val="clear" w:color="auto" w:fill="auto"/>
            <w:noWrap/>
            <w:vAlign w:val="bottom"/>
          </w:tcPr>
          <w:p w14:paraId="4FECB1BC" w14:textId="77777777" w:rsidR="003E44E9" w:rsidRDefault="003E44E9" w:rsidP="003E44E9">
            <w:pPr>
              <w:jc w:val="right"/>
              <w:rPr>
                <w:b/>
                <w:bCs/>
                <w:sz w:val="18"/>
                <w:szCs w:val="18"/>
              </w:rPr>
            </w:pPr>
            <w:r>
              <w:rPr>
                <w:b/>
                <w:bCs/>
                <w:sz w:val="18"/>
                <w:szCs w:val="18"/>
              </w:rPr>
              <w:t>42,2%</w:t>
            </w:r>
          </w:p>
        </w:tc>
        <w:tc>
          <w:tcPr>
            <w:tcW w:w="425" w:type="pct"/>
            <w:tcBorders>
              <w:top w:val="nil"/>
              <w:left w:val="nil"/>
              <w:bottom w:val="nil"/>
              <w:right w:val="nil"/>
            </w:tcBorders>
            <w:shd w:val="clear" w:color="auto" w:fill="auto"/>
            <w:noWrap/>
            <w:vAlign w:val="bottom"/>
          </w:tcPr>
          <w:p w14:paraId="466B6904" w14:textId="77777777" w:rsidR="003E44E9" w:rsidRDefault="003E44E9" w:rsidP="003E44E9">
            <w:pPr>
              <w:jc w:val="right"/>
              <w:rPr>
                <w:b/>
                <w:bCs/>
                <w:sz w:val="18"/>
                <w:szCs w:val="18"/>
              </w:rPr>
            </w:pPr>
            <w:r>
              <w:rPr>
                <w:b/>
                <w:bCs/>
                <w:sz w:val="18"/>
                <w:szCs w:val="18"/>
              </w:rPr>
              <w:t>53 222,5</w:t>
            </w:r>
          </w:p>
        </w:tc>
        <w:tc>
          <w:tcPr>
            <w:tcW w:w="543" w:type="pct"/>
            <w:tcBorders>
              <w:top w:val="nil"/>
              <w:left w:val="nil"/>
              <w:bottom w:val="nil"/>
              <w:right w:val="single" w:sz="4" w:space="0" w:color="auto"/>
            </w:tcBorders>
            <w:shd w:val="clear" w:color="auto" w:fill="auto"/>
            <w:noWrap/>
            <w:vAlign w:val="bottom"/>
          </w:tcPr>
          <w:p w14:paraId="21A891A0" w14:textId="77777777" w:rsidR="003E44E9" w:rsidRDefault="003E44E9" w:rsidP="003E44E9">
            <w:pPr>
              <w:jc w:val="right"/>
              <w:rPr>
                <w:b/>
                <w:bCs/>
                <w:sz w:val="18"/>
                <w:szCs w:val="18"/>
              </w:rPr>
            </w:pPr>
            <w:r>
              <w:rPr>
                <w:b/>
                <w:bCs/>
                <w:sz w:val="18"/>
                <w:szCs w:val="18"/>
              </w:rPr>
              <w:t>44,3%</w:t>
            </w:r>
          </w:p>
        </w:tc>
        <w:tc>
          <w:tcPr>
            <w:tcW w:w="425" w:type="pct"/>
            <w:tcBorders>
              <w:top w:val="nil"/>
              <w:left w:val="nil"/>
              <w:bottom w:val="nil"/>
              <w:right w:val="nil"/>
            </w:tcBorders>
            <w:shd w:val="clear" w:color="auto" w:fill="auto"/>
            <w:noWrap/>
            <w:vAlign w:val="bottom"/>
          </w:tcPr>
          <w:p w14:paraId="5AE7726D" w14:textId="77777777" w:rsidR="003E44E9" w:rsidRDefault="003E44E9" w:rsidP="003E44E9">
            <w:pPr>
              <w:jc w:val="right"/>
              <w:rPr>
                <w:b/>
                <w:bCs/>
                <w:sz w:val="18"/>
                <w:szCs w:val="18"/>
              </w:rPr>
            </w:pPr>
            <w:r>
              <w:rPr>
                <w:b/>
                <w:bCs/>
                <w:sz w:val="18"/>
                <w:szCs w:val="18"/>
              </w:rPr>
              <w:t>56 049,9</w:t>
            </w:r>
          </w:p>
        </w:tc>
        <w:tc>
          <w:tcPr>
            <w:tcW w:w="543" w:type="pct"/>
            <w:tcBorders>
              <w:top w:val="nil"/>
              <w:left w:val="nil"/>
              <w:bottom w:val="nil"/>
              <w:right w:val="single" w:sz="4" w:space="0" w:color="auto"/>
            </w:tcBorders>
            <w:shd w:val="clear" w:color="auto" w:fill="auto"/>
            <w:noWrap/>
            <w:vAlign w:val="bottom"/>
          </w:tcPr>
          <w:p w14:paraId="7C1DAE7D" w14:textId="77777777" w:rsidR="003E44E9" w:rsidRDefault="003E44E9" w:rsidP="003E44E9">
            <w:pPr>
              <w:jc w:val="right"/>
              <w:rPr>
                <w:b/>
                <w:bCs/>
                <w:sz w:val="18"/>
                <w:szCs w:val="18"/>
              </w:rPr>
            </w:pPr>
            <w:r>
              <w:rPr>
                <w:b/>
                <w:bCs/>
                <w:sz w:val="18"/>
                <w:szCs w:val="18"/>
              </w:rPr>
              <w:t>44,1%</w:t>
            </w:r>
          </w:p>
        </w:tc>
        <w:tc>
          <w:tcPr>
            <w:tcW w:w="425" w:type="pct"/>
            <w:tcBorders>
              <w:top w:val="nil"/>
              <w:left w:val="nil"/>
              <w:bottom w:val="nil"/>
              <w:right w:val="nil"/>
            </w:tcBorders>
            <w:shd w:val="clear" w:color="auto" w:fill="auto"/>
            <w:noWrap/>
            <w:vAlign w:val="bottom"/>
          </w:tcPr>
          <w:p w14:paraId="19BBEB05" w14:textId="77777777" w:rsidR="003E44E9" w:rsidRDefault="003E44E9" w:rsidP="003E44E9">
            <w:pPr>
              <w:jc w:val="right"/>
              <w:rPr>
                <w:b/>
                <w:bCs/>
                <w:sz w:val="18"/>
                <w:szCs w:val="18"/>
              </w:rPr>
            </w:pPr>
            <w:r>
              <w:rPr>
                <w:b/>
                <w:bCs/>
                <w:sz w:val="18"/>
                <w:szCs w:val="18"/>
              </w:rPr>
              <w:t>57 506,7</w:t>
            </w:r>
          </w:p>
        </w:tc>
        <w:tc>
          <w:tcPr>
            <w:tcW w:w="622" w:type="pct"/>
            <w:tcBorders>
              <w:top w:val="nil"/>
              <w:left w:val="nil"/>
              <w:bottom w:val="nil"/>
              <w:right w:val="single" w:sz="4" w:space="0" w:color="auto"/>
            </w:tcBorders>
            <w:shd w:val="clear" w:color="auto" w:fill="auto"/>
            <w:noWrap/>
            <w:vAlign w:val="bottom"/>
          </w:tcPr>
          <w:p w14:paraId="5933F129" w14:textId="77777777" w:rsidR="003E44E9" w:rsidRDefault="003E44E9" w:rsidP="003E44E9">
            <w:pPr>
              <w:jc w:val="right"/>
              <w:rPr>
                <w:b/>
                <w:bCs/>
                <w:sz w:val="18"/>
                <w:szCs w:val="18"/>
              </w:rPr>
            </w:pPr>
            <w:r>
              <w:rPr>
                <w:b/>
                <w:bCs/>
                <w:sz w:val="18"/>
                <w:szCs w:val="18"/>
              </w:rPr>
              <w:t>43,0%</w:t>
            </w:r>
          </w:p>
        </w:tc>
      </w:tr>
      <w:tr w:rsidR="003E44E9" w:rsidRPr="003D5973" w14:paraId="25985517" w14:textId="77777777" w:rsidTr="001A551D">
        <w:trPr>
          <w:trHeight w:val="300"/>
        </w:trPr>
        <w:tc>
          <w:tcPr>
            <w:tcW w:w="1048" w:type="pct"/>
            <w:tcBorders>
              <w:top w:val="nil"/>
              <w:left w:val="single" w:sz="4" w:space="0" w:color="auto"/>
              <w:bottom w:val="nil"/>
              <w:right w:val="nil"/>
            </w:tcBorders>
            <w:shd w:val="clear" w:color="auto" w:fill="auto"/>
          </w:tcPr>
          <w:p w14:paraId="780D73B6"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20. Баланс</w:t>
            </w:r>
          </w:p>
        </w:tc>
        <w:tc>
          <w:tcPr>
            <w:tcW w:w="425" w:type="pct"/>
            <w:tcBorders>
              <w:top w:val="nil"/>
              <w:left w:val="single" w:sz="4" w:space="0" w:color="auto"/>
              <w:bottom w:val="nil"/>
              <w:right w:val="nil"/>
            </w:tcBorders>
            <w:shd w:val="clear" w:color="auto" w:fill="auto"/>
            <w:noWrap/>
            <w:vAlign w:val="bottom"/>
          </w:tcPr>
          <w:p w14:paraId="371D029B" w14:textId="77777777" w:rsidR="003E44E9" w:rsidRDefault="003E44E9" w:rsidP="003E44E9">
            <w:pPr>
              <w:jc w:val="right"/>
              <w:rPr>
                <w:b/>
                <w:bCs/>
                <w:sz w:val="18"/>
                <w:szCs w:val="18"/>
              </w:rPr>
            </w:pPr>
            <w:r>
              <w:rPr>
                <w:b/>
                <w:bCs/>
                <w:sz w:val="18"/>
                <w:szCs w:val="18"/>
              </w:rPr>
              <w:t>-3 387,1</w:t>
            </w:r>
          </w:p>
        </w:tc>
        <w:tc>
          <w:tcPr>
            <w:tcW w:w="543" w:type="pct"/>
            <w:tcBorders>
              <w:top w:val="nil"/>
              <w:left w:val="nil"/>
              <w:bottom w:val="nil"/>
              <w:right w:val="single" w:sz="4" w:space="0" w:color="auto"/>
            </w:tcBorders>
            <w:shd w:val="clear" w:color="auto" w:fill="auto"/>
            <w:noWrap/>
            <w:vAlign w:val="bottom"/>
          </w:tcPr>
          <w:p w14:paraId="6EF9C6F4" w14:textId="77777777" w:rsidR="003E44E9" w:rsidRDefault="003E44E9" w:rsidP="003E44E9">
            <w:pPr>
              <w:jc w:val="right"/>
              <w:rPr>
                <w:b/>
                <w:bCs/>
                <w:sz w:val="18"/>
                <w:szCs w:val="18"/>
              </w:rPr>
            </w:pPr>
            <w:r>
              <w:rPr>
                <w:b/>
                <w:bCs/>
                <w:sz w:val="18"/>
                <w:szCs w:val="18"/>
              </w:rPr>
              <w:t>-3,0%</w:t>
            </w:r>
          </w:p>
        </w:tc>
        <w:tc>
          <w:tcPr>
            <w:tcW w:w="425" w:type="pct"/>
            <w:tcBorders>
              <w:top w:val="nil"/>
              <w:left w:val="nil"/>
              <w:bottom w:val="nil"/>
              <w:right w:val="nil"/>
            </w:tcBorders>
            <w:shd w:val="clear" w:color="auto" w:fill="auto"/>
            <w:noWrap/>
            <w:vAlign w:val="bottom"/>
          </w:tcPr>
          <w:p w14:paraId="7F5265E3" w14:textId="77777777" w:rsidR="003E44E9" w:rsidRDefault="003E44E9" w:rsidP="003E44E9">
            <w:pPr>
              <w:jc w:val="right"/>
              <w:rPr>
                <w:b/>
                <w:bCs/>
                <w:sz w:val="18"/>
                <w:szCs w:val="18"/>
              </w:rPr>
            </w:pPr>
            <w:r>
              <w:rPr>
                <w:b/>
                <w:bCs/>
                <w:sz w:val="18"/>
                <w:szCs w:val="18"/>
              </w:rPr>
              <w:t>-3 664,7</w:t>
            </w:r>
          </w:p>
        </w:tc>
        <w:tc>
          <w:tcPr>
            <w:tcW w:w="543" w:type="pct"/>
            <w:tcBorders>
              <w:top w:val="nil"/>
              <w:left w:val="nil"/>
              <w:bottom w:val="nil"/>
              <w:right w:val="single" w:sz="4" w:space="0" w:color="auto"/>
            </w:tcBorders>
            <w:shd w:val="clear" w:color="auto" w:fill="auto"/>
            <w:noWrap/>
            <w:vAlign w:val="bottom"/>
          </w:tcPr>
          <w:p w14:paraId="171BC15C" w14:textId="77777777" w:rsidR="003E44E9" w:rsidRDefault="003E44E9" w:rsidP="003E44E9">
            <w:pPr>
              <w:jc w:val="right"/>
              <w:rPr>
                <w:b/>
                <w:bCs/>
                <w:sz w:val="18"/>
                <w:szCs w:val="18"/>
              </w:rPr>
            </w:pPr>
            <w:r>
              <w:rPr>
                <w:b/>
                <w:bCs/>
                <w:sz w:val="18"/>
                <w:szCs w:val="18"/>
              </w:rPr>
              <w:t>-3,0%</w:t>
            </w:r>
          </w:p>
        </w:tc>
        <w:tc>
          <w:tcPr>
            <w:tcW w:w="425" w:type="pct"/>
            <w:tcBorders>
              <w:top w:val="nil"/>
              <w:left w:val="nil"/>
              <w:bottom w:val="nil"/>
              <w:right w:val="nil"/>
            </w:tcBorders>
            <w:shd w:val="clear" w:color="auto" w:fill="auto"/>
            <w:noWrap/>
            <w:vAlign w:val="bottom"/>
          </w:tcPr>
          <w:p w14:paraId="1ED59EB2" w14:textId="77777777" w:rsidR="003E44E9" w:rsidRDefault="003E44E9" w:rsidP="003E44E9">
            <w:pPr>
              <w:jc w:val="right"/>
              <w:rPr>
                <w:b/>
                <w:bCs/>
                <w:sz w:val="18"/>
                <w:szCs w:val="18"/>
              </w:rPr>
            </w:pPr>
            <w:r>
              <w:rPr>
                <w:b/>
                <w:bCs/>
                <w:sz w:val="18"/>
                <w:szCs w:val="18"/>
              </w:rPr>
              <w:t>-5 152,0</w:t>
            </w:r>
          </w:p>
        </w:tc>
        <w:tc>
          <w:tcPr>
            <w:tcW w:w="543" w:type="pct"/>
            <w:tcBorders>
              <w:top w:val="nil"/>
              <w:left w:val="nil"/>
              <w:bottom w:val="nil"/>
              <w:right w:val="single" w:sz="4" w:space="0" w:color="auto"/>
            </w:tcBorders>
            <w:shd w:val="clear" w:color="auto" w:fill="auto"/>
            <w:noWrap/>
            <w:vAlign w:val="bottom"/>
          </w:tcPr>
          <w:p w14:paraId="0435D5F4" w14:textId="77777777" w:rsidR="003E44E9" w:rsidRDefault="003E44E9" w:rsidP="003E44E9">
            <w:pPr>
              <w:jc w:val="right"/>
              <w:rPr>
                <w:b/>
                <w:bCs/>
                <w:sz w:val="18"/>
                <w:szCs w:val="18"/>
              </w:rPr>
            </w:pPr>
            <w:r>
              <w:rPr>
                <w:b/>
                <w:bCs/>
                <w:sz w:val="18"/>
                <w:szCs w:val="18"/>
              </w:rPr>
              <w:t>-4,1%</w:t>
            </w:r>
          </w:p>
        </w:tc>
        <w:tc>
          <w:tcPr>
            <w:tcW w:w="425" w:type="pct"/>
            <w:tcBorders>
              <w:top w:val="nil"/>
              <w:left w:val="nil"/>
              <w:bottom w:val="nil"/>
              <w:right w:val="nil"/>
            </w:tcBorders>
            <w:shd w:val="clear" w:color="auto" w:fill="auto"/>
            <w:noWrap/>
            <w:vAlign w:val="bottom"/>
          </w:tcPr>
          <w:p w14:paraId="205DA977" w14:textId="77777777" w:rsidR="003E44E9" w:rsidRDefault="003E44E9" w:rsidP="003E44E9">
            <w:pPr>
              <w:jc w:val="right"/>
              <w:rPr>
                <w:b/>
                <w:bCs/>
                <w:sz w:val="18"/>
                <w:szCs w:val="18"/>
              </w:rPr>
            </w:pPr>
            <w:r>
              <w:rPr>
                <w:b/>
                <w:bCs/>
                <w:sz w:val="18"/>
                <w:szCs w:val="18"/>
              </w:rPr>
              <w:t>-3 942,2</w:t>
            </w:r>
          </w:p>
        </w:tc>
        <w:tc>
          <w:tcPr>
            <w:tcW w:w="622" w:type="pct"/>
            <w:tcBorders>
              <w:top w:val="nil"/>
              <w:left w:val="nil"/>
              <w:bottom w:val="nil"/>
              <w:right w:val="single" w:sz="4" w:space="0" w:color="auto"/>
            </w:tcBorders>
            <w:shd w:val="clear" w:color="auto" w:fill="auto"/>
            <w:noWrap/>
            <w:vAlign w:val="bottom"/>
          </w:tcPr>
          <w:p w14:paraId="443AFA12" w14:textId="77777777" w:rsidR="003E44E9" w:rsidRDefault="003E44E9" w:rsidP="003E44E9">
            <w:pPr>
              <w:jc w:val="right"/>
              <w:rPr>
                <w:b/>
                <w:bCs/>
                <w:sz w:val="18"/>
                <w:szCs w:val="18"/>
              </w:rPr>
            </w:pPr>
            <w:r>
              <w:rPr>
                <w:b/>
                <w:bCs/>
                <w:sz w:val="18"/>
                <w:szCs w:val="18"/>
              </w:rPr>
              <w:t>-2,9%</w:t>
            </w:r>
          </w:p>
        </w:tc>
      </w:tr>
      <w:tr w:rsidR="003E44E9" w:rsidRPr="003D5973" w14:paraId="5AB2A599" w14:textId="77777777" w:rsidTr="001A551D">
        <w:trPr>
          <w:trHeight w:val="265"/>
        </w:trPr>
        <w:tc>
          <w:tcPr>
            <w:tcW w:w="1048" w:type="pct"/>
            <w:tcBorders>
              <w:top w:val="nil"/>
              <w:left w:val="single" w:sz="4" w:space="0" w:color="auto"/>
              <w:bottom w:val="nil"/>
              <w:right w:val="nil"/>
            </w:tcBorders>
            <w:shd w:val="clear" w:color="auto" w:fill="auto"/>
          </w:tcPr>
          <w:p w14:paraId="600510F2" w14:textId="77777777" w:rsidR="003E44E9" w:rsidRPr="003D5973" w:rsidRDefault="003E44E9" w:rsidP="003E44E9">
            <w:pPr>
              <w:spacing w:after="0"/>
              <w:jc w:val="left"/>
              <w:rPr>
                <w:rFonts w:eastAsia="Times New Roman" w:cs="Times New Roman"/>
                <w:bCs/>
                <w:i/>
                <w:sz w:val="16"/>
                <w:szCs w:val="16"/>
              </w:rPr>
            </w:pPr>
            <w:r w:rsidRPr="003D5973">
              <w:rPr>
                <w:rFonts w:eastAsia="Times New Roman" w:cs="Times New Roman"/>
                <w:bCs/>
                <w:i/>
                <w:sz w:val="16"/>
                <w:szCs w:val="16"/>
              </w:rPr>
              <w:t>20a. - първичен баланс</w:t>
            </w:r>
          </w:p>
        </w:tc>
        <w:tc>
          <w:tcPr>
            <w:tcW w:w="425" w:type="pct"/>
            <w:tcBorders>
              <w:top w:val="nil"/>
              <w:left w:val="single" w:sz="4" w:space="0" w:color="auto"/>
              <w:bottom w:val="nil"/>
              <w:right w:val="nil"/>
            </w:tcBorders>
            <w:shd w:val="clear" w:color="auto" w:fill="auto"/>
            <w:noWrap/>
            <w:vAlign w:val="bottom"/>
          </w:tcPr>
          <w:p w14:paraId="3D67F998" w14:textId="77777777" w:rsidR="003E44E9" w:rsidRDefault="003E44E9" w:rsidP="003E44E9">
            <w:pPr>
              <w:jc w:val="right"/>
              <w:rPr>
                <w:i/>
                <w:iCs/>
                <w:sz w:val="18"/>
                <w:szCs w:val="18"/>
              </w:rPr>
            </w:pPr>
            <w:r>
              <w:rPr>
                <w:i/>
                <w:iCs/>
                <w:sz w:val="18"/>
                <w:szCs w:val="18"/>
              </w:rPr>
              <w:t>-2 416,3</w:t>
            </w:r>
          </w:p>
        </w:tc>
        <w:tc>
          <w:tcPr>
            <w:tcW w:w="543" w:type="pct"/>
            <w:tcBorders>
              <w:top w:val="nil"/>
              <w:left w:val="nil"/>
              <w:bottom w:val="nil"/>
              <w:right w:val="single" w:sz="4" w:space="0" w:color="auto"/>
            </w:tcBorders>
            <w:shd w:val="clear" w:color="auto" w:fill="auto"/>
            <w:noWrap/>
            <w:vAlign w:val="bottom"/>
          </w:tcPr>
          <w:p w14:paraId="58DF025A" w14:textId="77777777" w:rsidR="003E44E9" w:rsidRDefault="003E44E9" w:rsidP="003E44E9">
            <w:pPr>
              <w:jc w:val="right"/>
              <w:rPr>
                <w:sz w:val="18"/>
                <w:szCs w:val="18"/>
              </w:rPr>
            </w:pPr>
            <w:r>
              <w:rPr>
                <w:sz w:val="18"/>
                <w:szCs w:val="18"/>
              </w:rPr>
              <w:t>-2,1%</w:t>
            </w:r>
          </w:p>
        </w:tc>
        <w:tc>
          <w:tcPr>
            <w:tcW w:w="425" w:type="pct"/>
            <w:tcBorders>
              <w:top w:val="nil"/>
              <w:left w:val="nil"/>
              <w:bottom w:val="nil"/>
              <w:right w:val="nil"/>
            </w:tcBorders>
            <w:shd w:val="clear" w:color="auto" w:fill="auto"/>
            <w:noWrap/>
            <w:vAlign w:val="bottom"/>
          </w:tcPr>
          <w:p w14:paraId="7E6A1121" w14:textId="77777777" w:rsidR="003E44E9" w:rsidRDefault="003E44E9" w:rsidP="003E44E9">
            <w:pPr>
              <w:jc w:val="right"/>
              <w:rPr>
                <w:i/>
                <w:iCs/>
                <w:sz w:val="18"/>
                <w:szCs w:val="18"/>
              </w:rPr>
            </w:pPr>
            <w:r>
              <w:rPr>
                <w:i/>
                <w:iCs/>
                <w:sz w:val="18"/>
                <w:szCs w:val="18"/>
              </w:rPr>
              <w:t>-2 405,2</w:t>
            </w:r>
          </w:p>
        </w:tc>
        <w:tc>
          <w:tcPr>
            <w:tcW w:w="543" w:type="pct"/>
            <w:tcBorders>
              <w:top w:val="nil"/>
              <w:left w:val="nil"/>
              <w:bottom w:val="nil"/>
              <w:right w:val="single" w:sz="4" w:space="0" w:color="auto"/>
            </w:tcBorders>
            <w:shd w:val="clear" w:color="auto" w:fill="auto"/>
            <w:noWrap/>
            <w:vAlign w:val="bottom"/>
          </w:tcPr>
          <w:p w14:paraId="46202868" w14:textId="77777777" w:rsidR="003E44E9" w:rsidRDefault="003E44E9" w:rsidP="003E44E9">
            <w:pPr>
              <w:jc w:val="right"/>
              <w:rPr>
                <w:sz w:val="18"/>
                <w:szCs w:val="18"/>
              </w:rPr>
            </w:pPr>
            <w:r>
              <w:rPr>
                <w:sz w:val="18"/>
                <w:szCs w:val="18"/>
              </w:rPr>
              <w:t>-2,0%</w:t>
            </w:r>
          </w:p>
        </w:tc>
        <w:tc>
          <w:tcPr>
            <w:tcW w:w="425" w:type="pct"/>
            <w:tcBorders>
              <w:top w:val="nil"/>
              <w:left w:val="nil"/>
              <w:bottom w:val="nil"/>
              <w:right w:val="nil"/>
            </w:tcBorders>
            <w:shd w:val="clear" w:color="auto" w:fill="auto"/>
            <w:noWrap/>
            <w:vAlign w:val="bottom"/>
          </w:tcPr>
          <w:p w14:paraId="5ABAFCB7" w14:textId="77777777" w:rsidR="003E44E9" w:rsidRDefault="003E44E9" w:rsidP="003E44E9">
            <w:pPr>
              <w:jc w:val="right"/>
              <w:rPr>
                <w:i/>
                <w:iCs/>
                <w:sz w:val="18"/>
                <w:szCs w:val="18"/>
              </w:rPr>
            </w:pPr>
            <w:r>
              <w:rPr>
                <w:i/>
                <w:iCs/>
                <w:sz w:val="18"/>
                <w:szCs w:val="18"/>
              </w:rPr>
              <w:t>-3 586,2</w:t>
            </w:r>
          </w:p>
        </w:tc>
        <w:tc>
          <w:tcPr>
            <w:tcW w:w="543" w:type="pct"/>
            <w:tcBorders>
              <w:top w:val="nil"/>
              <w:left w:val="nil"/>
              <w:bottom w:val="nil"/>
              <w:right w:val="single" w:sz="4" w:space="0" w:color="auto"/>
            </w:tcBorders>
            <w:shd w:val="clear" w:color="auto" w:fill="auto"/>
            <w:noWrap/>
            <w:vAlign w:val="bottom"/>
          </w:tcPr>
          <w:p w14:paraId="527DD7A3" w14:textId="77777777" w:rsidR="003E44E9" w:rsidRDefault="003E44E9" w:rsidP="003E44E9">
            <w:pPr>
              <w:jc w:val="right"/>
              <w:rPr>
                <w:sz w:val="18"/>
                <w:szCs w:val="18"/>
              </w:rPr>
            </w:pPr>
            <w:r>
              <w:rPr>
                <w:sz w:val="18"/>
                <w:szCs w:val="18"/>
              </w:rPr>
              <w:t>-2,8%</w:t>
            </w:r>
          </w:p>
        </w:tc>
        <w:tc>
          <w:tcPr>
            <w:tcW w:w="425" w:type="pct"/>
            <w:tcBorders>
              <w:top w:val="nil"/>
              <w:left w:val="nil"/>
              <w:bottom w:val="nil"/>
              <w:right w:val="nil"/>
            </w:tcBorders>
            <w:shd w:val="clear" w:color="auto" w:fill="auto"/>
            <w:noWrap/>
            <w:vAlign w:val="bottom"/>
          </w:tcPr>
          <w:p w14:paraId="40C67C47" w14:textId="77777777" w:rsidR="003E44E9" w:rsidRDefault="003E44E9" w:rsidP="003E44E9">
            <w:pPr>
              <w:jc w:val="right"/>
              <w:rPr>
                <w:i/>
                <w:iCs/>
                <w:sz w:val="18"/>
                <w:szCs w:val="18"/>
              </w:rPr>
            </w:pPr>
            <w:r>
              <w:rPr>
                <w:i/>
                <w:iCs/>
                <w:sz w:val="18"/>
                <w:szCs w:val="18"/>
              </w:rPr>
              <w:t>-2 091,9</w:t>
            </w:r>
          </w:p>
        </w:tc>
        <w:tc>
          <w:tcPr>
            <w:tcW w:w="622" w:type="pct"/>
            <w:tcBorders>
              <w:top w:val="nil"/>
              <w:left w:val="nil"/>
              <w:bottom w:val="nil"/>
              <w:right w:val="single" w:sz="4" w:space="0" w:color="auto"/>
            </w:tcBorders>
            <w:shd w:val="clear" w:color="auto" w:fill="auto"/>
            <w:noWrap/>
            <w:vAlign w:val="bottom"/>
          </w:tcPr>
          <w:p w14:paraId="199A977F" w14:textId="77777777" w:rsidR="003E44E9" w:rsidRDefault="003E44E9" w:rsidP="003E44E9">
            <w:pPr>
              <w:jc w:val="right"/>
              <w:rPr>
                <w:sz w:val="18"/>
                <w:szCs w:val="18"/>
              </w:rPr>
            </w:pPr>
            <w:r>
              <w:rPr>
                <w:sz w:val="18"/>
                <w:szCs w:val="18"/>
              </w:rPr>
              <w:t>-1,6%</w:t>
            </w:r>
          </w:p>
        </w:tc>
      </w:tr>
      <w:tr w:rsidR="003E44E9" w:rsidRPr="003D5973" w14:paraId="5D328154" w14:textId="77777777" w:rsidTr="001A551D">
        <w:trPr>
          <w:trHeight w:val="300"/>
        </w:trPr>
        <w:tc>
          <w:tcPr>
            <w:tcW w:w="1048" w:type="pct"/>
            <w:tcBorders>
              <w:top w:val="nil"/>
              <w:left w:val="single" w:sz="4" w:space="0" w:color="auto"/>
              <w:bottom w:val="single" w:sz="4" w:space="0" w:color="auto"/>
              <w:right w:val="nil"/>
            </w:tcBorders>
            <w:shd w:val="clear" w:color="auto" w:fill="auto"/>
          </w:tcPr>
          <w:p w14:paraId="1287BCD8"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lastRenderedPageBreak/>
              <w:t>21. Консолидиран дълг на сектор „Държавно управление“</w:t>
            </w:r>
          </w:p>
        </w:tc>
        <w:tc>
          <w:tcPr>
            <w:tcW w:w="425" w:type="pct"/>
            <w:tcBorders>
              <w:top w:val="nil"/>
              <w:left w:val="single" w:sz="4" w:space="0" w:color="auto"/>
              <w:bottom w:val="single" w:sz="4" w:space="0" w:color="auto"/>
              <w:right w:val="nil"/>
            </w:tcBorders>
            <w:shd w:val="clear" w:color="auto" w:fill="auto"/>
            <w:noWrap/>
            <w:vAlign w:val="center"/>
          </w:tcPr>
          <w:p w14:paraId="7C647146"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32 327,3</w:t>
            </w:r>
          </w:p>
        </w:tc>
        <w:tc>
          <w:tcPr>
            <w:tcW w:w="543" w:type="pct"/>
            <w:tcBorders>
              <w:top w:val="nil"/>
              <w:left w:val="nil"/>
              <w:bottom w:val="single" w:sz="4" w:space="0" w:color="auto"/>
              <w:right w:val="single" w:sz="4" w:space="0" w:color="auto"/>
            </w:tcBorders>
            <w:shd w:val="clear" w:color="auto" w:fill="auto"/>
            <w:noWrap/>
            <w:vAlign w:val="center"/>
          </w:tcPr>
          <w:p w14:paraId="345A7D39"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28,6%</w:t>
            </w:r>
          </w:p>
        </w:tc>
        <w:tc>
          <w:tcPr>
            <w:tcW w:w="425" w:type="pct"/>
            <w:tcBorders>
              <w:top w:val="nil"/>
              <w:left w:val="nil"/>
              <w:bottom w:val="single" w:sz="4" w:space="0" w:color="auto"/>
              <w:right w:val="nil"/>
            </w:tcBorders>
            <w:shd w:val="clear" w:color="auto" w:fill="auto"/>
            <w:noWrap/>
            <w:vAlign w:val="center"/>
          </w:tcPr>
          <w:p w14:paraId="0E82B1AD"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38 573,9</w:t>
            </w:r>
          </w:p>
        </w:tc>
        <w:tc>
          <w:tcPr>
            <w:tcW w:w="543" w:type="pct"/>
            <w:tcBorders>
              <w:top w:val="nil"/>
              <w:left w:val="nil"/>
              <w:bottom w:val="single" w:sz="4" w:space="0" w:color="auto"/>
              <w:right w:val="single" w:sz="4" w:space="0" w:color="auto"/>
            </w:tcBorders>
            <w:shd w:val="clear" w:color="auto" w:fill="auto"/>
            <w:noWrap/>
            <w:vAlign w:val="center"/>
          </w:tcPr>
          <w:p w14:paraId="46E6F5A4"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32,1%</w:t>
            </w:r>
          </w:p>
        </w:tc>
        <w:tc>
          <w:tcPr>
            <w:tcW w:w="425" w:type="pct"/>
            <w:tcBorders>
              <w:top w:val="nil"/>
              <w:left w:val="nil"/>
              <w:bottom w:val="single" w:sz="4" w:space="0" w:color="auto"/>
              <w:right w:val="nil"/>
            </w:tcBorders>
            <w:shd w:val="clear" w:color="auto" w:fill="auto"/>
            <w:noWrap/>
            <w:vAlign w:val="center"/>
          </w:tcPr>
          <w:p w14:paraId="256A6C79"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44 239,5</w:t>
            </w:r>
          </w:p>
        </w:tc>
        <w:tc>
          <w:tcPr>
            <w:tcW w:w="543" w:type="pct"/>
            <w:tcBorders>
              <w:top w:val="nil"/>
              <w:left w:val="nil"/>
              <w:bottom w:val="single" w:sz="4" w:space="0" w:color="auto"/>
              <w:right w:val="single" w:sz="4" w:space="0" w:color="auto"/>
            </w:tcBorders>
            <w:shd w:val="clear" w:color="auto" w:fill="auto"/>
            <w:noWrap/>
            <w:vAlign w:val="center"/>
          </w:tcPr>
          <w:p w14:paraId="7ED013E7"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34,8%</w:t>
            </w:r>
          </w:p>
        </w:tc>
        <w:tc>
          <w:tcPr>
            <w:tcW w:w="425" w:type="pct"/>
            <w:tcBorders>
              <w:top w:val="nil"/>
              <w:left w:val="nil"/>
              <w:bottom w:val="single" w:sz="4" w:space="0" w:color="auto"/>
              <w:right w:val="nil"/>
            </w:tcBorders>
            <w:shd w:val="clear" w:color="auto" w:fill="auto"/>
            <w:noWrap/>
            <w:vAlign w:val="center"/>
          </w:tcPr>
          <w:p w14:paraId="0F987CBB"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49 624,6</w:t>
            </w:r>
          </w:p>
        </w:tc>
        <w:tc>
          <w:tcPr>
            <w:tcW w:w="622" w:type="pct"/>
            <w:tcBorders>
              <w:top w:val="nil"/>
              <w:left w:val="nil"/>
              <w:bottom w:val="single" w:sz="4" w:space="0" w:color="auto"/>
              <w:right w:val="single" w:sz="4" w:space="0" w:color="auto"/>
            </w:tcBorders>
            <w:shd w:val="clear" w:color="auto" w:fill="auto"/>
            <w:noWrap/>
            <w:vAlign w:val="center"/>
          </w:tcPr>
          <w:p w14:paraId="67F5D67E" w14:textId="77777777" w:rsidR="003E44E9" w:rsidRPr="00AF21CF" w:rsidRDefault="003E44E9" w:rsidP="003E44E9">
            <w:pPr>
              <w:jc w:val="right"/>
              <w:rPr>
                <w:rFonts w:asciiTheme="minorHAnsi" w:eastAsia="Times New Roman" w:hAnsiTheme="minorHAnsi" w:cstheme="minorHAnsi"/>
                <w:b/>
                <w:sz w:val="18"/>
                <w:szCs w:val="18"/>
              </w:rPr>
            </w:pPr>
            <w:r w:rsidRPr="00AF21CF">
              <w:rPr>
                <w:rFonts w:asciiTheme="minorHAnsi" w:hAnsiTheme="minorHAnsi" w:cstheme="minorHAnsi"/>
                <w:b/>
                <w:bCs/>
                <w:sz w:val="18"/>
                <w:szCs w:val="18"/>
              </w:rPr>
              <w:t>37,1%</w:t>
            </w:r>
          </w:p>
        </w:tc>
      </w:tr>
    </w:tbl>
    <w:p w14:paraId="75986062" w14:textId="77777777" w:rsidR="00D22320" w:rsidRPr="00B74A04" w:rsidRDefault="00B74A04" w:rsidP="00B74A04">
      <w:pPr>
        <w:spacing w:before="120"/>
        <w:jc w:val="right"/>
        <w:rPr>
          <w:rFonts w:eastAsia="Batang" w:cs="Times New Roman"/>
          <w:sz w:val="18"/>
          <w:szCs w:val="18"/>
        </w:rPr>
      </w:pPr>
      <w:r>
        <w:rPr>
          <w:rFonts w:eastAsia="Batang" w:cs="Times New Roman"/>
          <w:sz w:val="18"/>
          <w:szCs w:val="18"/>
        </w:rPr>
        <w:t>Източник: МФ</w:t>
      </w:r>
    </w:p>
    <w:p w14:paraId="71B68CE1" w14:textId="77777777" w:rsidR="00615B9C" w:rsidRPr="00164D2F" w:rsidRDefault="00615B9C" w:rsidP="0047584C">
      <w:pPr>
        <w:pStyle w:val="Heading3"/>
        <w:ind w:left="0"/>
        <w:rPr>
          <w:rStyle w:val="Strong"/>
          <w:b/>
          <w:bCs/>
        </w:rPr>
      </w:pPr>
      <w:r w:rsidRPr="00164D2F">
        <w:rPr>
          <w:rStyle w:val="Strong"/>
          <w:b/>
          <w:bCs/>
        </w:rPr>
        <w:t>Основни показатели на сектор „Държавно управление</w:t>
      </w:r>
      <w:r>
        <w:rPr>
          <w:rStyle w:val="Strong"/>
          <w:b/>
          <w:bCs/>
        </w:rPr>
        <w:t>“</w:t>
      </w:r>
      <w:r w:rsidRPr="00164D2F">
        <w:rPr>
          <w:rStyle w:val="Strong"/>
          <w:b/>
          <w:bCs/>
        </w:rPr>
        <w:t xml:space="preserve"> и прогноза при непроменени политики</w:t>
      </w:r>
    </w:p>
    <w:p w14:paraId="0347888E" w14:textId="77777777" w:rsidR="00615B9C" w:rsidRPr="00615B9C" w:rsidRDefault="00615B9C" w:rsidP="00615B9C">
      <w:r w:rsidRPr="00615B9C">
        <w:t xml:space="preserve">Таблицата по-долу представя прогнозата за сектор „Държавно управление“ при непроменени политики, съпоставена спрямо основната бюджетна прогноза в Актуализираната средносрочна бюджетна прогноза за периода 2026-2028 г. Във фискалната прогноза при непроменени политики не се отчита въздействието на </w:t>
      </w:r>
      <w:proofErr w:type="spellStart"/>
      <w:r w:rsidRPr="00615B9C">
        <w:t>дискреционните</w:t>
      </w:r>
      <w:proofErr w:type="spellEnd"/>
      <w:r w:rsidRPr="00615B9C">
        <w:t xml:space="preserve"> приходни и разходни мерки на правителството, коит</w:t>
      </w:r>
      <w:r w:rsidR="006E136C">
        <w:t>о са описани подробно в част 3.3</w:t>
      </w:r>
      <w:r w:rsidRPr="00615B9C">
        <w:t xml:space="preserve"> „</w:t>
      </w:r>
      <w:proofErr w:type="spellStart"/>
      <w:r w:rsidRPr="00615B9C">
        <w:t>Дискреционни</w:t>
      </w:r>
      <w:proofErr w:type="spellEnd"/>
      <w:r w:rsidRPr="00615B9C">
        <w:t xml:space="preserve"> мерки и фискални ефекти на начислена основа“. Промените, които се наблюдават в бюджетния сценарий при непроменени политики (т.нар. базисен сценарий) между прогнозните години, са основно в резултат на промени в икономически и/или демографски показатели, които имат ефект върху фискалните параметри. </w:t>
      </w:r>
    </w:p>
    <w:p w14:paraId="6A4E69F4" w14:textId="77777777" w:rsidR="00615B9C" w:rsidRPr="00615B9C" w:rsidRDefault="00615B9C" w:rsidP="00615B9C">
      <w:r w:rsidRPr="00615B9C">
        <w:t>В приходите разлики между базисния сценарий и бюджетната прогноза се наблюдават при данъците върху производството и вноса, данъците върху доходите, социално-осигурителните вноски, както и при неданъчните приходи.</w:t>
      </w:r>
    </w:p>
    <w:p w14:paraId="5D43A296" w14:textId="77777777" w:rsidR="00D22320" w:rsidRPr="003D5973" w:rsidRDefault="00615B9C" w:rsidP="00C835A1">
      <w:r w:rsidRPr="00615B9C">
        <w:t>При разходите разлики между базисния сценарий и бюджетната прогноза се наблюдават основно в разходите за персонал, субсидиите и социалните трансфери.</w:t>
      </w:r>
    </w:p>
    <w:p w14:paraId="06C14962" w14:textId="77777777" w:rsidR="001844FB" w:rsidRPr="001844FB" w:rsidRDefault="0067078C" w:rsidP="001844FB">
      <w:pPr>
        <w:pStyle w:val="Caption"/>
        <w:keepNext/>
        <w:spacing w:before="240"/>
      </w:pPr>
      <w:bookmarkStart w:id="221" w:name="_Toc213229060"/>
      <w:r w:rsidRPr="00164D2F">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164D2F">
        <w:noBreakHyphen/>
      </w:r>
      <w:r w:rsidR="00974F02">
        <w:fldChar w:fldCharType="begin"/>
      </w:r>
      <w:r w:rsidR="00974F02">
        <w:instrText xml:space="preserve"> SEQ Табл. \* ARABIC \s 1 </w:instrText>
      </w:r>
      <w:r w:rsidR="00974F02">
        <w:fldChar w:fldCharType="separate"/>
      </w:r>
      <w:r w:rsidR="00841DFA">
        <w:rPr>
          <w:noProof/>
        </w:rPr>
        <w:t>8</w:t>
      </w:r>
      <w:r w:rsidR="00974F02">
        <w:rPr>
          <w:noProof/>
        </w:rPr>
        <w:fldChar w:fldCharType="end"/>
      </w:r>
      <w:r w:rsidRPr="00164D2F">
        <w:t>:</w:t>
      </w:r>
      <w:r w:rsidRPr="00164D2F">
        <w:tab/>
        <w:t>Бюджетна прогноза на сектор „Държавно управление“ при непроменени поли</w:t>
      </w:r>
      <w:r>
        <w:t>тики за периода 202</w:t>
      </w:r>
      <w:r w:rsidR="00615B9C">
        <w:t>5</w:t>
      </w:r>
      <w:r>
        <w:t>-2028</w:t>
      </w:r>
      <w:r w:rsidRPr="00164D2F">
        <w:t xml:space="preserve"> г.</w:t>
      </w:r>
      <w:bookmarkEnd w:id="221"/>
    </w:p>
    <w:tbl>
      <w:tblPr>
        <w:tblW w:w="5000" w:type="pct"/>
        <w:tblCellMar>
          <w:left w:w="70" w:type="dxa"/>
          <w:right w:w="70" w:type="dxa"/>
        </w:tblCellMar>
        <w:tblLook w:val="04A0" w:firstRow="1" w:lastRow="0" w:firstColumn="1" w:lastColumn="0" w:noHBand="0" w:noVBand="1"/>
      </w:tblPr>
      <w:tblGrid>
        <w:gridCol w:w="1835"/>
        <w:gridCol w:w="820"/>
        <w:gridCol w:w="985"/>
        <w:gridCol w:w="821"/>
        <w:gridCol w:w="986"/>
        <w:gridCol w:w="821"/>
        <w:gridCol w:w="986"/>
        <w:gridCol w:w="821"/>
        <w:gridCol w:w="985"/>
      </w:tblGrid>
      <w:tr w:rsidR="001844FB" w:rsidRPr="003D5973" w14:paraId="17080033" w14:textId="77777777" w:rsidTr="00EC6CB1">
        <w:trPr>
          <w:trHeight w:val="300"/>
          <w:tblHeader/>
        </w:trPr>
        <w:tc>
          <w:tcPr>
            <w:tcW w:w="1013" w:type="pct"/>
            <w:vMerge w:val="restart"/>
            <w:tcBorders>
              <w:top w:val="single" w:sz="4" w:space="0" w:color="auto"/>
              <w:left w:val="single" w:sz="4" w:space="0" w:color="auto"/>
              <w:bottom w:val="single" w:sz="4" w:space="0" w:color="000000"/>
              <w:right w:val="nil"/>
            </w:tcBorders>
            <w:shd w:val="clear" w:color="auto" w:fill="auto"/>
            <w:vAlign w:val="center"/>
            <w:hideMark/>
          </w:tcPr>
          <w:p w14:paraId="4028F5DD"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 xml:space="preserve">Показатели, </w:t>
            </w:r>
            <w:r w:rsidRPr="003D5973">
              <w:rPr>
                <w:rFonts w:eastAsia="Times New Roman" w:cs="Times New Roman"/>
                <w:b/>
                <w:bCs/>
                <w:sz w:val="16"/>
                <w:szCs w:val="16"/>
              </w:rPr>
              <w:br/>
              <w:t xml:space="preserve">млн. </w:t>
            </w:r>
            <w:r>
              <w:rPr>
                <w:rFonts w:eastAsia="Times New Roman" w:cs="Times New Roman"/>
                <w:b/>
                <w:bCs/>
                <w:sz w:val="16"/>
                <w:szCs w:val="16"/>
              </w:rPr>
              <w:t>евро</w:t>
            </w:r>
          </w:p>
        </w:tc>
        <w:tc>
          <w:tcPr>
            <w:tcW w:w="996" w:type="pct"/>
            <w:gridSpan w:val="2"/>
            <w:tcBorders>
              <w:top w:val="single" w:sz="4" w:space="0" w:color="auto"/>
              <w:left w:val="single" w:sz="4" w:space="0" w:color="auto"/>
              <w:bottom w:val="single" w:sz="4" w:space="0" w:color="595959"/>
              <w:right w:val="single" w:sz="4" w:space="0" w:color="000000"/>
            </w:tcBorders>
            <w:shd w:val="clear" w:color="auto" w:fill="auto"/>
            <w:noWrap/>
            <w:vAlign w:val="bottom"/>
            <w:hideMark/>
          </w:tcPr>
          <w:p w14:paraId="7E6D0123"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2025</w:t>
            </w:r>
          </w:p>
        </w:tc>
        <w:tc>
          <w:tcPr>
            <w:tcW w:w="99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36D1A476"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2026</w:t>
            </w:r>
          </w:p>
        </w:tc>
        <w:tc>
          <w:tcPr>
            <w:tcW w:w="99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239F0960"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2027</w:t>
            </w:r>
          </w:p>
        </w:tc>
        <w:tc>
          <w:tcPr>
            <w:tcW w:w="997" w:type="pct"/>
            <w:gridSpan w:val="2"/>
            <w:tcBorders>
              <w:top w:val="single" w:sz="4" w:space="0" w:color="auto"/>
              <w:left w:val="nil"/>
              <w:bottom w:val="single" w:sz="4" w:space="0" w:color="595959"/>
              <w:right w:val="single" w:sz="4" w:space="0" w:color="000000"/>
            </w:tcBorders>
            <w:shd w:val="clear" w:color="auto" w:fill="auto"/>
            <w:noWrap/>
            <w:vAlign w:val="bottom"/>
            <w:hideMark/>
          </w:tcPr>
          <w:p w14:paraId="27377ECB"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2028</w:t>
            </w:r>
          </w:p>
        </w:tc>
      </w:tr>
      <w:tr w:rsidR="001844FB" w:rsidRPr="003D5973" w14:paraId="4685745F" w14:textId="77777777" w:rsidTr="00EC6CB1">
        <w:trPr>
          <w:trHeight w:val="929"/>
          <w:tblHeader/>
        </w:trPr>
        <w:tc>
          <w:tcPr>
            <w:tcW w:w="1013" w:type="pct"/>
            <w:vMerge/>
            <w:tcBorders>
              <w:top w:val="single" w:sz="4" w:space="0" w:color="auto"/>
              <w:left w:val="single" w:sz="4" w:space="0" w:color="auto"/>
              <w:bottom w:val="single" w:sz="4" w:space="0" w:color="000000"/>
              <w:right w:val="nil"/>
            </w:tcBorders>
            <w:vAlign w:val="center"/>
            <w:hideMark/>
          </w:tcPr>
          <w:p w14:paraId="28FC5ED3" w14:textId="77777777" w:rsidR="001844FB" w:rsidRPr="003D5973" w:rsidRDefault="001844FB" w:rsidP="00EC6CB1">
            <w:pPr>
              <w:spacing w:after="0"/>
              <w:jc w:val="left"/>
              <w:rPr>
                <w:rFonts w:eastAsia="Times New Roman" w:cs="Times New Roman"/>
                <w:b/>
                <w:bCs/>
                <w:sz w:val="16"/>
                <w:szCs w:val="16"/>
              </w:rPr>
            </w:pPr>
          </w:p>
        </w:tc>
        <w:tc>
          <w:tcPr>
            <w:tcW w:w="453" w:type="pct"/>
            <w:tcBorders>
              <w:top w:val="nil"/>
              <w:left w:val="single" w:sz="4" w:space="0" w:color="auto"/>
              <w:bottom w:val="single" w:sz="4" w:space="0" w:color="auto"/>
              <w:right w:val="nil"/>
            </w:tcBorders>
            <w:shd w:val="clear" w:color="auto" w:fill="auto"/>
            <w:hideMark/>
          </w:tcPr>
          <w:p w14:paraId="74CE8443"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31B506B6"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c>
          <w:tcPr>
            <w:tcW w:w="453" w:type="pct"/>
            <w:tcBorders>
              <w:top w:val="nil"/>
              <w:left w:val="nil"/>
              <w:bottom w:val="single" w:sz="4" w:space="0" w:color="auto"/>
              <w:right w:val="nil"/>
            </w:tcBorders>
            <w:shd w:val="clear" w:color="auto" w:fill="auto"/>
            <w:hideMark/>
          </w:tcPr>
          <w:p w14:paraId="08CF3E13"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118D1D19"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c>
          <w:tcPr>
            <w:tcW w:w="453" w:type="pct"/>
            <w:tcBorders>
              <w:top w:val="nil"/>
              <w:left w:val="nil"/>
              <w:bottom w:val="single" w:sz="4" w:space="0" w:color="auto"/>
              <w:right w:val="nil"/>
            </w:tcBorders>
            <w:shd w:val="clear" w:color="auto" w:fill="auto"/>
            <w:hideMark/>
          </w:tcPr>
          <w:p w14:paraId="6DA1F26A"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78DDBE65"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c>
          <w:tcPr>
            <w:tcW w:w="453" w:type="pct"/>
            <w:tcBorders>
              <w:top w:val="nil"/>
              <w:left w:val="nil"/>
              <w:bottom w:val="single" w:sz="4" w:space="0" w:color="auto"/>
              <w:right w:val="nil"/>
            </w:tcBorders>
            <w:shd w:val="clear" w:color="auto" w:fill="auto"/>
            <w:hideMark/>
          </w:tcPr>
          <w:p w14:paraId="6DDE2C7D"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Базисен сценарий</w:t>
            </w:r>
          </w:p>
        </w:tc>
        <w:tc>
          <w:tcPr>
            <w:tcW w:w="544" w:type="pct"/>
            <w:tcBorders>
              <w:top w:val="nil"/>
              <w:left w:val="nil"/>
              <w:bottom w:val="single" w:sz="4" w:space="0" w:color="auto"/>
              <w:right w:val="single" w:sz="4" w:space="0" w:color="auto"/>
            </w:tcBorders>
            <w:shd w:val="clear" w:color="auto" w:fill="auto"/>
            <w:hideMark/>
          </w:tcPr>
          <w:p w14:paraId="7F5DA4BA" w14:textId="77777777" w:rsidR="001844FB" w:rsidRPr="003D5973" w:rsidRDefault="001844FB" w:rsidP="00EC6CB1">
            <w:pPr>
              <w:spacing w:after="0"/>
              <w:jc w:val="center"/>
              <w:rPr>
                <w:rFonts w:eastAsia="Times New Roman" w:cs="Times New Roman"/>
                <w:b/>
                <w:bCs/>
                <w:sz w:val="16"/>
                <w:szCs w:val="16"/>
              </w:rPr>
            </w:pPr>
            <w:r w:rsidRPr="003D5973">
              <w:rPr>
                <w:rFonts w:eastAsia="Times New Roman" w:cs="Times New Roman"/>
                <w:b/>
                <w:bCs/>
                <w:sz w:val="16"/>
                <w:szCs w:val="16"/>
              </w:rPr>
              <w:t>Изменение спрямо основния сценарий,</w:t>
            </w:r>
            <w:r w:rsidRPr="003D5973">
              <w:rPr>
                <w:rFonts w:eastAsia="Times New Roman" w:cs="Times New Roman"/>
                <w:b/>
                <w:bCs/>
                <w:sz w:val="16"/>
                <w:szCs w:val="16"/>
              </w:rPr>
              <w:br/>
              <w:t>%</w:t>
            </w:r>
          </w:p>
        </w:tc>
      </w:tr>
      <w:tr w:rsidR="003E44E9" w:rsidRPr="003D5973" w14:paraId="72ECE181" w14:textId="77777777" w:rsidTr="00EC6CB1">
        <w:trPr>
          <w:trHeight w:val="495"/>
        </w:trPr>
        <w:tc>
          <w:tcPr>
            <w:tcW w:w="1013" w:type="pct"/>
            <w:tcBorders>
              <w:top w:val="nil"/>
              <w:left w:val="single" w:sz="4" w:space="0" w:color="auto"/>
              <w:bottom w:val="nil"/>
              <w:right w:val="nil"/>
            </w:tcBorders>
            <w:shd w:val="clear" w:color="auto" w:fill="auto"/>
            <w:hideMark/>
          </w:tcPr>
          <w:p w14:paraId="08CE43A5"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 Данъци върху производството и вноса</w:t>
            </w:r>
          </w:p>
        </w:tc>
        <w:tc>
          <w:tcPr>
            <w:tcW w:w="453" w:type="pct"/>
            <w:tcBorders>
              <w:top w:val="nil"/>
              <w:left w:val="single" w:sz="4" w:space="0" w:color="auto"/>
              <w:bottom w:val="nil"/>
              <w:right w:val="nil"/>
            </w:tcBorders>
            <w:shd w:val="clear" w:color="auto" w:fill="auto"/>
            <w:noWrap/>
            <w:vAlign w:val="bottom"/>
          </w:tcPr>
          <w:p w14:paraId="6C05D054" w14:textId="77777777" w:rsidR="003E44E9" w:rsidRDefault="003E44E9" w:rsidP="003E44E9">
            <w:pPr>
              <w:jc w:val="right"/>
              <w:rPr>
                <w:color w:val="000000"/>
                <w:sz w:val="18"/>
                <w:szCs w:val="18"/>
              </w:rPr>
            </w:pPr>
            <w:r>
              <w:rPr>
                <w:color w:val="000000"/>
                <w:sz w:val="18"/>
                <w:szCs w:val="18"/>
              </w:rPr>
              <w:t>16 285,4</w:t>
            </w:r>
          </w:p>
        </w:tc>
        <w:tc>
          <w:tcPr>
            <w:tcW w:w="544" w:type="pct"/>
            <w:tcBorders>
              <w:top w:val="nil"/>
              <w:left w:val="nil"/>
              <w:bottom w:val="nil"/>
              <w:right w:val="single" w:sz="4" w:space="0" w:color="auto"/>
            </w:tcBorders>
            <w:shd w:val="clear" w:color="auto" w:fill="auto"/>
            <w:noWrap/>
            <w:vAlign w:val="bottom"/>
          </w:tcPr>
          <w:p w14:paraId="361619FB" w14:textId="77777777" w:rsidR="003E44E9" w:rsidRDefault="003E44E9" w:rsidP="003E44E9">
            <w:pPr>
              <w:jc w:val="right"/>
              <w:rPr>
                <w:sz w:val="18"/>
                <w:szCs w:val="18"/>
              </w:rPr>
            </w:pPr>
            <w:r>
              <w:rPr>
                <w:sz w:val="18"/>
                <w:szCs w:val="18"/>
              </w:rPr>
              <w:t>6,2%</w:t>
            </w:r>
          </w:p>
        </w:tc>
        <w:tc>
          <w:tcPr>
            <w:tcW w:w="453" w:type="pct"/>
            <w:tcBorders>
              <w:top w:val="nil"/>
              <w:left w:val="nil"/>
              <w:bottom w:val="nil"/>
              <w:right w:val="nil"/>
            </w:tcBorders>
            <w:shd w:val="clear" w:color="auto" w:fill="auto"/>
            <w:noWrap/>
            <w:vAlign w:val="bottom"/>
          </w:tcPr>
          <w:p w14:paraId="08EF8894" w14:textId="77777777" w:rsidR="003E44E9" w:rsidRDefault="003E44E9" w:rsidP="003E44E9">
            <w:pPr>
              <w:jc w:val="right"/>
              <w:rPr>
                <w:color w:val="000000"/>
                <w:sz w:val="18"/>
                <w:szCs w:val="18"/>
              </w:rPr>
            </w:pPr>
            <w:r>
              <w:rPr>
                <w:color w:val="000000"/>
                <w:sz w:val="18"/>
                <w:szCs w:val="18"/>
              </w:rPr>
              <w:t>18 333,5</w:t>
            </w:r>
          </w:p>
        </w:tc>
        <w:tc>
          <w:tcPr>
            <w:tcW w:w="544" w:type="pct"/>
            <w:tcBorders>
              <w:top w:val="nil"/>
              <w:left w:val="nil"/>
              <w:bottom w:val="nil"/>
              <w:right w:val="single" w:sz="4" w:space="0" w:color="auto"/>
            </w:tcBorders>
            <w:shd w:val="clear" w:color="auto" w:fill="auto"/>
            <w:noWrap/>
            <w:vAlign w:val="bottom"/>
          </w:tcPr>
          <w:p w14:paraId="685759CC" w14:textId="77777777" w:rsidR="003E44E9" w:rsidRDefault="003E44E9" w:rsidP="003E44E9">
            <w:pPr>
              <w:jc w:val="right"/>
              <w:rPr>
                <w:sz w:val="18"/>
                <w:szCs w:val="18"/>
              </w:rPr>
            </w:pPr>
            <w:r>
              <w:rPr>
                <w:sz w:val="18"/>
                <w:szCs w:val="18"/>
              </w:rPr>
              <w:t>7,9%</w:t>
            </w:r>
          </w:p>
        </w:tc>
        <w:tc>
          <w:tcPr>
            <w:tcW w:w="453" w:type="pct"/>
            <w:tcBorders>
              <w:top w:val="nil"/>
              <w:left w:val="nil"/>
              <w:bottom w:val="nil"/>
              <w:right w:val="nil"/>
            </w:tcBorders>
            <w:shd w:val="clear" w:color="auto" w:fill="auto"/>
            <w:noWrap/>
            <w:vAlign w:val="bottom"/>
          </w:tcPr>
          <w:p w14:paraId="7A1CE49C" w14:textId="77777777" w:rsidR="003E44E9" w:rsidRDefault="003E44E9" w:rsidP="003E44E9">
            <w:pPr>
              <w:jc w:val="right"/>
              <w:rPr>
                <w:color w:val="000000"/>
                <w:sz w:val="18"/>
                <w:szCs w:val="18"/>
              </w:rPr>
            </w:pPr>
            <w:r>
              <w:rPr>
                <w:color w:val="000000"/>
                <w:sz w:val="18"/>
                <w:szCs w:val="18"/>
              </w:rPr>
              <w:t>19 041,5</w:t>
            </w:r>
          </w:p>
        </w:tc>
        <w:tc>
          <w:tcPr>
            <w:tcW w:w="544" w:type="pct"/>
            <w:tcBorders>
              <w:top w:val="nil"/>
              <w:left w:val="nil"/>
              <w:bottom w:val="nil"/>
              <w:right w:val="single" w:sz="4" w:space="0" w:color="auto"/>
            </w:tcBorders>
            <w:shd w:val="clear" w:color="auto" w:fill="auto"/>
            <w:noWrap/>
            <w:vAlign w:val="bottom"/>
          </w:tcPr>
          <w:p w14:paraId="417B3E64" w14:textId="77777777" w:rsidR="003E44E9" w:rsidRDefault="003E44E9" w:rsidP="003E44E9">
            <w:pPr>
              <w:jc w:val="right"/>
              <w:rPr>
                <w:sz w:val="18"/>
                <w:szCs w:val="18"/>
              </w:rPr>
            </w:pPr>
            <w:r>
              <w:rPr>
                <w:sz w:val="18"/>
                <w:szCs w:val="18"/>
              </w:rPr>
              <w:t>-7,6%</w:t>
            </w:r>
          </w:p>
        </w:tc>
        <w:tc>
          <w:tcPr>
            <w:tcW w:w="453" w:type="pct"/>
            <w:tcBorders>
              <w:top w:val="nil"/>
              <w:left w:val="nil"/>
              <w:bottom w:val="nil"/>
              <w:right w:val="nil"/>
            </w:tcBorders>
            <w:shd w:val="clear" w:color="auto" w:fill="auto"/>
            <w:noWrap/>
            <w:vAlign w:val="bottom"/>
          </w:tcPr>
          <w:p w14:paraId="301556C6" w14:textId="77777777" w:rsidR="003E44E9" w:rsidRDefault="003E44E9" w:rsidP="003E44E9">
            <w:pPr>
              <w:jc w:val="right"/>
              <w:rPr>
                <w:color w:val="000000"/>
                <w:sz w:val="18"/>
                <w:szCs w:val="18"/>
              </w:rPr>
            </w:pPr>
            <w:r>
              <w:rPr>
                <w:color w:val="000000"/>
                <w:sz w:val="18"/>
                <w:szCs w:val="18"/>
              </w:rPr>
              <w:t>19 969,7</w:t>
            </w:r>
          </w:p>
        </w:tc>
        <w:tc>
          <w:tcPr>
            <w:tcW w:w="544" w:type="pct"/>
            <w:tcBorders>
              <w:top w:val="nil"/>
              <w:left w:val="nil"/>
              <w:bottom w:val="nil"/>
              <w:right w:val="single" w:sz="4" w:space="0" w:color="auto"/>
            </w:tcBorders>
            <w:shd w:val="clear" w:color="auto" w:fill="auto"/>
            <w:noWrap/>
            <w:vAlign w:val="bottom"/>
          </w:tcPr>
          <w:p w14:paraId="3DAEB89B" w14:textId="77777777" w:rsidR="003E44E9" w:rsidRDefault="003E44E9" w:rsidP="003E44E9">
            <w:pPr>
              <w:jc w:val="right"/>
              <w:rPr>
                <w:sz w:val="18"/>
                <w:szCs w:val="18"/>
              </w:rPr>
            </w:pPr>
            <w:r>
              <w:rPr>
                <w:sz w:val="18"/>
                <w:szCs w:val="18"/>
              </w:rPr>
              <w:t>-6,7%</w:t>
            </w:r>
          </w:p>
        </w:tc>
      </w:tr>
      <w:tr w:rsidR="003E44E9" w:rsidRPr="003D5973" w14:paraId="060CD98E" w14:textId="77777777" w:rsidTr="00EC6CB1">
        <w:trPr>
          <w:trHeight w:val="495"/>
        </w:trPr>
        <w:tc>
          <w:tcPr>
            <w:tcW w:w="1013" w:type="pct"/>
            <w:tcBorders>
              <w:top w:val="nil"/>
              <w:left w:val="single" w:sz="4" w:space="0" w:color="auto"/>
              <w:bottom w:val="nil"/>
              <w:right w:val="nil"/>
            </w:tcBorders>
            <w:shd w:val="clear" w:color="auto" w:fill="auto"/>
            <w:hideMark/>
          </w:tcPr>
          <w:p w14:paraId="049411D8"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2. Текущи данъци върху доходите, богатството и др.</w:t>
            </w:r>
          </w:p>
        </w:tc>
        <w:tc>
          <w:tcPr>
            <w:tcW w:w="453" w:type="pct"/>
            <w:tcBorders>
              <w:top w:val="nil"/>
              <w:left w:val="single" w:sz="4" w:space="0" w:color="auto"/>
              <w:bottom w:val="nil"/>
              <w:right w:val="nil"/>
            </w:tcBorders>
            <w:shd w:val="clear" w:color="auto" w:fill="auto"/>
            <w:noWrap/>
            <w:vAlign w:val="bottom"/>
          </w:tcPr>
          <w:p w14:paraId="3F7D483C" w14:textId="77777777" w:rsidR="003E44E9" w:rsidRDefault="003E44E9" w:rsidP="003E44E9">
            <w:pPr>
              <w:jc w:val="right"/>
              <w:rPr>
                <w:color w:val="000000"/>
                <w:sz w:val="18"/>
                <w:szCs w:val="18"/>
              </w:rPr>
            </w:pPr>
            <w:r>
              <w:rPr>
                <w:color w:val="000000"/>
                <w:sz w:val="18"/>
                <w:szCs w:val="18"/>
              </w:rPr>
              <w:t>7 968,3</w:t>
            </w:r>
          </w:p>
        </w:tc>
        <w:tc>
          <w:tcPr>
            <w:tcW w:w="544" w:type="pct"/>
            <w:tcBorders>
              <w:top w:val="nil"/>
              <w:left w:val="nil"/>
              <w:bottom w:val="nil"/>
              <w:right w:val="single" w:sz="4" w:space="0" w:color="auto"/>
            </w:tcBorders>
            <w:shd w:val="clear" w:color="auto" w:fill="auto"/>
            <w:noWrap/>
            <w:vAlign w:val="bottom"/>
          </w:tcPr>
          <w:p w14:paraId="44490B8D" w14:textId="77777777" w:rsidR="003E44E9" w:rsidRDefault="003E44E9" w:rsidP="003E44E9">
            <w:pPr>
              <w:jc w:val="right"/>
              <w:rPr>
                <w:sz w:val="18"/>
                <w:szCs w:val="18"/>
              </w:rPr>
            </w:pPr>
            <w:r>
              <w:rPr>
                <w:sz w:val="18"/>
                <w:szCs w:val="18"/>
              </w:rPr>
              <w:t>17,5%</w:t>
            </w:r>
          </w:p>
        </w:tc>
        <w:tc>
          <w:tcPr>
            <w:tcW w:w="453" w:type="pct"/>
            <w:tcBorders>
              <w:top w:val="nil"/>
              <w:left w:val="nil"/>
              <w:bottom w:val="nil"/>
              <w:right w:val="nil"/>
            </w:tcBorders>
            <w:shd w:val="clear" w:color="auto" w:fill="auto"/>
            <w:noWrap/>
            <w:vAlign w:val="bottom"/>
          </w:tcPr>
          <w:p w14:paraId="414CED53" w14:textId="77777777" w:rsidR="003E44E9" w:rsidRDefault="003E44E9" w:rsidP="003E44E9">
            <w:pPr>
              <w:jc w:val="right"/>
              <w:rPr>
                <w:color w:val="000000"/>
                <w:sz w:val="18"/>
                <w:szCs w:val="18"/>
              </w:rPr>
            </w:pPr>
            <w:r>
              <w:rPr>
                <w:color w:val="000000"/>
                <w:sz w:val="18"/>
                <w:szCs w:val="18"/>
              </w:rPr>
              <w:t>8 814,7</w:t>
            </w:r>
          </w:p>
        </w:tc>
        <w:tc>
          <w:tcPr>
            <w:tcW w:w="544" w:type="pct"/>
            <w:tcBorders>
              <w:top w:val="nil"/>
              <w:left w:val="nil"/>
              <w:bottom w:val="nil"/>
              <w:right w:val="single" w:sz="4" w:space="0" w:color="auto"/>
            </w:tcBorders>
            <w:shd w:val="clear" w:color="auto" w:fill="auto"/>
            <w:noWrap/>
            <w:vAlign w:val="bottom"/>
          </w:tcPr>
          <w:p w14:paraId="3F395F78" w14:textId="77777777" w:rsidR="003E44E9" w:rsidRDefault="003E44E9" w:rsidP="003E44E9">
            <w:pPr>
              <w:jc w:val="right"/>
              <w:rPr>
                <w:sz w:val="18"/>
                <w:szCs w:val="18"/>
              </w:rPr>
            </w:pPr>
            <w:r>
              <w:rPr>
                <w:sz w:val="18"/>
                <w:szCs w:val="18"/>
              </w:rPr>
              <w:t>10,7%</w:t>
            </w:r>
          </w:p>
        </w:tc>
        <w:tc>
          <w:tcPr>
            <w:tcW w:w="453" w:type="pct"/>
            <w:tcBorders>
              <w:top w:val="nil"/>
              <w:left w:val="nil"/>
              <w:bottom w:val="nil"/>
              <w:right w:val="nil"/>
            </w:tcBorders>
            <w:shd w:val="clear" w:color="auto" w:fill="auto"/>
            <w:noWrap/>
            <w:vAlign w:val="bottom"/>
          </w:tcPr>
          <w:p w14:paraId="17106207" w14:textId="77777777" w:rsidR="003E44E9" w:rsidRDefault="003E44E9" w:rsidP="003E44E9">
            <w:pPr>
              <w:jc w:val="right"/>
              <w:rPr>
                <w:color w:val="000000"/>
                <w:sz w:val="18"/>
                <w:szCs w:val="18"/>
              </w:rPr>
            </w:pPr>
            <w:r>
              <w:rPr>
                <w:color w:val="000000"/>
                <w:sz w:val="18"/>
                <w:szCs w:val="18"/>
              </w:rPr>
              <w:t>9 372,7</w:t>
            </w:r>
          </w:p>
        </w:tc>
        <w:tc>
          <w:tcPr>
            <w:tcW w:w="544" w:type="pct"/>
            <w:tcBorders>
              <w:top w:val="nil"/>
              <w:left w:val="nil"/>
              <w:bottom w:val="nil"/>
              <w:right w:val="single" w:sz="4" w:space="0" w:color="auto"/>
            </w:tcBorders>
            <w:shd w:val="clear" w:color="auto" w:fill="auto"/>
            <w:noWrap/>
            <w:vAlign w:val="bottom"/>
          </w:tcPr>
          <w:p w14:paraId="6A8D5B71" w14:textId="77777777" w:rsidR="003E44E9" w:rsidRDefault="003E44E9" w:rsidP="003E44E9">
            <w:pPr>
              <w:jc w:val="right"/>
              <w:rPr>
                <w:sz w:val="18"/>
                <w:szCs w:val="18"/>
              </w:rPr>
            </w:pPr>
            <w:r>
              <w:rPr>
                <w:sz w:val="18"/>
                <w:szCs w:val="18"/>
              </w:rPr>
              <w:t>6,5%</w:t>
            </w:r>
          </w:p>
        </w:tc>
        <w:tc>
          <w:tcPr>
            <w:tcW w:w="453" w:type="pct"/>
            <w:tcBorders>
              <w:top w:val="nil"/>
              <w:left w:val="nil"/>
              <w:bottom w:val="nil"/>
              <w:right w:val="nil"/>
            </w:tcBorders>
            <w:shd w:val="clear" w:color="auto" w:fill="auto"/>
            <w:noWrap/>
            <w:vAlign w:val="bottom"/>
          </w:tcPr>
          <w:p w14:paraId="4BF9E108" w14:textId="77777777" w:rsidR="003E44E9" w:rsidRDefault="003E44E9" w:rsidP="003E44E9">
            <w:pPr>
              <w:jc w:val="right"/>
              <w:rPr>
                <w:color w:val="000000"/>
                <w:sz w:val="18"/>
                <w:szCs w:val="18"/>
              </w:rPr>
            </w:pPr>
            <w:r>
              <w:rPr>
                <w:color w:val="000000"/>
                <w:sz w:val="18"/>
                <w:szCs w:val="18"/>
              </w:rPr>
              <w:t>9 969,4</w:t>
            </w:r>
          </w:p>
        </w:tc>
        <w:tc>
          <w:tcPr>
            <w:tcW w:w="544" w:type="pct"/>
            <w:tcBorders>
              <w:top w:val="nil"/>
              <w:left w:val="nil"/>
              <w:bottom w:val="nil"/>
              <w:right w:val="single" w:sz="4" w:space="0" w:color="auto"/>
            </w:tcBorders>
            <w:shd w:val="clear" w:color="auto" w:fill="auto"/>
            <w:noWrap/>
            <w:vAlign w:val="bottom"/>
          </w:tcPr>
          <w:p w14:paraId="4C3AC7B9" w14:textId="77777777" w:rsidR="003E44E9" w:rsidRDefault="003E44E9" w:rsidP="003E44E9">
            <w:pPr>
              <w:jc w:val="right"/>
              <w:rPr>
                <w:sz w:val="18"/>
                <w:szCs w:val="18"/>
              </w:rPr>
            </w:pPr>
            <w:r>
              <w:rPr>
                <w:sz w:val="18"/>
                <w:szCs w:val="18"/>
              </w:rPr>
              <w:t>6,7%</w:t>
            </w:r>
          </w:p>
        </w:tc>
      </w:tr>
      <w:tr w:rsidR="003E44E9" w:rsidRPr="003D5973" w14:paraId="49C6E564" w14:textId="77777777" w:rsidTr="00EC6CB1">
        <w:trPr>
          <w:trHeight w:val="495"/>
        </w:trPr>
        <w:tc>
          <w:tcPr>
            <w:tcW w:w="1013" w:type="pct"/>
            <w:tcBorders>
              <w:top w:val="nil"/>
              <w:left w:val="single" w:sz="4" w:space="0" w:color="auto"/>
              <w:bottom w:val="nil"/>
              <w:right w:val="nil"/>
            </w:tcBorders>
            <w:shd w:val="clear" w:color="auto" w:fill="auto"/>
            <w:hideMark/>
          </w:tcPr>
          <w:p w14:paraId="3602CBCB" w14:textId="77777777" w:rsidR="003E44E9" w:rsidRPr="003D5973" w:rsidRDefault="003E44E9" w:rsidP="003E44E9">
            <w:pPr>
              <w:spacing w:after="0"/>
              <w:jc w:val="left"/>
              <w:rPr>
                <w:rFonts w:eastAsia="Times New Roman" w:cs="Times New Roman"/>
                <w:i/>
                <w:iCs/>
                <w:sz w:val="16"/>
                <w:szCs w:val="16"/>
              </w:rPr>
            </w:pPr>
            <w:r w:rsidRPr="003D5973">
              <w:rPr>
                <w:rFonts w:eastAsia="Times New Roman" w:cs="Times New Roman"/>
                <w:i/>
                <w:iCs/>
                <w:sz w:val="16"/>
                <w:szCs w:val="16"/>
              </w:rPr>
              <w:t xml:space="preserve"> 2a. - в т.ч. платени от домакинствата</w:t>
            </w:r>
          </w:p>
        </w:tc>
        <w:tc>
          <w:tcPr>
            <w:tcW w:w="453" w:type="pct"/>
            <w:tcBorders>
              <w:top w:val="nil"/>
              <w:left w:val="single" w:sz="4" w:space="0" w:color="auto"/>
              <w:bottom w:val="nil"/>
              <w:right w:val="nil"/>
            </w:tcBorders>
            <w:shd w:val="clear" w:color="auto" w:fill="auto"/>
            <w:noWrap/>
            <w:vAlign w:val="bottom"/>
          </w:tcPr>
          <w:p w14:paraId="2450EEDC" w14:textId="77777777" w:rsidR="003E44E9" w:rsidRDefault="003E44E9" w:rsidP="003E44E9">
            <w:pPr>
              <w:jc w:val="right"/>
              <w:rPr>
                <w:color w:val="000000"/>
                <w:sz w:val="18"/>
                <w:szCs w:val="18"/>
              </w:rPr>
            </w:pPr>
            <w:r>
              <w:rPr>
                <w:color w:val="000000"/>
                <w:sz w:val="18"/>
                <w:szCs w:val="18"/>
              </w:rPr>
              <w:t>4 648,9</w:t>
            </w:r>
          </w:p>
        </w:tc>
        <w:tc>
          <w:tcPr>
            <w:tcW w:w="544" w:type="pct"/>
            <w:tcBorders>
              <w:top w:val="nil"/>
              <w:left w:val="nil"/>
              <w:bottom w:val="nil"/>
              <w:right w:val="single" w:sz="4" w:space="0" w:color="auto"/>
            </w:tcBorders>
            <w:shd w:val="clear" w:color="auto" w:fill="auto"/>
            <w:noWrap/>
            <w:vAlign w:val="bottom"/>
          </w:tcPr>
          <w:p w14:paraId="4FE825AB" w14:textId="77777777" w:rsidR="003E44E9" w:rsidRDefault="003E44E9" w:rsidP="003E44E9">
            <w:pPr>
              <w:jc w:val="right"/>
              <w:rPr>
                <w:sz w:val="18"/>
                <w:szCs w:val="18"/>
              </w:rPr>
            </w:pPr>
            <w:r>
              <w:rPr>
                <w:sz w:val="18"/>
                <w:szCs w:val="18"/>
              </w:rPr>
              <w:t>21,6%</w:t>
            </w:r>
          </w:p>
        </w:tc>
        <w:tc>
          <w:tcPr>
            <w:tcW w:w="453" w:type="pct"/>
            <w:tcBorders>
              <w:top w:val="nil"/>
              <w:left w:val="nil"/>
              <w:bottom w:val="nil"/>
              <w:right w:val="nil"/>
            </w:tcBorders>
            <w:shd w:val="clear" w:color="auto" w:fill="auto"/>
            <w:noWrap/>
            <w:vAlign w:val="bottom"/>
          </w:tcPr>
          <w:p w14:paraId="17F9F05C" w14:textId="77777777" w:rsidR="003E44E9" w:rsidRDefault="003E44E9" w:rsidP="003E44E9">
            <w:pPr>
              <w:jc w:val="right"/>
              <w:rPr>
                <w:color w:val="000000"/>
                <w:sz w:val="18"/>
                <w:szCs w:val="18"/>
              </w:rPr>
            </w:pPr>
            <w:r>
              <w:rPr>
                <w:color w:val="000000"/>
                <w:sz w:val="18"/>
                <w:szCs w:val="18"/>
              </w:rPr>
              <w:t>4 940,9</w:t>
            </w:r>
          </w:p>
        </w:tc>
        <w:tc>
          <w:tcPr>
            <w:tcW w:w="544" w:type="pct"/>
            <w:tcBorders>
              <w:top w:val="nil"/>
              <w:left w:val="nil"/>
              <w:bottom w:val="nil"/>
              <w:right w:val="single" w:sz="4" w:space="0" w:color="auto"/>
            </w:tcBorders>
            <w:shd w:val="clear" w:color="auto" w:fill="auto"/>
            <w:noWrap/>
            <w:vAlign w:val="bottom"/>
          </w:tcPr>
          <w:p w14:paraId="6A86A7BA" w14:textId="77777777" w:rsidR="003E44E9" w:rsidRDefault="003E44E9" w:rsidP="003E44E9">
            <w:pPr>
              <w:jc w:val="right"/>
              <w:rPr>
                <w:sz w:val="18"/>
                <w:szCs w:val="18"/>
              </w:rPr>
            </w:pPr>
            <w:r>
              <w:rPr>
                <w:sz w:val="18"/>
                <w:szCs w:val="18"/>
              </w:rPr>
              <w:t>6,3%</w:t>
            </w:r>
          </w:p>
        </w:tc>
        <w:tc>
          <w:tcPr>
            <w:tcW w:w="453" w:type="pct"/>
            <w:tcBorders>
              <w:top w:val="nil"/>
              <w:left w:val="nil"/>
              <w:bottom w:val="nil"/>
              <w:right w:val="nil"/>
            </w:tcBorders>
            <w:shd w:val="clear" w:color="auto" w:fill="auto"/>
            <w:noWrap/>
            <w:vAlign w:val="bottom"/>
          </w:tcPr>
          <w:p w14:paraId="4ADD6E26" w14:textId="77777777" w:rsidR="003E44E9" w:rsidRDefault="003E44E9" w:rsidP="003E44E9">
            <w:pPr>
              <w:jc w:val="right"/>
              <w:rPr>
                <w:color w:val="000000"/>
                <w:sz w:val="18"/>
                <w:szCs w:val="18"/>
              </w:rPr>
            </w:pPr>
            <w:r>
              <w:rPr>
                <w:color w:val="000000"/>
                <w:sz w:val="18"/>
                <w:szCs w:val="18"/>
              </w:rPr>
              <w:t>5 239,3</w:t>
            </w:r>
          </w:p>
        </w:tc>
        <w:tc>
          <w:tcPr>
            <w:tcW w:w="544" w:type="pct"/>
            <w:tcBorders>
              <w:top w:val="nil"/>
              <w:left w:val="nil"/>
              <w:bottom w:val="nil"/>
              <w:right w:val="single" w:sz="4" w:space="0" w:color="auto"/>
            </w:tcBorders>
            <w:shd w:val="clear" w:color="auto" w:fill="auto"/>
            <w:noWrap/>
            <w:vAlign w:val="bottom"/>
          </w:tcPr>
          <w:p w14:paraId="2BD79101" w14:textId="77777777" w:rsidR="003E44E9" w:rsidRDefault="003E44E9" w:rsidP="003E44E9">
            <w:pPr>
              <w:jc w:val="right"/>
              <w:rPr>
                <w:sz w:val="18"/>
                <w:szCs w:val="18"/>
              </w:rPr>
            </w:pPr>
            <w:r>
              <w:rPr>
                <w:sz w:val="18"/>
                <w:szCs w:val="18"/>
              </w:rPr>
              <w:t>6,2%</w:t>
            </w:r>
          </w:p>
        </w:tc>
        <w:tc>
          <w:tcPr>
            <w:tcW w:w="453" w:type="pct"/>
            <w:tcBorders>
              <w:top w:val="nil"/>
              <w:left w:val="nil"/>
              <w:bottom w:val="nil"/>
              <w:right w:val="nil"/>
            </w:tcBorders>
            <w:shd w:val="clear" w:color="auto" w:fill="auto"/>
            <w:noWrap/>
            <w:vAlign w:val="bottom"/>
          </w:tcPr>
          <w:p w14:paraId="07E2AE1B" w14:textId="77777777" w:rsidR="003E44E9" w:rsidRDefault="003E44E9" w:rsidP="003E44E9">
            <w:pPr>
              <w:jc w:val="right"/>
              <w:rPr>
                <w:color w:val="000000"/>
                <w:sz w:val="18"/>
                <w:szCs w:val="18"/>
              </w:rPr>
            </w:pPr>
            <w:r>
              <w:rPr>
                <w:color w:val="000000"/>
                <w:sz w:val="18"/>
                <w:szCs w:val="18"/>
              </w:rPr>
              <w:t>5 553,2</w:t>
            </w:r>
          </w:p>
        </w:tc>
        <w:tc>
          <w:tcPr>
            <w:tcW w:w="544" w:type="pct"/>
            <w:tcBorders>
              <w:top w:val="nil"/>
              <w:left w:val="nil"/>
              <w:bottom w:val="nil"/>
              <w:right w:val="single" w:sz="4" w:space="0" w:color="auto"/>
            </w:tcBorders>
            <w:shd w:val="clear" w:color="auto" w:fill="auto"/>
            <w:noWrap/>
            <w:vAlign w:val="bottom"/>
          </w:tcPr>
          <w:p w14:paraId="1E3DF403" w14:textId="77777777" w:rsidR="003E44E9" w:rsidRDefault="003E44E9" w:rsidP="003E44E9">
            <w:pPr>
              <w:jc w:val="right"/>
              <w:rPr>
                <w:sz w:val="18"/>
                <w:szCs w:val="18"/>
              </w:rPr>
            </w:pPr>
            <w:r>
              <w:rPr>
                <w:sz w:val="18"/>
                <w:szCs w:val="18"/>
              </w:rPr>
              <w:t>6,5%</w:t>
            </w:r>
          </w:p>
        </w:tc>
      </w:tr>
      <w:tr w:rsidR="003E44E9" w:rsidRPr="003D5973" w14:paraId="6C36AE51" w14:textId="77777777" w:rsidTr="00EC6CB1">
        <w:trPr>
          <w:trHeight w:val="300"/>
        </w:trPr>
        <w:tc>
          <w:tcPr>
            <w:tcW w:w="1013" w:type="pct"/>
            <w:tcBorders>
              <w:top w:val="nil"/>
              <w:left w:val="single" w:sz="4" w:space="0" w:color="auto"/>
              <w:bottom w:val="nil"/>
              <w:right w:val="nil"/>
            </w:tcBorders>
            <w:shd w:val="clear" w:color="auto" w:fill="auto"/>
            <w:hideMark/>
          </w:tcPr>
          <w:p w14:paraId="6E5B000C" w14:textId="77777777" w:rsidR="003E44E9" w:rsidRPr="003D5973" w:rsidRDefault="003E44E9" w:rsidP="003E44E9">
            <w:pPr>
              <w:spacing w:after="0"/>
              <w:jc w:val="left"/>
              <w:rPr>
                <w:rFonts w:eastAsia="Times New Roman" w:cs="Times New Roman"/>
                <w:i/>
                <w:iCs/>
                <w:sz w:val="16"/>
                <w:szCs w:val="16"/>
              </w:rPr>
            </w:pPr>
            <w:r w:rsidRPr="003D5973">
              <w:rPr>
                <w:rFonts w:eastAsia="Times New Roman" w:cs="Times New Roman"/>
                <w:i/>
                <w:iCs/>
                <w:sz w:val="16"/>
                <w:szCs w:val="16"/>
              </w:rPr>
              <w:t xml:space="preserve"> 2b. - в т.ч. платени от фирмите</w:t>
            </w:r>
          </w:p>
        </w:tc>
        <w:tc>
          <w:tcPr>
            <w:tcW w:w="453" w:type="pct"/>
            <w:tcBorders>
              <w:top w:val="nil"/>
              <w:left w:val="single" w:sz="4" w:space="0" w:color="auto"/>
              <w:bottom w:val="nil"/>
              <w:right w:val="nil"/>
            </w:tcBorders>
            <w:shd w:val="clear" w:color="auto" w:fill="auto"/>
            <w:noWrap/>
            <w:vAlign w:val="bottom"/>
          </w:tcPr>
          <w:p w14:paraId="341DBA94" w14:textId="77777777" w:rsidR="003E44E9" w:rsidRDefault="003E44E9" w:rsidP="003E44E9">
            <w:pPr>
              <w:jc w:val="right"/>
              <w:rPr>
                <w:color w:val="000000"/>
                <w:sz w:val="18"/>
                <w:szCs w:val="18"/>
              </w:rPr>
            </w:pPr>
            <w:r>
              <w:rPr>
                <w:color w:val="000000"/>
                <w:sz w:val="18"/>
                <w:szCs w:val="18"/>
              </w:rPr>
              <w:t>3 319,3</w:t>
            </w:r>
          </w:p>
        </w:tc>
        <w:tc>
          <w:tcPr>
            <w:tcW w:w="544" w:type="pct"/>
            <w:tcBorders>
              <w:top w:val="nil"/>
              <w:left w:val="nil"/>
              <w:bottom w:val="nil"/>
              <w:right w:val="single" w:sz="4" w:space="0" w:color="auto"/>
            </w:tcBorders>
            <w:shd w:val="clear" w:color="auto" w:fill="auto"/>
            <w:noWrap/>
            <w:vAlign w:val="bottom"/>
          </w:tcPr>
          <w:p w14:paraId="738BA118" w14:textId="77777777" w:rsidR="003E44E9" w:rsidRDefault="003E44E9" w:rsidP="003E44E9">
            <w:pPr>
              <w:jc w:val="right"/>
              <w:rPr>
                <w:sz w:val="18"/>
                <w:szCs w:val="18"/>
              </w:rPr>
            </w:pPr>
            <w:r>
              <w:rPr>
                <w:sz w:val="18"/>
                <w:szCs w:val="18"/>
              </w:rPr>
              <w:t>12,2%</w:t>
            </w:r>
          </w:p>
        </w:tc>
        <w:tc>
          <w:tcPr>
            <w:tcW w:w="453" w:type="pct"/>
            <w:tcBorders>
              <w:top w:val="nil"/>
              <w:left w:val="nil"/>
              <w:bottom w:val="nil"/>
              <w:right w:val="nil"/>
            </w:tcBorders>
            <w:shd w:val="clear" w:color="auto" w:fill="auto"/>
            <w:noWrap/>
            <w:vAlign w:val="bottom"/>
          </w:tcPr>
          <w:p w14:paraId="4EB0140C" w14:textId="77777777" w:rsidR="003E44E9" w:rsidRDefault="003E44E9" w:rsidP="003E44E9">
            <w:pPr>
              <w:jc w:val="right"/>
              <w:rPr>
                <w:color w:val="000000"/>
                <w:sz w:val="18"/>
                <w:szCs w:val="18"/>
              </w:rPr>
            </w:pPr>
            <w:r>
              <w:rPr>
                <w:color w:val="000000"/>
                <w:sz w:val="18"/>
                <w:szCs w:val="18"/>
              </w:rPr>
              <w:t>3 873,8</w:t>
            </w:r>
          </w:p>
        </w:tc>
        <w:tc>
          <w:tcPr>
            <w:tcW w:w="544" w:type="pct"/>
            <w:tcBorders>
              <w:top w:val="nil"/>
              <w:left w:val="nil"/>
              <w:bottom w:val="nil"/>
              <w:right w:val="single" w:sz="4" w:space="0" w:color="auto"/>
            </w:tcBorders>
            <w:shd w:val="clear" w:color="auto" w:fill="auto"/>
            <w:noWrap/>
            <w:vAlign w:val="bottom"/>
          </w:tcPr>
          <w:p w14:paraId="53FDF3CA" w14:textId="77777777" w:rsidR="003E44E9" w:rsidRDefault="003E44E9" w:rsidP="003E44E9">
            <w:pPr>
              <w:jc w:val="right"/>
              <w:rPr>
                <w:sz w:val="18"/>
                <w:szCs w:val="18"/>
              </w:rPr>
            </w:pPr>
            <w:r>
              <w:rPr>
                <w:sz w:val="18"/>
                <w:szCs w:val="18"/>
              </w:rPr>
              <w:t>16,8%</w:t>
            </w:r>
          </w:p>
        </w:tc>
        <w:tc>
          <w:tcPr>
            <w:tcW w:w="453" w:type="pct"/>
            <w:tcBorders>
              <w:top w:val="nil"/>
              <w:left w:val="nil"/>
              <w:bottom w:val="nil"/>
              <w:right w:val="nil"/>
            </w:tcBorders>
            <w:shd w:val="clear" w:color="auto" w:fill="auto"/>
            <w:noWrap/>
            <w:vAlign w:val="bottom"/>
          </w:tcPr>
          <w:p w14:paraId="507E67A5" w14:textId="77777777" w:rsidR="003E44E9" w:rsidRDefault="003E44E9" w:rsidP="003E44E9">
            <w:pPr>
              <w:jc w:val="right"/>
              <w:rPr>
                <w:color w:val="000000"/>
                <w:sz w:val="18"/>
                <w:szCs w:val="18"/>
              </w:rPr>
            </w:pPr>
            <w:r>
              <w:rPr>
                <w:color w:val="000000"/>
                <w:sz w:val="18"/>
                <w:szCs w:val="18"/>
              </w:rPr>
              <w:t>4 133,4</w:t>
            </w:r>
          </w:p>
        </w:tc>
        <w:tc>
          <w:tcPr>
            <w:tcW w:w="544" w:type="pct"/>
            <w:tcBorders>
              <w:top w:val="nil"/>
              <w:left w:val="nil"/>
              <w:bottom w:val="nil"/>
              <w:right w:val="single" w:sz="4" w:space="0" w:color="auto"/>
            </w:tcBorders>
            <w:shd w:val="clear" w:color="auto" w:fill="auto"/>
            <w:noWrap/>
            <w:vAlign w:val="bottom"/>
          </w:tcPr>
          <w:p w14:paraId="1C5B07ED" w14:textId="77777777" w:rsidR="003E44E9" w:rsidRDefault="003E44E9" w:rsidP="003E44E9">
            <w:pPr>
              <w:jc w:val="right"/>
              <w:rPr>
                <w:sz w:val="18"/>
                <w:szCs w:val="18"/>
              </w:rPr>
            </w:pPr>
            <w:r>
              <w:rPr>
                <w:sz w:val="18"/>
                <w:szCs w:val="18"/>
              </w:rPr>
              <w:t>6,8%</w:t>
            </w:r>
          </w:p>
        </w:tc>
        <w:tc>
          <w:tcPr>
            <w:tcW w:w="453" w:type="pct"/>
            <w:tcBorders>
              <w:top w:val="nil"/>
              <w:left w:val="nil"/>
              <w:bottom w:val="nil"/>
              <w:right w:val="nil"/>
            </w:tcBorders>
            <w:shd w:val="clear" w:color="auto" w:fill="auto"/>
            <w:noWrap/>
            <w:vAlign w:val="bottom"/>
          </w:tcPr>
          <w:p w14:paraId="6B4BC08C" w14:textId="77777777" w:rsidR="003E44E9" w:rsidRDefault="003E44E9" w:rsidP="003E44E9">
            <w:pPr>
              <w:jc w:val="right"/>
              <w:rPr>
                <w:color w:val="000000"/>
                <w:sz w:val="18"/>
                <w:szCs w:val="18"/>
              </w:rPr>
            </w:pPr>
            <w:r>
              <w:rPr>
                <w:color w:val="000000"/>
                <w:sz w:val="18"/>
                <w:szCs w:val="18"/>
              </w:rPr>
              <w:t>4 416,2</w:t>
            </w:r>
          </w:p>
        </w:tc>
        <w:tc>
          <w:tcPr>
            <w:tcW w:w="544" w:type="pct"/>
            <w:tcBorders>
              <w:top w:val="nil"/>
              <w:left w:val="nil"/>
              <w:bottom w:val="nil"/>
              <w:right w:val="single" w:sz="4" w:space="0" w:color="auto"/>
            </w:tcBorders>
            <w:shd w:val="clear" w:color="auto" w:fill="auto"/>
            <w:noWrap/>
            <w:vAlign w:val="bottom"/>
          </w:tcPr>
          <w:p w14:paraId="5426B691" w14:textId="77777777" w:rsidR="003E44E9" w:rsidRDefault="003E44E9" w:rsidP="003E44E9">
            <w:pPr>
              <w:jc w:val="right"/>
              <w:rPr>
                <w:sz w:val="18"/>
                <w:szCs w:val="18"/>
              </w:rPr>
            </w:pPr>
            <w:r>
              <w:rPr>
                <w:sz w:val="18"/>
                <w:szCs w:val="18"/>
              </w:rPr>
              <w:t>6,9%</w:t>
            </w:r>
          </w:p>
        </w:tc>
      </w:tr>
      <w:tr w:rsidR="003E44E9" w:rsidRPr="003D5973" w14:paraId="2264223B" w14:textId="77777777" w:rsidTr="00EC6CB1">
        <w:trPr>
          <w:trHeight w:val="300"/>
        </w:trPr>
        <w:tc>
          <w:tcPr>
            <w:tcW w:w="1013" w:type="pct"/>
            <w:tcBorders>
              <w:top w:val="nil"/>
              <w:left w:val="single" w:sz="4" w:space="0" w:color="auto"/>
              <w:bottom w:val="nil"/>
              <w:right w:val="nil"/>
            </w:tcBorders>
            <w:shd w:val="clear" w:color="auto" w:fill="auto"/>
            <w:hideMark/>
          </w:tcPr>
          <w:p w14:paraId="08CA4ADF"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3. Социално-осигурителни вноски</w:t>
            </w:r>
          </w:p>
        </w:tc>
        <w:tc>
          <w:tcPr>
            <w:tcW w:w="453" w:type="pct"/>
            <w:tcBorders>
              <w:top w:val="nil"/>
              <w:left w:val="single" w:sz="4" w:space="0" w:color="auto"/>
              <w:bottom w:val="nil"/>
              <w:right w:val="nil"/>
            </w:tcBorders>
            <w:shd w:val="clear" w:color="auto" w:fill="auto"/>
            <w:noWrap/>
            <w:vAlign w:val="bottom"/>
          </w:tcPr>
          <w:p w14:paraId="53A700C9" w14:textId="77777777" w:rsidR="003E44E9" w:rsidRDefault="003E44E9" w:rsidP="003E44E9">
            <w:pPr>
              <w:jc w:val="right"/>
              <w:rPr>
                <w:color w:val="000000"/>
                <w:sz w:val="18"/>
                <w:szCs w:val="18"/>
              </w:rPr>
            </w:pPr>
            <w:r>
              <w:rPr>
                <w:color w:val="000000"/>
                <w:sz w:val="18"/>
                <w:szCs w:val="18"/>
              </w:rPr>
              <w:t>10 627,5</w:t>
            </w:r>
          </w:p>
        </w:tc>
        <w:tc>
          <w:tcPr>
            <w:tcW w:w="544" w:type="pct"/>
            <w:tcBorders>
              <w:top w:val="nil"/>
              <w:left w:val="nil"/>
              <w:bottom w:val="nil"/>
              <w:right w:val="single" w:sz="4" w:space="0" w:color="auto"/>
            </w:tcBorders>
            <w:shd w:val="clear" w:color="auto" w:fill="auto"/>
            <w:noWrap/>
            <w:vAlign w:val="bottom"/>
          </w:tcPr>
          <w:p w14:paraId="48D60C91" w14:textId="77777777" w:rsidR="003E44E9" w:rsidRDefault="003E44E9" w:rsidP="003E44E9">
            <w:pPr>
              <w:jc w:val="right"/>
              <w:rPr>
                <w:sz w:val="18"/>
                <w:szCs w:val="18"/>
              </w:rPr>
            </w:pPr>
            <w:r>
              <w:rPr>
                <w:sz w:val="18"/>
                <w:szCs w:val="18"/>
              </w:rPr>
              <w:t>14,5%</w:t>
            </w:r>
          </w:p>
        </w:tc>
        <w:tc>
          <w:tcPr>
            <w:tcW w:w="453" w:type="pct"/>
            <w:tcBorders>
              <w:top w:val="nil"/>
              <w:left w:val="nil"/>
              <w:bottom w:val="nil"/>
              <w:right w:val="nil"/>
            </w:tcBorders>
            <w:shd w:val="clear" w:color="auto" w:fill="auto"/>
            <w:noWrap/>
            <w:vAlign w:val="bottom"/>
          </w:tcPr>
          <w:p w14:paraId="56ACDF94" w14:textId="77777777" w:rsidR="003E44E9" w:rsidRDefault="003E44E9" w:rsidP="003E44E9">
            <w:pPr>
              <w:jc w:val="right"/>
              <w:rPr>
                <w:color w:val="000000"/>
                <w:sz w:val="18"/>
                <w:szCs w:val="18"/>
              </w:rPr>
            </w:pPr>
            <w:r>
              <w:rPr>
                <w:color w:val="000000"/>
                <w:sz w:val="18"/>
                <w:szCs w:val="18"/>
              </w:rPr>
              <w:t>11 127,9</w:t>
            </w:r>
          </w:p>
        </w:tc>
        <w:tc>
          <w:tcPr>
            <w:tcW w:w="544" w:type="pct"/>
            <w:tcBorders>
              <w:top w:val="nil"/>
              <w:left w:val="nil"/>
              <w:bottom w:val="nil"/>
              <w:right w:val="single" w:sz="4" w:space="0" w:color="auto"/>
            </w:tcBorders>
            <w:shd w:val="clear" w:color="auto" w:fill="auto"/>
            <w:noWrap/>
            <w:vAlign w:val="bottom"/>
          </w:tcPr>
          <w:p w14:paraId="410A26DA" w14:textId="77777777" w:rsidR="003E44E9" w:rsidRDefault="003E44E9" w:rsidP="003E44E9">
            <w:pPr>
              <w:jc w:val="right"/>
              <w:rPr>
                <w:sz w:val="18"/>
                <w:szCs w:val="18"/>
              </w:rPr>
            </w:pPr>
            <w:r>
              <w:rPr>
                <w:sz w:val="18"/>
                <w:szCs w:val="18"/>
              </w:rPr>
              <w:t>3,4%</w:t>
            </w:r>
          </w:p>
        </w:tc>
        <w:tc>
          <w:tcPr>
            <w:tcW w:w="453" w:type="pct"/>
            <w:tcBorders>
              <w:top w:val="nil"/>
              <w:left w:val="nil"/>
              <w:bottom w:val="nil"/>
              <w:right w:val="nil"/>
            </w:tcBorders>
            <w:shd w:val="clear" w:color="auto" w:fill="auto"/>
            <w:noWrap/>
            <w:vAlign w:val="bottom"/>
          </w:tcPr>
          <w:p w14:paraId="3D815D3A" w14:textId="77777777" w:rsidR="003E44E9" w:rsidRDefault="003E44E9" w:rsidP="003E44E9">
            <w:pPr>
              <w:jc w:val="right"/>
              <w:rPr>
                <w:color w:val="000000"/>
                <w:sz w:val="18"/>
                <w:szCs w:val="18"/>
              </w:rPr>
            </w:pPr>
            <w:r>
              <w:rPr>
                <w:color w:val="000000"/>
                <w:sz w:val="18"/>
                <w:szCs w:val="18"/>
              </w:rPr>
              <w:t>11 597,7</w:t>
            </w:r>
          </w:p>
        </w:tc>
        <w:tc>
          <w:tcPr>
            <w:tcW w:w="544" w:type="pct"/>
            <w:tcBorders>
              <w:top w:val="nil"/>
              <w:left w:val="nil"/>
              <w:bottom w:val="nil"/>
              <w:right w:val="single" w:sz="4" w:space="0" w:color="auto"/>
            </w:tcBorders>
            <w:shd w:val="clear" w:color="auto" w:fill="auto"/>
            <w:noWrap/>
            <w:vAlign w:val="bottom"/>
          </w:tcPr>
          <w:p w14:paraId="26E2405B" w14:textId="77777777" w:rsidR="003E44E9" w:rsidRDefault="003E44E9" w:rsidP="003E44E9">
            <w:pPr>
              <w:jc w:val="right"/>
              <w:rPr>
                <w:sz w:val="18"/>
                <w:szCs w:val="18"/>
              </w:rPr>
            </w:pPr>
            <w:r>
              <w:rPr>
                <w:sz w:val="18"/>
                <w:szCs w:val="18"/>
              </w:rPr>
              <w:t>-0,5%</w:t>
            </w:r>
          </w:p>
        </w:tc>
        <w:tc>
          <w:tcPr>
            <w:tcW w:w="453" w:type="pct"/>
            <w:tcBorders>
              <w:top w:val="nil"/>
              <w:left w:val="nil"/>
              <w:bottom w:val="nil"/>
              <w:right w:val="nil"/>
            </w:tcBorders>
            <w:shd w:val="clear" w:color="auto" w:fill="auto"/>
            <w:noWrap/>
            <w:vAlign w:val="bottom"/>
          </w:tcPr>
          <w:p w14:paraId="50CBA512" w14:textId="77777777" w:rsidR="003E44E9" w:rsidRDefault="003E44E9" w:rsidP="003E44E9">
            <w:pPr>
              <w:jc w:val="right"/>
              <w:rPr>
                <w:color w:val="000000"/>
                <w:sz w:val="18"/>
                <w:szCs w:val="18"/>
              </w:rPr>
            </w:pPr>
            <w:r>
              <w:rPr>
                <w:color w:val="000000"/>
                <w:sz w:val="18"/>
                <w:szCs w:val="18"/>
              </w:rPr>
              <w:t>11 954,4</w:t>
            </w:r>
          </w:p>
        </w:tc>
        <w:tc>
          <w:tcPr>
            <w:tcW w:w="544" w:type="pct"/>
            <w:tcBorders>
              <w:top w:val="nil"/>
              <w:left w:val="nil"/>
              <w:bottom w:val="nil"/>
              <w:right w:val="single" w:sz="4" w:space="0" w:color="auto"/>
            </w:tcBorders>
            <w:shd w:val="clear" w:color="auto" w:fill="auto"/>
            <w:noWrap/>
            <w:vAlign w:val="bottom"/>
          </w:tcPr>
          <w:p w14:paraId="2F887E5A" w14:textId="77777777" w:rsidR="003E44E9" w:rsidRDefault="003E44E9" w:rsidP="003E44E9">
            <w:pPr>
              <w:jc w:val="right"/>
              <w:rPr>
                <w:sz w:val="18"/>
                <w:szCs w:val="18"/>
              </w:rPr>
            </w:pPr>
            <w:r>
              <w:rPr>
                <w:sz w:val="18"/>
                <w:szCs w:val="18"/>
              </w:rPr>
              <w:t>-4,8%</w:t>
            </w:r>
          </w:p>
        </w:tc>
      </w:tr>
      <w:tr w:rsidR="003E44E9" w:rsidRPr="003D5973" w14:paraId="4883E392" w14:textId="77777777" w:rsidTr="00EC6CB1">
        <w:trPr>
          <w:trHeight w:val="495"/>
        </w:trPr>
        <w:tc>
          <w:tcPr>
            <w:tcW w:w="1013" w:type="pct"/>
            <w:tcBorders>
              <w:top w:val="nil"/>
              <w:left w:val="single" w:sz="4" w:space="0" w:color="auto"/>
              <w:bottom w:val="nil"/>
              <w:right w:val="nil"/>
            </w:tcBorders>
            <w:shd w:val="clear" w:color="auto" w:fill="auto"/>
            <w:hideMark/>
          </w:tcPr>
          <w:p w14:paraId="7681FB9C" w14:textId="77777777" w:rsidR="003E44E9" w:rsidRPr="003D5973" w:rsidRDefault="003E44E9" w:rsidP="003E44E9">
            <w:pPr>
              <w:spacing w:after="0"/>
              <w:jc w:val="left"/>
              <w:rPr>
                <w:rFonts w:eastAsia="Times New Roman" w:cs="Times New Roman"/>
                <w:i/>
                <w:iCs/>
                <w:sz w:val="16"/>
                <w:szCs w:val="16"/>
              </w:rPr>
            </w:pPr>
            <w:r w:rsidRPr="003D5973">
              <w:rPr>
                <w:rFonts w:eastAsia="Times New Roman" w:cs="Times New Roman"/>
                <w:i/>
                <w:iCs/>
                <w:sz w:val="16"/>
                <w:szCs w:val="16"/>
              </w:rPr>
              <w:t xml:space="preserve"> 3a. - в т.ч. действително платени вноски</w:t>
            </w:r>
          </w:p>
        </w:tc>
        <w:tc>
          <w:tcPr>
            <w:tcW w:w="453" w:type="pct"/>
            <w:tcBorders>
              <w:top w:val="nil"/>
              <w:left w:val="single" w:sz="4" w:space="0" w:color="auto"/>
              <w:bottom w:val="nil"/>
              <w:right w:val="nil"/>
            </w:tcBorders>
            <w:shd w:val="clear" w:color="auto" w:fill="auto"/>
            <w:noWrap/>
            <w:vAlign w:val="bottom"/>
          </w:tcPr>
          <w:p w14:paraId="739E8921" w14:textId="77777777" w:rsidR="003E44E9" w:rsidRDefault="003E44E9" w:rsidP="003E44E9">
            <w:pPr>
              <w:jc w:val="right"/>
              <w:rPr>
                <w:color w:val="000000"/>
                <w:sz w:val="18"/>
                <w:szCs w:val="18"/>
              </w:rPr>
            </w:pPr>
            <w:r>
              <w:rPr>
                <w:color w:val="000000"/>
                <w:sz w:val="18"/>
                <w:szCs w:val="18"/>
              </w:rPr>
              <w:t>10 627,5</w:t>
            </w:r>
          </w:p>
        </w:tc>
        <w:tc>
          <w:tcPr>
            <w:tcW w:w="544" w:type="pct"/>
            <w:tcBorders>
              <w:top w:val="nil"/>
              <w:left w:val="nil"/>
              <w:bottom w:val="nil"/>
              <w:right w:val="single" w:sz="4" w:space="0" w:color="auto"/>
            </w:tcBorders>
            <w:shd w:val="clear" w:color="auto" w:fill="auto"/>
            <w:noWrap/>
            <w:vAlign w:val="bottom"/>
          </w:tcPr>
          <w:p w14:paraId="23FFA1C3" w14:textId="77777777" w:rsidR="003E44E9" w:rsidRDefault="003E44E9" w:rsidP="003E44E9">
            <w:pPr>
              <w:jc w:val="right"/>
              <w:rPr>
                <w:sz w:val="18"/>
                <w:szCs w:val="18"/>
              </w:rPr>
            </w:pPr>
            <w:r>
              <w:rPr>
                <w:sz w:val="18"/>
                <w:szCs w:val="18"/>
              </w:rPr>
              <w:t>14,5%</w:t>
            </w:r>
          </w:p>
        </w:tc>
        <w:tc>
          <w:tcPr>
            <w:tcW w:w="453" w:type="pct"/>
            <w:tcBorders>
              <w:top w:val="nil"/>
              <w:left w:val="nil"/>
              <w:bottom w:val="nil"/>
              <w:right w:val="nil"/>
            </w:tcBorders>
            <w:shd w:val="clear" w:color="auto" w:fill="auto"/>
            <w:noWrap/>
            <w:vAlign w:val="bottom"/>
          </w:tcPr>
          <w:p w14:paraId="20ED8989" w14:textId="77777777" w:rsidR="003E44E9" w:rsidRDefault="003E44E9" w:rsidP="003E44E9">
            <w:pPr>
              <w:jc w:val="right"/>
              <w:rPr>
                <w:color w:val="000000"/>
                <w:sz w:val="18"/>
                <w:szCs w:val="18"/>
              </w:rPr>
            </w:pPr>
            <w:r>
              <w:rPr>
                <w:color w:val="000000"/>
                <w:sz w:val="18"/>
                <w:szCs w:val="18"/>
              </w:rPr>
              <w:t>11 127,9</w:t>
            </w:r>
          </w:p>
        </w:tc>
        <w:tc>
          <w:tcPr>
            <w:tcW w:w="544" w:type="pct"/>
            <w:tcBorders>
              <w:top w:val="nil"/>
              <w:left w:val="nil"/>
              <w:bottom w:val="nil"/>
              <w:right w:val="single" w:sz="4" w:space="0" w:color="auto"/>
            </w:tcBorders>
            <w:shd w:val="clear" w:color="auto" w:fill="auto"/>
            <w:noWrap/>
            <w:vAlign w:val="bottom"/>
          </w:tcPr>
          <w:p w14:paraId="53C2227D" w14:textId="77777777" w:rsidR="003E44E9" w:rsidRDefault="003E44E9" w:rsidP="003E44E9">
            <w:pPr>
              <w:jc w:val="right"/>
              <w:rPr>
                <w:sz w:val="18"/>
                <w:szCs w:val="18"/>
              </w:rPr>
            </w:pPr>
            <w:r>
              <w:rPr>
                <w:sz w:val="18"/>
                <w:szCs w:val="18"/>
              </w:rPr>
              <w:t>3,4%</w:t>
            </w:r>
          </w:p>
        </w:tc>
        <w:tc>
          <w:tcPr>
            <w:tcW w:w="453" w:type="pct"/>
            <w:tcBorders>
              <w:top w:val="nil"/>
              <w:left w:val="nil"/>
              <w:bottom w:val="nil"/>
              <w:right w:val="nil"/>
            </w:tcBorders>
            <w:shd w:val="clear" w:color="auto" w:fill="auto"/>
            <w:noWrap/>
            <w:vAlign w:val="bottom"/>
          </w:tcPr>
          <w:p w14:paraId="59B1E775" w14:textId="77777777" w:rsidR="003E44E9" w:rsidRDefault="003E44E9" w:rsidP="003E44E9">
            <w:pPr>
              <w:jc w:val="right"/>
              <w:rPr>
                <w:color w:val="000000"/>
                <w:sz w:val="18"/>
                <w:szCs w:val="18"/>
              </w:rPr>
            </w:pPr>
            <w:r>
              <w:rPr>
                <w:color w:val="000000"/>
                <w:sz w:val="18"/>
                <w:szCs w:val="18"/>
              </w:rPr>
              <w:t>11 597,7</w:t>
            </w:r>
          </w:p>
        </w:tc>
        <w:tc>
          <w:tcPr>
            <w:tcW w:w="544" w:type="pct"/>
            <w:tcBorders>
              <w:top w:val="nil"/>
              <w:left w:val="nil"/>
              <w:bottom w:val="nil"/>
              <w:right w:val="single" w:sz="4" w:space="0" w:color="auto"/>
            </w:tcBorders>
            <w:shd w:val="clear" w:color="auto" w:fill="auto"/>
            <w:noWrap/>
            <w:vAlign w:val="bottom"/>
          </w:tcPr>
          <w:p w14:paraId="19094960" w14:textId="77777777" w:rsidR="003E44E9" w:rsidRDefault="003E44E9" w:rsidP="003E44E9">
            <w:pPr>
              <w:jc w:val="right"/>
              <w:rPr>
                <w:sz w:val="18"/>
                <w:szCs w:val="18"/>
              </w:rPr>
            </w:pPr>
            <w:r>
              <w:rPr>
                <w:sz w:val="18"/>
                <w:szCs w:val="18"/>
              </w:rPr>
              <w:t>-0,5%</w:t>
            </w:r>
          </w:p>
        </w:tc>
        <w:tc>
          <w:tcPr>
            <w:tcW w:w="453" w:type="pct"/>
            <w:tcBorders>
              <w:top w:val="nil"/>
              <w:left w:val="nil"/>
              <w:bottom w:val="nil"/>
              <w:right w:val="nil"/>
            </w:tcBorders>
            <w:shd w:val="clear" w:color="auto" w:fill="auto"/>
            <w:noWrap/>
            <w:vAlign w:val="bottom"/>
          </w:tcPr>
          <w:p w14:paraId="1450A17F" w14:textId="77777777" w:rsidR="003E44E9" w:rsidRDefault="003E44E9" w:rsidP="003E44E9">
            <w:pPr>
              <w:jc w:val="right"/>
              <w:rPr>
                <w:color w:val="000000"/>
                <w:sz w:val="18"/>
                <w:szCs w:val="18"/>
              </w:rPr>
            </w:pPr>
            <w:r>
              <w:rPr>
                <w:color w:val="000000"/>
                <w:sz w:val="18"/>
                <w:szCs w:val="18"/>
              </w:rPr>
              <w:t>11 954,4</w:t>
            </w:r>
          </w:p>
        </w:tc>
        <w:tc>
          <w:tcPr>
            <w:tcW w:w="544" w:type="pct"/>
            <w:tcBorders>
              <w:top w:val="nil"/>
              <w:left w:val="nil"/>
              <w:bottom w:val="nil"/>
              <w:right w:val="single" w:sz="4" w:space="0" w:color="auto"/>
            </w:tcBorders>
            <w:shd w:val="clear" w:color="auto" w:fill="auto"/>
            <w:noWrap/>
            <w:vAlign w:val="bottom"/>
          </w:tcPr>
          <w:p w14:paraId="745052C2" w14:textId="77777777" w:rsidR="003E44E9" w:rsidRDefault="003E44E9" w:rsidP="003E44E9">
            <w:pPr>
              <w:jc w:val="right"/>
              <w:rPr>
                <w:sz w:val="18"/>
                <w:szCs w:val="18"/>
              </w:rPr>
            </w:pPr>
            <w:r>
              <w:rPr>
                <w:sz w:val="18"/>
                <w:szCs w:val="18"/>
              </w:rPr>
              <w:t>-4,8%</w:t>
            </w:r>
          </w:p>
        </w:tc>
      </w:tr>
      <w:tr w:rsidR="003E44E9" w:rsidRPr="003D5973" w14:paraId="68D1C13E" w14:textId="77777777" w:rsidTr="00EC6CB1">
        <w:trPr>
          <w:trHeight w:val="495"/>
        </w:trPr>
        <w:tc>
          <w:tcPr>
            <w:tcW w:w="1013" w:type="pct"/>
            <w:tcBorders>
              <w:top w:val="nil"/>
              <w:left w:val="single" w:sz="4" w:space="0" w:color="auto"/>
              <w:bottom w:val="nil"/>
              <w:right w:val="nil"/>
            </w:tcBorders>
            <w:shd w:val="clear" w:color="auto" w:fill="auto"/>
            <w:hideMark/>
          </w:tcPr>
          <w:p w14:paraId="06BE4510"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4. Други приходи, вкл. приходи от продажби</w:t>
            </w:r>
          </w:p>
        </w:tc>
        <w:tc>
          <w:tcPr>
            <w:tcW w:w="453" w:type="pct"/>
            <w:tcBorders>
              <w:top w:val="nil"/>
              <w:left w:val="single" w:sz="4" w:space="0" w:color="auto"/>
              <w:bottom w:val="nil"/>
              <w:right w:val="nil"/>
            </w:tcBorders>
            <w:shd w:val="clear" w:color="auto" w:fill="auto"/>
            <w:noWrap/>
            <w:vAlign w:val="bottom"/>
          </w:tcPr>
          <w:p w14:paraId="4C6C354D" w14:textId="77777777" w:rsidR="003E44E9" w:rsidRDefault="003E44E9" w:rsidP="003E44E9">
            <w:pPr>
              <w:jc w:val="right"/>
              <w:rPr>
                <w:color w:val="000000"/>
                <w:sz w:val="18"/>
                <w:szCs w:val="18"/>
              </w:rPr>
            </w:pPr>
            <w:r>
              <w:rPr>
                <w:color w:val="000000"/>
                <w:sz w:val="18"/>
                <w:szCs w:val="18"/>
              </w:rPr>
              <w:t>5 382,6</w:t>
            </w:r>
          </w:p>
        </w:tc>
        <w:tc>
          <w:tcPr>
            <w:tcW w:w="544" w:type="pct"/>
            <w:tcBorders>
              <w:top w:val="nil"/>
              <w:left w:val="nil"/>
              <w:bottom w:val="nil"/>
              <w:right w:val="single" w:sz="4" w:space="0" w:color="auto"/>
            </w:tcBorders>
            <w:shd w:val="clear" w:color="auto" w:fill="auto"/>
            <w:noWrap/>
            <w:vAlign w:val="bottom"/>
          </w:tcPr>
          <w:p w14:paraId="6E45B78B" w14:textId="77777777" w:rsidR="003E44E9" w:rsidRDefault="003E44E9" w:rsidP="003E44E9">
            <w:pPr>
              <w:jc w:val="right"/>
              <w:rPr>
                <w:sz w:val="18"/>
                <w:szCs w:val="18"/>
              </w:rPr>
            </w:pPr>
            <w:r>
              <w:rPr>
                <w:sz w:val="18"/>
                <w:szCs w:val="18"/>
              </w:rPr>
              <w:t>22,7%</w:t>
            </w:r>
          </w:p>
        </w:tc>
        <w:tc>
          <w:tcPr>
            <w:tcW w:w="453" w:type="pct"/>
            <w:tcBorders>
              <w:top w:val="nil"/>
              <w:left w:val="nil"/>
              <w:bottom w:val="nil"/>
              <w:right w:val="nil"/>
            </w:tcBorders>
            <w:shd w:val="clear" w:color="auto" w:fill="auto"/>
            <w:noWrap/>
            <w:vAlign w:val="bottom"/>
          </w:tcPr>
          <w:p w14:paraId="039F30E8" w14:textId="77777777" w:rsidR="003E44E9" w:rsidRDefault="003E44E9" w:rsidP="003E44E9">
            <w:pPr>
              <w:jc w:val="right"/>
              <w:rPr>
                <w:color w:val="000000"/>
                <w:sz w:val="18"/>
                <w:szCs w:val="18"/>
              </w:rPr>
            </w:pPr>
            <w:r>
              <w:rPr>
                <w:color w:val="000000"/>
                <w:sz w:val="18"/>
                <w:szCs w:val="18"/>
              </w:rPr>
              <w:t>5 487,7</w:t>
            </w:r>
          </w:p>
        </w:tc>
        <w:tc>
          <w:tcPr>
            <w:tcW w:w="544" w:type="pct"/>
            <w:tcBorders>
              <w:top w:val="nil"/>
              <w:left w:val="nil"/>
              <w:bottom w:val="nil"/>
              <w:right w:val="single" w:sz="4" w:space="0" w:color="auto"/>
            </w:tcBorders>
            <w:shd w:val="clear" w:color="auto" w:fill="auto"/>
            <w:noWrap/>
            <w:vAlign w:val="bottom"/>
          </w:tcPr>
          <w:p w14:paraId="0D23ECDB" w14:textId="77777777" w:rsidR="003E44E9" w:rsidRDefault="003E44E9" w:rsidP="003E44E9">
            <w:pPr>
              <w:jc w:val="right"/>
              <w:rPr>
                <w:sz w:val="18"/>
                <w:szCs w:val="18"/>
              </w:rPr>
            </w:pPr>
            <w:r>
              <w:rPr>
                <w:sz w:val="18"/>
                <w:szCs w:val="18"/>
              </w:rPr>
              <w:t>-8,2%</w:t>
            </w:r>
          </w:p>
        </w:tc>
        <w:tc>
          <w:tcPr>
            <w:tcW w:w="453" w:type="pct"/>
            <w:tcBorders>
              <w:top w:val="nil"/>
              <w:left w:val="nil"/>
              <w:bottom w:val="nil"/>
              <w:right w:val="nil"/>
            </w:tcBorders>
            <w:shd w:val="clear" w:color="auto" w:fill="auto"/>
            <w:noWrap/>
            <w:vAlign w:val="bottom"/>
          </w:tcPr>
          <w:p w14:paraId="3642465B" w14:textId="77777777" w:rsidR="003E44E9" w:rsidRDefault="003E44E9" w:rsidP="003E44E9">
            <w:pPr>
              <w:jc w:val="right"/>
              <w:rPr>
                <w:color w:val="000000"/>
                <w:sz w:val="18"/>
                <w:szCs w:val="18"/>
              </w:rPr>
            </w:pPr>
            <w:r>
              <w:rPr>
                <w:color w:val="000000"/>
                <w:sz w:val="18"/>
                <w:szCs w:val="18"/>
              </w:rPr>
              <w:t>5 695,3</w:t>
            </w:r>
          </w:p>
        </w:tc>
        <w:tc>
          <w:tcPr>
            <w:tcW w:w="544" w:type="pct"/>
            <w:tcBorders>
              <w:top w:val="nil"/>
              <w:left w:val="nil"/>
              <w:bottom w:val="nil"/>
              <w:right w:val="single" w:sz="4" w:space="0" w:color="auto"/>
            </w:tcBorders>
            <w:shd w:val="clear" w:color="auto" w:fill="auto"/>
            <w:noWrap/>
            <w:vAlign w:val="bottom"/>
          </w:tcPr>
          <w:p w14:paraId="2791DEC3" w14:textId="77777777" w:rsidR="003E44E9" w:rsidRDefault="003E44E9" w:rsidP="003E44E9">
            <w:pPr>
              <w:jc w:val="right"/>
              <w:rPr>
                <w:sz w:val="18"/>
                <w:szCs w:val="18"/>
              </w:rPr>
            </w:pPr>
            <w:r>
              <w:rPr>
                <w:sz w:val="18"/>
                <w:szCs w:val="18"/>
              </w:rPr>
              <w:t>-8,0%</w:t>
            </w:r>
          </w:p>
        </w:tc>
        <w:tc>
          <w:tcPr>
            <w:tcW w:w="453" w:type="pct"/>
            <w:tcBorders>
              <w:top w:val="nil"/>
              <w:left w:val="nil"/>
              <w:bottom w:val="nil"/>
              <w:right w:val="nil"/>
            </w:tcBorders>
            <w:shd w:val="clear" w:color="auto" w:fill="auto"/>
            <w:noWrap/>
            <w:vAlign w:val="bottom"/>
          </w:tcPr>
          <w:p w14:paraId="221BA02E" w14:textId="77777777" w:rsidR="003E44E9" w:rsidRDefault="003E44E9" w:rsidP="003E44E9">
            <w:pPr>
              <w:jc w:val="right"/>
              <w:rPr>
                <w:color w:val="000000"/>
                <w:sz w:val="18"/>
                <w:szCs w:val="18"/>
              </w:rPr>
            </w:pPr>
            <w:r>
              <w:rPr>
                <w:color w:val="000000"/>
                <w:sz w:val="18"/>
                <w:szCs w:val="18"/>
              </w:rPr>
              <w:t>5 724,8</w:t>
            </w:r>
          </w:p>
        </w:tc>
        <w:tc>
          <w:tcPr>
            <w:tcW w:w="544" w:type="pct"/>
            <w:tcBorders>
              <w:top w:val="nil"/>
              <w:left w:val="nil"/>
              <w:bottom w:val="nil"/>
              <w:right w:val="single" w:sz="4" w:space="0" w:color="auto"/>
            </w:tcBorders>
            <w:shd w:val="clear" w:color="auto" w:fill="auto"/>
            <w:noWrap/>
            <w:vAlign w:val="bottom"/>
          </w:tcPr>
          <w:p w14:paraId="18DCC72D" w14:textId="77777777" w:rsidR="003E44E9" w:rsidRDefault="003E44E9" w:rsidP="003E44E9">
            <w:pPr>
              <w:jc w:val="right"/>
              <w:rPr>
                <w:sz w:val="18"/>
                <w:szCs w:val="18"/>
              </w:rPr>
            </w:pPr>
            <w:r>
              <w:rPr>
                <w:sz w:val="18"/>
                <w:szCs w:val="18"/>
              </w:rPr>
              <w:t>-10,5%</w:t>
            </w:r>
          </w:p>
        </w:tc>
      </w:tr>
      <w:tr w:rsidR="003E44E9" w:rsidRPr="003D5973" w14:paraId="5A49F3A2" w14:textId="77777777" w:rsidTr="00EC6CB1">
        <w:trPr>
          <w:trHeight w:val="300"/>
        </w:trPr>
        <w:tc>
          <w:tcPr>
            <w:tcW w:w="1013" w:type="pct"/>
            <w:tcBorders>
              <w:top w:val="nil"/>
              <w:left w:val="single" w:sz="4" w:space="0" w:color="auto"/>
              <w:bottom w:val="nil"/>
              <w:right w:val="nil"/>
            </w:tcBorders>
            <w:shd w:val="clear" w:color="auto" w:fill="auto"/>
            <w:hideMark/>
          </w:tcPr>
          <w:p w14:paraId="51EF54B1"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 xml:space="preserve">5. Общо текущи приходи </w:t>
            </w:r>
          </w:p>
        </w:tc>
        <w:tc>
          <w:tcPr>
            <w:tcW w:w="453" w:type="pct"/>
            <w:tcBorders>
              <w:top w:val="nil"/>
              <w:left w:val="single" w:sz="4" w:space="0" w:color="auto"/>
              <w:bottom w:val="nil"/>
              <w:right w:val="nil"/>
            </w:tcBorders>
            <w:shd w:val="clear" w:color="auto" w:fill="auto"/>
            <w:noWrap/>
            <w:vAlign w:val="bottom"/>
          </w:tcPr>
          <w:p w14:paraId="6590FD17" w14:textId="77777777" w:rsidR="003E44E9" w:rsidRDefault="003E44E9" w:rsidP="003E44E9">
            <w:pPr>
              <w:jc w:val="right"/>
              <w:rPr>
                <w:color w:val="000000"/>
                <w:sz w:val="18"/>
                <w:szCs w:val="18"/>
              </w:rPr>
            </w:pPr>
            <w:r>
              <w:rPr>
                <w:color w:val="000000"/>
                <w:sz w:val="18"/>
                <w:szCs w:val="18"/>
              </w:rPr>
              <w:t>40 263,8</w:t>
            </w:r>
          </w:p>
        </w:tc>
        <w:tc>
          <w:tcPr>
            <w:tcW w:w="544" w:type="pct"/>
            <w:tcBorders>
              <w:top w:val="nil"/>
              <w:left w:val="nil"/>
              <w:bottom w:val="nil"/>
              <w:right w:val="single" w:sz="4" w:space="0" w:color="auto"/>
            </w:tcBorders>
            <w:shd w:val="clear" w:color="auto" w:fill="auto"/>
            <w:noWrap/>
            <w:vAlign w:val="bottom"/>
          </w:tcPr>
          <w:p w14:paraId="064A3FB0" w14:textId="77777777" w:rsidR="003E44E9" w:rsidRDefault="003E44E9" w:rsidP="003E44E9">
            <w:pPr>
              <w:jc w:val="right"/>
              <w:rPr>
                <w:b/>
                <w:bCs/>
                <w:sz w:val="18"/>
                <w:szCs w:val="18"/>
              </w:rPr>
            </w:pPr>
            <w:r>
              <w:rPr>
                <w:b/>
                <w:bCs/>
                <w:sz w:val="18"/>
                <w:szCs w:val="18"/>
              </w:rPr>
              <w:t>12,5%</w:t>
            </w:r>
          </w:p>
        </w:tc>
        <w:tc>
          <w:tcPr>
            <w:tcW w:w="453" w:type="pct"/>
            <w:tcBorders>
              <w:top w:val="nil"/>
              <w:left w:val="nil"/>
              <w:bottom w:val="nil"/>
              <w:right w:val="nil"/>
            </w:tcBorders>
            <w:shd w:val="clear" w:color="auto" w:fill="auto"/>
            <w:noWrap/>
            <w:vAlign w:val="bottom"/>
          </w:tcPr>
          <w:p w14:paraId="6979FEBA" w14:textId="77777777" w:rsidR="003E44E9" w:rsidRDefault="003E44E9" w:rsidP="003E44E9">
            <w:pPr>
              <w:jc w:val="right"/>
              <w:rPr>
                <w:color w:val="000000"/>
                <w:sz w:val="18"/>
                <w:szCs w:val="18"/>
              </w:rPr>
            </w:pPr>
            <w:r>
              <w:rPr>
                <w:color w:val="000000"/>
                <w:sz w:val="18"/>
                <w:szCs w:val="18"/>
              </w:rPr>
              <w:t>43 763,8</w:t>
            </w:r>
          </w:p>
        </w:tc>
        <w:tc>
          <w:tcPr>
            <w:tcW w:w="544" w:type="pct"/>
            <w:tcBorders>
              <w:top w:val="nil"/>
              <w:left w:val="nil"/>
              <w:bottom w:val="nil"/>
              <w:right w:val="single" w:sz="4" w:space="0" w:color="auto"/>
            </w:tcBorders>
            <w:shd w:val="clear" w:color="auto" w:fill="auto"/>
            <w:noWrap/>
            <w:vAlign w:val="bottom"/>
          </w:tcPr>
          <w:p w14:paraId="082E23D4" w14:textId="77777777" w:rsidR="003E44E9" w:rsidRDefault="003E44E9" w:rsidP="003E44E9">
            <w:pPr>
              <w:jc w:val="right"/>
              <w:rPr>
                <w:b/>
                <w:bCs/>
                <w:sz w:val="18"/>
                <w:szCs w:val="18"/>
              </w:rPr>
            </w:pPr>
            <w:r>
              <w:rPr>
                <w:b/>
                <w:bCs/>
                <w:sz w:val="18"/>
                <w:szCs w:val="18"/>
              </w:rPr>
              <w:t>5,0%</w:t>
            </w:r>
          </w:p>
        </w:tc>
        <w:tc>
          <w:tcPr>
            <w:tcW w:w="453" w:type="pct"/>
            <w:tcBorders>
              <w:top w:val="nil"/>
              <w:left w:val="nil"/>
              <w:bottom w:val="nil"/>
              <w:right w:val="nil"/>
            </w:tcBorders>
            <w:shd w:val="clear" w:color="auto" w:fill="auto"/>
            <w:noWrap/>
            <w:vAlign w:val="bottom"/>
          </w:tcPr>
          <w:p w14:paraId="6D2131F6" w14:textId="77777777" w:rsidR="003E44E9" w:rsidRDefault="003E44E9" w:rsidP="003E44E9">
            <w:pPr>
              <w:jc w:val="right"/>
              <w:rPr>
                <w:color w:val="000000"/>
                <w:sz w:val="18"/>
                <w:szCs w:val="18"/>
              </w:rPr>
            </w:pPr>
            <w:r>
              <w:rPr>
                <w:color w:val="000000"/>
                <w:sz w:val="18"/>
                <w:szCs w:val="18"/>
              </w:rPr>
              <w:t>45 707,2</w:t>
            </w:r>
          </w:p>
        </w:tc>
        <w:tc>
          <w:tcPr>
            <w:tcW w:w="544" w:type="pct"/>
            <w:tcBorders>
              <w:top w:val="nil"/>
              <w:left w:val="nil"/>
              <w:bottom w:val="nil"/>
              <w:right w:val="single" w:sz="4" w:space="0" w:color="auto"/>
            </w:tcBorders>
            <w:shd w:val="clear" w:color="auto" w:fill="auto"/>
            <w:noWrap/>
            <w:vAlign w:val="bottom"/>
          </w:tcPr>
          <w:p w14:paraId="2D86A22E" w14:textId="77777777" w:rsidR="003E44E9" w:rsidRDefault="003E44E9" w:rsidP="003E44E9">
            <w:pPr>
              <w:jc w:val="right"/>
              <w:rPr>
                <w:b/>
                <w:bCs/>
                <w:sz w:val="18"/>
                <w:szCs w:val="18"/>
              </w:rPr>
            </w:pPr>
            <w:r>
              <w:rPr>
                <w:b/>
                <w:bCs/>
                <w:sz w:val="18"/>
                <w:szCs w:val="18"/>
              </w:rPr>
              <w:t>-3,3%</w:t>
            </w:r>
          </w:p>
        </w:tc>
        <w:tc>
          <w:tcPr>
            <w:tcW w:w="453" w:type="pct"/>
            <w:tcBorders>
              <w:top w:val="nil"/>
              <w:left w:val="nil"/>
              <w:bottom w:val="nil"/>
              <w:right w:val="nil"/>
            </w:tcBorders>
            <w:shd w:val="clear" w:color="auto" w:fill="auto"/>
            <w:noWrap/>
            <w:vAlign w:val="bottom"/>
          </w:tcPr>
          <w:p w14:paraId="21088346" w14:textId="77777777" w:rsidR="003E44E9" w:rsidRDefault="003E44E9" w:rsidP="003E44E9">
            <w:pPr>
              <w:jc w:val="right"/>
              <w:rPr>
                <w:color w:val="000000"/>
                <w:sz w:val="18"/>
                <w:szCs w:val="18"/>
              </w:rPr>
            </w:pPr>
            <w:r>
              <w:rPr>
                <w:color w:val="000000"/>
                <w:sz w:val="18"/>
                <w:szCs w:val="18"/>
              </w:rPr>
              <w:t>47 618,3</w:t>
            </w:r>
          </w:p>
        </w:tc>
        <w:tc>
          <w:tcPr>
            <w:tcW w:w="544" w:type="pct"/>
            <w:tcBorders>
              <w:top w:val="nil"/>
              <w:left w:val="nil"/>
              <w:bottom w:val="nil"/>
              <w:right w:val="single" w:sz="4" w:space="0" w:color="auto"/>
            </w:tcBorders>
            <w:shd w:val="clear" w:color="auto" w:fill="auto"/>
            <w:noWrap/>
            <w:vAlign w:val="bottom"/>
          </w:tcPr>
          <w:p w14:paraId="5EA0CF9F" w14:textId="77777777" w:rsidR="003E44E9" w:rsidRDefault="003E44E9" w:rsidP="003E44E9">
            <w:pPr>
              <w:jc w:val="right"/>
              <w:rPr>
                <w:b/>
                <w:bCs/>
                <w:sz w:val="18"/>
                <w:szCs w:val="18"/>
              </w:rPr>
            </w:pPr>
            <w:r>
              <w:rPr>
                <w:b/>
                <w:bCs/>
                <w:sz w:val="18"/>
                <w:szCs w:val="18"/>
              </w:rPr>
              <w:t>-4,2%</w:t>
            </w:r>
          </w:p>
        </w:tc>
      </w:tr>
      <w:tr w:rsidR="003E44E9" w:rsidRPr="003D5973" w14:paraId="2A8EE1B5" w14:textId="77777777" w:rsidTr="00EC6CB1">
        <w:trPr>
          <w:trHeight w:val="300"/>
        </w:trPr>
        <w:tc>
          <w:tcPr>
            <w:tcW w:w="1013" w:type="pct"/>
            <w:tcBorders>
              <w:top w:val="nil"/>
              <w:left w:val="single" w:sz="4" w:space="0" w:color="auto"/>
              <w:bottom w:val="nil"/>
              <w:right w:val="nil"/>
            </w:tcBorders>
            <w:shd w:val="clear" w:color="auto" w:fill="auto"/>
            <w:hideMark/>
          </w:tcPr>
          <w:p w14:paraId="621464C4"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6. Компенсация на наетите лица</w:t>
            </w:r>
          </w:p>
        </w:tc>
        <w:tc>
          <w:tcPr>
            <w:tcW w:w="453" w:type="pct"/>
            <w:tcBorders>
              <w:top w:val="nil"/>
              <w:left w:val="single" w:sz="4" w:space="0" w:color="auto"/>
              <w:bottom w:val="nil"/>
              <w:right w:val="nil"/>
            </w:tcBorders>
            <w:shd w:val="clear" w:color="auto" w:fill="auto"/>
            <w:noWrap/>
            <w:vAlign w:val="bottom"/>
          </w:tcPr>
          <w:p w14:paraId="436AA804" w14:textId="77777777" w:rsidR="003E44E9" w:rsidRDefault="003E44E9" w:rsidP="003E44E9">
            <w:pPr>
              <w:jc w:val="right"/>
              <w:rPr>
                <w:color w:val="000000"/>
                <w:sz w:val="18"/>
                <w:szCs w:val="18"/>
              </w:rPr>
            </w:pPr>
            <w:r>
              <w:rPr>
                <w:color w:val="000000"/>
                <w:sz w:val="18"/>
                <w:szCs w:val="18"/>
              </w:rPr>
              <w:t>12 573,3</w:t>
            </w:r>
          </w:p>
        </w:tc>
        <w:tc>
          <w:tcPr>
            <w:tcW w:w="544" w:type="pct"/>
            <w:tcBorders>
              <w:top w:val="nil"/>
              <w:left w:val="nil"/>
              <w:bottom w:val="nil"/>
              <w:right w:val="single" w:sz="4" w:space="0" w:color="auto"/>
            </w:tcBorders>
            <w:shd w:val="clear" w:color="auto" w:fill="auto"/>
            <w:noWrap/>
            <w:vAlign w:val="bottom"/>
          </w:tcPr>
          <w:p w14:paraId="6DBC821C" w14:textId="77777777" w:rsidR="003E44E9" w:rsidRDefault="003E44E9" w:rsidP="003E44E9">
            <w:pPr>
              <w:jc w:val="right"/>
              <w:rPr>
                <w:sz w:val="18"/>
                <w:szCs w:val="18"/>
              </w:rPr>
            </w:pPr>
            <w:r>
              <w:rPr>
                <w:sz w:val="18"/>
                <w:szCs w:val="18"/>
              </w:rPr>
              <w:t>5,8%</w:t>
            </w:r>
          </w:p>
        </w:tc>
        <w:tc>
          <w:tcPr>
            <w:tcW w:w="453" w:type="pct"/>
            <w:tcBorders>
              <w:top w:val="nil"/>
              <w:left w:val="nil"/>
              <w:bottom w:val="nil"/>
              <w:right w:val="nil"/>
            </w:tcBorders>
            <w:shd w:val="clear" w:color="auto" w:fill="auto"/>
            <w:noWrap/>
            <w:vAlign w:val="bottom"/>
          </w:tcPr>
          <w:p w14:paraId="73D85225" w14:textId="77777777" w:rsidR="003E44E9" w:rsidRDefault="003E44E9" w:rsidP="003E44E9">
            <w:pPr>
              <w:jc w:val="right"/>
              <w:rPr>
                <w:color w:val="000000"/>
                <w:sz w:val="18"/>
                <w:szCs w:val="18"/>
              </w:rPr>
            </w:pPr>
            <w:r>
              <w:rPr>
                <w:color w:val="000000"/>
                <w:sz w:val="18"/>
                <w:szCs w:val="18"/>
              </w:rPr>
              <w:t>13 351,3</w:t>
            </w:r>
          </w:p>
        </w:tc>
        <w:tc>
          <w:tcPr>
            <w:tcW w:w="544" w:type="pct"/>
            <w:tcBorders>
              <w:top w:val="nil"/>
              <w:left w:val="nil"/>
              <w:bottom w:val="nil"/>
              <w:right w:val="single" w:sz="4" w:space="0" w:color="auto"/>
            </w:tcBorders>
            <w:shd w:val="clear" w:color="auto" w:fill="auto"/>
            <w:noWrap/>
            <w:vAlign w:val="bottom"/>
          </w:tcPr>
          <w:p w14:paraId="4CD45DE3" w14:textId="77777777" w:rsidR="003E44E9" w:rsidRDefault="003E44E9" w:rsidP="003E44E9">
            <w:pPr>
              <w:jc w:val="right"/>
              <w:rPr>
                <w:sz w:val="18"/>
                <w:szCs w:val="18"/>
              </w:rPr>
            </w:pPr>
            <w:r>
              <w:rPr>
                <w:sz w:val="18"/>
                <w:szCs w:val="18"/>
              </w:rPr>
              <w:t>-3,3%</w:t>
            </w:r>
          </w:p>
        </w:tc>
        <w:tc>
          <w:tcPr>
            <w:tcW w:w="453" w:type="pct"/>
            <w:tcBorders>
              <w:top w:val="nil"/>
              <w:left w:val="nil"/>
              <w:bottom w:val="nil"/>
              <w:right w:val="nil"/>
            </w:tcBorders>
            <w:shd w:val="clear" w:color="auto" w:fill="auto"/>
            <w:noWrap/>
            <w:vAlign w:val="bottom"/>
          </w:tcPr>
          <w:p w14:paraId="0A229E77" w14:textId="77777777" w:rsidR="003E44E9" w:rsidRDefault="003E44E9" w:rsidP="003E44E9">
            <w:pPr>
              <w:jc w:val="right"/>
              <w:rPr>
                <w:color w:val="000000"/>
                <w:sz w:val="18"/>
                <w:szCs w:val="18"/>
              </w:rPr>
            </w:pPr>
            <w:r>
              <w:rPr>
                <w:color w:val="000000"/>
                <w:sz w:val="18"/>
                <w:szCs w:val="18"/>
              </w:rPr>
              <w:t>13 622,7</w:t>
            </w:r>
          </w:p>
        </w:tc>
        <w:tc>
          <w:tcPr>
            <w:tcW w:w="544" w:type="pct"/>
            <w:tcBorders>
              <w:top w:val="nil"/>
              <w:left w:val="nil"/>
              <w:bottom w:val="nil"/>
              <w:right w:val="single" w:sz="4" w:space="0" w:color="auto"/>
            </w:tcBorders>
            <w:shd w:val="clear" w:color="auto" w:fill="auto"/>
            <w:noWrap/>
            <w:vAlign w:val="bottom"/>
          </w:tcPr>
          <w:p w14:paraId="6D25FC44" w14:textId="77777777" w:rsidR="003E44E9" w:rsidRDefault="003E44E9" w:rsidP="003E44E9">
            <w:pPr>
              <w:jc w:val="right"/>
              <w:rPr>
                <w:sz w:val="18"/>
                <w:szCs w:val="18"/>
              </w:rPr>
            </w:pPr>
            <w:r>
              <w:rPr>
                <w:sz w:val="18"/>
                <w:szCs w:val="18"/>
              </w:rPr>
              <w:t>-10,8%</w:t>
            </w:r>
          </w:p>
        </w:tc>
        <w:tc>
          <w:tcPr>
            <w:tcW w:w="453" w:type="pct"/>
            <w:tcBorders>
              <w:top w:val="nil"/>
              <w:left w:val="nil"/>
              <w:bottom w:val="nil"/>
              <w:right w:val="nil"/>
            </w:tcBorders>
            <w:shd w:val="clear" w:color="auto" w:fill="auto"/>
            <w:noWrap/>
            <w:vAlign w:val="bottom"/>
          </w:tcPr>
          <w:p w14:paraId="654BB004" w14:textId="77777777" w:rsidR="003E44E9" w:rsidRDefault="003E44E9" w:rsidP="003E44E9">
            <w:pPr>
              <w:jc w:val="right"/>
              <w:rPr>
                <w:color w:val="000000"/>
                <w:sz w:val="18"/>
                <w:szCs w:val="18"/>
              </w:rPr>
            </w:pPr>
            <w:r>
              <w:rPr>
                <w:color w:val="000000"/>
                <w:sz w:val="18"/>
                <w:szCs w:val="18"/>
              </w:rPr>
              <w:t>13 903,1</w:t>
            </w:r>
          </w:p>
        </w:tc>
        <w:tc>
          <w:tcPr>
            <w:tcW w:w="544" w:type="pct"/>
            <w:tcBorders>
              <w:top w:val="nil"/>
              <w:left w:val="nil"/>
              <w:bottom w:val="nil"/>
              <w:right w:val="single" w:sz="4" w:space="0" w:color="auto"/>
            </w:tcBorders>
            <w:shd w:val="clear" w:color="auto" w:fill="auto"/>
            <w:noWrap/>
            <w:vAlign w:val="bottom"/>
          </w:tcPr>
          <w:p w14:paraId="23AC7846" w14:textId="77777777" w:rsidR="003E44E9" w:rsidRDefault="003E44E9" w:rsidP="003E44E9">
            <w:pPr>
              <w:jc w:val="right"/>
              <w:rPr>
                <w:sz w:val="18"/>
                <w:szCs w:val="18"/>
              </w:rPr>
            </w:pPr>
            <w:r>
              <w:rPr>
                <w:sz w:val="18"/>
                <w:szCs w:val="18"/>
              </w:rPr>
              <w:t>-10,9%</w:t>
            </w:r>
          </w:p>
        </w:tc>
      </w:tr>
      <w:tr w:rsidR="003E44E9" w:rsidRPr="003D5973" w14:paraId="3BD884D7" w14:textId="77777777" w:rsidTr="00EC6CB1">
        <w:trPr>
          <w:trHeight w:val="300"/>
        </w:trPr>
        <w:tc>
          <w:tcPr>
            <w:tcW w:w="1013" w:type="pct"/>
            <w:tcBorders>
              <w:top w:val="nil"/>
              <w:left w:val="single" w:sz="4" w:space="0" w:color="auto"/>
              <w:bottom w:val="nil"/>
              <w:right w:val="nil"/>
            </w:tcBorders>
            <w:shd w:val="clear" w:color="auto" w:fill="auto"/>
            <w:hideMark/>
          </w:tcPr>
          <w:p w14:paraId="4675B325"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7. Междинно потребление</w:t>
            </w:r>
          </w:p>
        </w:tc>
        <w:tc>
          <w:tcPr>
            <w:tcW w:w="453" w:type="pct"/>
            <w:tcBorders>
              <w:top w:val="nil"/>
              <w:left w:val="single" w:sz="4" w:space="0" w:color="auto"/>
              <w:bottom w:val="nil"/>
              <w:right w:val="nil"/>
            </w:tcBorders>
            <w:shd w:val="clear" w:color="auto" w:fill="auto"/>
            <w:noWrap/>
            <w:vAlign w:val="bottom"/>
          </w:tcPr>
          <w:p w14:paraId="2C667CD7" w14:textId="77777777" w:rsidR="003E44E9" w:rsidRDefault="003E44E9" w:rsidP="003E44E9">
            <w:pPr>
              <w:jc w:val="right"/>
              <w:rPr>
                <w:color w:val="000000"/>
                <w:sz w:val="18"/>
                <w:szCs w:val="18"/>
              </w:rPr>
            </w:pPr>
            <w:r>
              <w:rPr>
                <w:color w:val="000000"/>
                <w:sz w:val="18"/>
                <w:szCs w:val="18"/>
              </w:rPr>
              <w:t>4 964,5</w:t>
            </w:r>
          </w:p>
        </w:tc>
        <w:tc>
          <w:tcPr>
            <w:tcW w:w="544" w:type="pct"/>
            <w:tcBorders>
              <w:top w:val="nil"/>
              <w:left w:val="nil"/>
              <w:bottom w:val="nil"/>
              <w:right w:val="single" w:sz="4" w:space="0" w:color="auto"/>
            </w:tcBorders>
            <w:shd w:val="clear" w:color="auto" w:fill="auto"/>
            <w:noWrap/>
            <w:vAlign w:val="bottom"/>
          </w:tcPr>
          <w:p w14:paraId="72D01B3F" w14:textId="77777777" w:rsidR="003E44E9" w:rsidRDefault="003E44E9" w:rsidP="003E44E9">
            <w:pPr>
              <w:jc w:val="right"/>
              <w:rPr>
                <w:sz w:val="18"/>
                <w:szCs w:val="18"/>
              </w:rPr>
            </w:pPr>
            <w:r>
              <w:rPr>
                <w:sz w:val="18"/>
                <w:szCs w:val="18"/>
              </w:rPr>
              <w:t>1,9%</w:t>
            </w:r>
          </w:p>
        </w:tc>
        <w:tc>
          <w:tcPr>
            <w:tcW w:w="453" w:type="pct"/>
            <w:tcBorders>
              <w:top w:val="nil"/>
              <w:left w:val="nil"/>
              <w:bottom w:val="nil"/>
              <w:right w:val="nil"/>
            </w:tcBorders>
            <w:shd w:val="clear" w:color="auto" w:fill="auto"/>
            <w:noWrap/>
            <w:vAlign w:val="bottom"/>
          </w:tcPr>
          <w:p w14:paraId="34B2233E" w14:textId="77777777" w:rsidR="003E44E9" w:rsidRDefault="003E44E9" w:rsidP="003E44E9">
            <w:pPr>
              <w:jc w:val="right"/>
              <w:rPr>
                <w:color w:val="000000"/>
                <w:sz w:val="18"/>
                <w:szCs w:val="18"/>
              </w:rPr>
            </w:pPr>
            <w:r>
              <w:rPr>
                <w:color w:val="000000"/>
                <w:sz w:val="18"/>
                <w:szCs w:val="18"/>
              </w:rPr>
              <w:t>5 343,7</w:t>
            </w:r>
          </w:p>
        </w:tc>
        <w:tc>
          <w:tcPr>
            <w:tcW w:w="544" w:type="pct"/>
            <w:tcBorders>
              <w:top w:val="nil"/>
              <w:left w:val="nil"/>
              <w:bottom w:val="nil"/>
              <w:right w:val="single" w:sz="4" w:space="0" w:color="auto"/>
            </w:tcBorders>
            <w:shd w:val="clear" w:color="auto" w:fill="auto"/>
            <w:noWrap/>
            <w:vAlign w:val="bottom"/>
          </w:tcPr>
          <w:p w14:paraId="30FED5F8" w14:textId="77777777" w:rsidR="003E44E9" w:rsidRDefault="003E44E9" w:rsidP="003E44E9">
            <w:pPr>
              <w:jc w:val="right"/>
              <w:rPr>
                <w:sz w:val="18"/>
                <w:szCs w:val="18"/>
              </w:rPr>
            </w:pPr>
            <w:r>
              <w:rPr>
                <w:sz w:val="18"/>
                <w:szCs w:val="18"/>
              </w:rPr>
              <w:t>7,6%</w:t>
            </w:r>
          </w:p>
        </w:tc>
        <w:tc>
          <w:tcPr>
            <w:tcW w:w="453" w:type="pct"/>
            <w:tcBorders>
              <w:top w:val="nil"/>
              <w:left w:val="nil"/>
              <w:bottom w:val="nil"/>
              <w:right w:val="nil"/>
            </w:tcBorders>
            <w:shd w:val="clear" w:color="auto" w:fill="auto"/>
            <w:noWrap/>
            <w:vAlign w:val="bottom"/>
          </w:tcPr>
          <w:p w14:paraId="3B6359C5" w14:textId="77777777" w:rsidR="003E44E9" w:rsidRDefault="003E44E9" w:rsidP="003E44E9">
            <w:pPr>
              <w:jc w:val="right"/>
              <w:rPr>
                <w:color w:val="000000"/>
                <w:sz w:val="18"/>
                <w:szCs w:val="18"/>
              </w:rPr>
            </w:pPr>
            <w:r>
              <w:rPr>
                <w:color w:val="000000"/>
                <w:sz w:val="18"/>
                <w:szCs w:val="18"/>
              </w:rPr>
              <w:t>5 540,7</w:t>
            </w:r>
          </w:p>
        </w:tc>
        <w:tc>
          <w:tcPr>
            <w:tcW w:w="544" w:type="pct"/>
            <w:tcBorders>
              <w:top w:val="nil"/>
              <w:left w:val="nil"/>
              <w:bottom w:val="nil"/>
              <w:right w:val="single" w:sz="4" w:space="0" w:color="auto"/>
            </w:tcBorders>
            <w:shd w:val="clear" w:color="auto" w:fill="auto"/>
            <w:noWrap/>
            <w:vAlign w:val="bottom"/>
          </w:tcPr>
          <w:p w14:paraId="6D77A9C3" w14:textId="77777777" w:rsidR="003E44E9" w:rsidRDefault="003E44E9" w:rsidP="003E44E9">
            <w:pPr>
              <w:jc w:val="right"/>
              <w:rPr>
                <w:sz w:val="18"/>
                <w:szCs w:val="18"/>
              </w:rPr>
            </w:pPr>
            <w:r>
              <w:rPr>
                <w:sz w:val="18"/>
                <w:szCs w:val="18"/>
              </w:rPr>
              <w:t>3,7%</w:t>
            </w:r>
          </w:p>
        </w:tc>
        <w:tc>
          <w:tcPr>
            <w:tcW w:w="453" w:type="pct"/>
            <w:tcBorders>
              <w:top w:val="nil"/>
              <w:left w:val="nil"/>
              <w:bottom w:val="nil"/>
              <w:right w:val="nil"/>
            </w:tcBorders>
            <w:shd w:val="clear" w:color="auto" w:fill="auto"/>
            <w:noWrap/>
            <w:vAlign w:val="bottom"/>
          </w:tcPr>
          <w:p w14:paraId="22B89DD2" w14:textId="77777777" w:rsidR="003E44E9" w:rsidRDefault="003E44E9" w:rsidP="003E44E9">
            <w:pPr>
              <w:jc w:val="right"/>
              <w:rPr>
                <w:color w:val="000000"/>
                <w:sz w:val="18"/>
                <w:szCs w:val="18"/>
              </w:rPr>
            </w:pPr>
            <w:r>
              <w:rPr>
                <w:color w:val="000000"/>
                <w:sz w:val="18"/>
                <w:szCs w:val="18"/>
              </w:rPr>
              <w:t>5 281,2</w:t>
            </w:r>
          </w:p>
        </w:tc>
        <w:tc>
          <w:tcPr>
            <w:tcW w:w="544" w:type="pct"/>
            <w:tcBorders>
              <w:top w:val="nil"/>
              <w:left w:val="nil"/>
              <w:bottom w:val="nil"/>
              <w:right w:val="single" w:sz="4" w:space="0" w:color="auto"/>
            </w:tcBorders>
            <w:shd w:val="clear" w:color="auto" w:fill="auto"/>
            <w:noWrap/>
            <w:vAlign w:val="bottom"/>
          </w:tcPr>
          <w:p w14:paraId="1F8B3E0F" w14:textId="77777777" w:rsidR="003E44E9" w:rsidRDefault="003E44E9" w:rsidP="003E44E9">
            <w:pPr>
              <w:jc w:val="right"/>
              <w:rPr>
                <w:sz w:val="18"/>
                <w:szCs w:val="18"/>
              </w:rPr>
            </w:pPr>
            <w:r>
              <w:rPr>
                <w:sz w:val="18"/>
                <w:szCs w:val="18"/>
              </w:rPr>
              <w:t>-4,7%</w:t>
            </w:r>
          </w:p>
        </w:tc>
      </w:tr>
      <w:tr w:rsidR="003E44E9" w:rsidRPr="003D5973" w14:paraId="1A7AD13C" w14:textId="77777777" w:rsidTr="00EC6CB1">
        <w:trPr>
          <w:trHeight w:val="300"/>
        </w:trPr>
        <w:tc>
          <w:tcPr>
            <w:tcW w:w="1013" w:type="pct"/>
            <w:tcBorders>
              <w:top w:val="nil"/>
              <w:left w:val="single" w:sz="4" w:space="0" w:color="auto"/>
              <w:bottom w:val="nil"/>
              <w:right w:val="nil"/>
            </w:tcBorders>
            <w:shd w:val="clear" w:color="auto" w:fill="auto"/>
            <w:hideMark/>
          </w:tcPr>
          <w:p w14:paraId="7C6CF934"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lastRenderedPageBreak/>
              <w:t>8. Социални трансфери в натура</w:t>
            </w:r>
          </w:p>
        </w:tc>
        <w:tc>
          <w:tcPr>
            <w:tcW w:w="453" w:type="pct"/>
            <w:tcBorders>
              <w:top w:val="nil"/>
              <w:left w:val="single" w:sz="4" w:space="0" w:color="auto"/>
              <w:bottom w:val="nil"/>
              <w:right w:val="nil"/>
            </w:tcBorders>
            <w:shd w:val="clear" w:color="auto" w:fill="auto"/>
            <w:noWrap/>
            <w:vAlign w:val="bottom"/>
          </w:tcPr>
          <w:p w14:paraId="7BA13C91" w14:textId="77777777" w:rsidR="003E44E9" w:rsidRDefault="003E44E9" w:rsidP="003E44E9">
            <w:pPr>
              <w:jc w:val="right"/>
              <w:rPr>
                <w:color w:val="000000"/>
                <w:sz w:val="18"/>
                <w:szCs w:val="18"/>
              </w:rPr>
            </w:pPr>
            <w:r>
              <w:rPr>
                <w:color w:val="000000"/>
                <w:sz w:val="18"/>
                <w:szCs w:val="18"/>
              </w:rPr>
              <w:t>3 573,1</w:t>
            </w:r>
          </w:p>
        </w:tc>
        <w:tc>
          <w:tcPr>
            <w:tcW w:w="544" w:type="pct"/>
            <w:tcBorders>
              <w:top w:val="nil"/>
              <w:left w:val="nil"/>
              <w:bottom w:val="nil"/>
              <w:right w:val="single" w:sz="4" w:space="0" w:color="auto"/>
            </w:tcBorders>
            <w:shd w:val="clear" w:color="auto" w:fill="auto"/>
            <w:noWrap/>
            <w:vAlign w:val="bottom"/>
          </w:tcPr>
          <w:p w14:paraId="739D9077" w14:textId="77777777" w:rsidR="003E44E9" w:rsidRDefault="003E44E9" w:rsidP="003E44E9">
            <w:pPr>
              <w:jc w:val="right"/>
              <w:rPr>
                <w:sz w:val="18"/>
                <w:szCs w:val="18"/>
              </w:rPr>
            </w:pPr>
            <w:r>
              <w:rPr>
                <w:sz w:val="18"/>
                <w:szCs w:val="18"/>
              </w:rPr>
              <w:t>46,5%</w:t>
            </w:r>
          </w:p>
        </w:tc>
        <w:tc>
          <w:tcPr>
            <w:tcW w:w="453" w:type="pct"/>
            <w:tcBorders>
              <w:top w:val="nil"/>
              <w:left w:val="nil"/>
              <w:bottom w:val="nil"/>
              <w:right w:val="nil"/>
            </w:tcBorders>
            <w:shd w:val="clear" w:color="auto" w:fill="auto"/>
            <w:noWrap/>
            <w:vAlign w:val="bottom"/>
          </w:tcPr>
          <w:p w14:paraId="7EBC26EE" w14:textId="77777777" w:rsidR="003E44E9" w:rsidRDefault="003E44E9" w:rsidP="003E44E9">
            <w:pPr>
              <w:jc w:val="right"/>
              <w:rPr>
                <w:color w:val="000000"/>
                <w:sz w:val="18"/>
                <w:szCs w:val="18"/>
              </w:rPr>
            </w:pPr>
            <w:r>
              <w:rPr>
                <w:color w:val="000000"/>
                <w:sz w:val="18"/>
                <w:szCs w:val="18"/>
              </w:rPr>
              <w:t>4 048,0</w:t>
            </w:r>
          </w:p>
        </w:tc>
        <w:tc>
          <w:tcPr>
            <w:tcW w:w="544" w:type="pct"/>
            <w:tcBorders>
              <w:top w:val="nil"/>
              <w:left w:val="nil"/>
              <w:bottom w:val="nil"/>
              <w:right w:val="single" w:sz="4" w:space="0" w:color="auto"/>
            </w:tcBorders>
            <w:shd w:val="clear" w:color="auto" w:fill="auto"/>
            <w:noWrap/>
            <w:vAlign w:val="bottom"/>
          </w:tcPr>
          <w:p w14:paraId="132E627D" w14:textId="77777777" w:rsidR="003E44E9" w:rsidRDefault="003E44E9" w:rsidP="003E44E9">
            <w:pPr>
              <w:jc w:val="right"/>
              <w:rPr>
                <w:sz w:val="18"/>
                <w:szCs w:val="18"/>
              </w:rPr>
            </w:pPr>
            <w:r>
              <w:rPr>
                <w:sz w:val="18"/>
                <w:szCs w:val="18"/>
              </w:rPr>
              <w:t>13,3%</w:t>
            </w:r>
          </w:p>
        </w:tc>
        <w:tc>
          <w:tcPr>
            <w:tcW w:w="453" w:type="pct"/>
            <w:tcBorders>
              <w:top w:val="nil"/>
              <w:left w:val="nil"/>
              <w:bottom w:val="nil"/>
              <w:right w:val="nil"/>
            </w:tcBorders>
            <w:shd w:val="clear" w:color="auto" w:fill="auto"/>
            <w:noWrap/>
            <w:vAlign w:val="bottom"/>
          </w:tcPr>
          <w:p w14:paraId="758509C8" w14:textId="77777777" w:rsidR="003E44E9" w:rsidRDefault="003E44E9" w:rsidP="003E44E9">
            <w:pPr>
              <w:jc w:val="right"/>
              <w:rPr>
                <w:color w:val="000000"/>
                <w:sz w:val="18"/>
                <w:szCs w:val="18"/>
              </w:rPr>
            </w:pPr>
            <w:r>
              <w:rPr>
                <w:color w:val="000000"/>
                <w:sz w:val="18"/>
                <w:szCs w:val="18"/>
              </w:rPr>
              <w:t>4 285,1</w:t>
            </w:r>
          </w:p>
        </w:tc>
        <w:tc>
          <w:tcPr>
            <w:tcW w:w="544" w:type="pct"/>
            <w:tcBorders>
              <w:top w:val="nil"/>
              <w:left w:val="nil"/>
              <w:bottom w:val="nil"/>
              <w:right w:val="single" w:sz="4" w:space="0" w:color="auto"/>
            </w:tcBorders>
            <w:shd w:val="clear" w:color="auto" w:fill="auto"/>
            <w:noWrap/>
            <w:vAlign w:val="bottom"/>
          </w:tcPr>
          <w:p w14:paraId="0BD53C97" w14:textId="77777777" w:rsidR="003E44E9" w:rsidRDefault="003E44E9" w:rsidP="003E44E9">
            <w:pPr>
              <w:jc w:val="right"/>
              <w:rPr>
                <w:sz w:val="18"/>
                <w:szCs w:val="18"/>
              </w:rPr>
            </w:pPr>
            <w:r>
              <w:rPr>
                <w:sz w:val="18"/>
                <w:szCs w:val="18"/>
              </w:rPr>
              <w:t>5,9%</w:t>
            </w:r>
          </w:p>
        </w:tc>
        <w:tc>
          <w:tcPr>
            <w:tcW w:w="453" w:type="pct"/>
            <w:tcBorders>
              <w:top w:val="nil"/>
              <w:left w:val="nil"/>
              <w:bottom w:val="nil"/>
              <w:right w:val="nil"/>
            </w:tcBorders>
            <w:shd w:val="clear" w:color="auto" w:fill="auto"/>
            <w:noWrap/>
            <w:vAlign w:val="bottom"/>
          </w:tcPr>
          <w:p w14:paraId="0E8214F2" w14:textId="77777777" w:rsidR="003E44E9" w:rsidRDefault="003E44E9" w:rsidP="003E44E9">
            <w:pPr>
              <w:jc w:val="right"/>
              <w:rPr>
                <w:color w:val="000000"/>
                <w:sz w:val="18"/>
                <w:szCs w:val="18"/>
              </w:rPr>
            </w:pPr>
            <w:r>
              <w:rPr>
                <w:color w:val="000000"/>
                <w:sz w:val="18"/>
                <w:szCs w:val="18"/>
              </w:rPr>
              <w:t>4 443,3</w:t>
            </w:r>
          </w:p>
        </w:tc>
        <w:tc>
          <w:tcPr>
            <w:tcW w:w="544" w:type="pct"/>
            <w:tcBorders>
              <w:top w:val="nil"/>
              <w:left w:val="nil"/>
              <w:bottom w:val="nil"/>
              <w:right w:val="single" w:sz="4" w:space="0" w:color="auto"/>
            </w:tcBorders>
            <w:shd w:val="clear" w:color="auto" w:fill="auto"/>
            <w:noWrap/>
            <w:vAlign w:val="bottom"/>
          </w:tcPr>
          <w:p w14:paraId="2F6A4236" w14:textId="77777777" w:rsidR="003E44E9" w:rsidRDefault="003E44E9" w:rsidP="003E44E9">
            <w:pPr>
              <w:jc w:val="right"/>
              <w:rPr>
                <w:sz w:val="18"/>
                <w:szCs w:val="18"/>
              </w:rPr>
            </w:pPr>
            <w:r>
              <w:rPr>
                <w:sz w:val="18"/>
                <w:szCs w:val="18"/>
              </w:rPr>
              <w:t>3,8%</w:t>
            </w:r>
          </w:p>
        </w:tc>
      </w:tr>
      <w:tr w:rsidR="003E44E9" w:rsidRPr="003D5973" w14:paraId="08F4D94E" w14:textId="77777777" w:rsidTr="00EC6CB1">
        <w:trPr>
          <w:trHeight w:val="495"/>
        </w:trPr>
        <w:tc>
          <w:tcPr>
            <w:tcW w:w="1013" w:type="pct"/>
            <w:tcBorders>
              <w:top w:val="nil"/>
              <w:left w:val="single" w:sz="4" w:space="0" w:color="auto"/>
              <w:bottom w:val="nil"/>
              <w:right w:val="nil"/>
            </w:tcBorders>
            <w:shd w:val="clear" w:color="auto" w:fill="auto"/>
            <w:hideMark/>
          </w:tcPr>
          <w:p w14:paraId="74B9A670"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9. Социални трансфери без тези в натура</w:t>
            </w:r>
          </w:p>
        </w:tc>
        <w:tc>
          <w:tcPr>
            <w:tcW w:w="453" w:type="pct"/>
            <w:tcBorders>
              <w:top w:val="nil"/>
              <w:left w:val="single" w:sz="4" w:space="0" w:color="auto"/>
              <w:bottom w:val="nil"/>
              <w:right w:val="nil"/>
            </w:tcBorders>
            <w:shd w:val="clear" w:color="auto" w:fill="auto"/>
            <w:noWrap/>
            <w:vAlign w:val="bottom"/>
          </w:tcPr>
          <w:p w14:paraId="11330702" w14:textId="77777777" w:rsidR="003E44E9" w:rsidRDefault="003E44E9" w:rsidP="003E44E9">
            <w:pPr>
              <w:jc w:val="right"/>
              <w:rPr>
                <w:color w:val="000000"/>
                <w:sz w:val="18"/>
                <w:szCs w:val="18"/>
              </w:rPr>
            </w:pPr>
            <w:r>
              <w:rPr>
                <w:color w:val="000000"/>
                <w:sz w:val="18"/>
                <w:szCs w:val="18"/>
              </w:rPr>
              <w:t>14 979,3</w:t>
            </w:r>
          </w:p>
        </w:tc>
        <w:tc>
          <w:tcPr>
            <w:tcW w:w="544" w:type="pct"/>
            <w:tcBorders>
              <w:top w:val="nil"/>
              <w:left w:val="nil"/>
              <w:bottom w:val="nil"/>
              <w:right w:val="single" w:sz="4" w:space="0" w:color="auto"/>
            </w:tcBorders>
            <w:shd w:val="clear" w:color="auto" w:fill="auto"/>
            <w:noWrap/>
            <w:vAlign w:val="bottom"/>
          </w:tcPr>
          <w:p w14:paraId="6DA095FD" w14:textId="77777777" w:rsidR="003E44E9" w:rsidRDefault="003E44E9" w:rsidP="003E44E9">
            <w:pPr>
              <w:jc w:val="right"/>
              <w:rPr>
                <w:sz w:val="18"/>
                <w:szCs w:val="18"/>
              </w:rPr>
            </w:pPr>
            <w:r>
              <w:rPr>
                <w:sz w:val="18"/>
                <w:szCs w:val="18"/>
              </w:rPr>
              <w:t>11,7%</w:t>
            </w:r>
          </w:p>
        </w:tc>
        <w:tc>
          <w:tcPr>
            <w:tcW w:w="453" w:type="pct"/>
            <w:tcBorders>
              <w:top w:val="nil"/>
              <w:left w:val="nil"/>
              <w:bottom w:val="nil"/>
              <w:right w:val="nil"/>
            </w:tcBorders>
            <w:shd w:val="clear" w:color="auto" w:fill="auto"/>
            <w:noWrap/>
            <w:vAlign w:val="bottom"/>
          </w:tcPr>
          <w:p w14:paraId="44A708F1" w14:textId="77777777" w:rsidR="003E44E9" w:rsidRDefault="003E44E9" w:rsidP="003E44E9">
            <w:pPr>
              <w:jc w:val="right"/>
              <w:rPr>
                <w:color w:val="000000"/>
                <w:sz w:val="18"/>
                <w:szCs w:val="18"/>
              </w:rPr>
            </w:pPr>
            <w:r>
              <w:rPr>
                <w:color w:val="000000"/>
                <w:sz w:val="18"/>
                <w:szCs w:val="18"/>
              </w:rPr>
              <w:t>17 055,5</w:t>
            </w:r>
          </w:p>
        </w:tc>
        <w:tc>
          <w:tcPr>
            <w:tcW w:w="544" w:type="pct"/>
            <w:tcBorders>
              <w:top w:val="nil"/>
              <w:left w:val="nil"/>
              <w:bottom w:val="nil"/>
              <w:right w:val="single" w:sz="4" w:space="0" w:color="auto"/>
            </w:tcBorders>
            <w:shd w:val="clear" w:color="auto" w:fill="auto"/>
            <w:noWrap/>
            <w:vAlign w:val="bottom"/>
          </w:tcPr>
          <w:p w14:paraId="570ECD1B" w14:textId="77777777" w:rsidR="003E44E9" w:rsidRDefault="003E44E9" w:rsidP="003E44E9">
            <w:pPr>
              <w:jc w:val="right"/>
              <w:rPr>
                <w:sz w:val="18"/>
                <w:szCs w:val="18"/>
              </w:rPr>
            </w:pPr>
            <w:r>
              <w:rPr>
                <w:sz w:val="18"/>
                <w:szCs w:val="18"/>
              </w:rPr>
              <w:t>13,4%</w:t>
            </w:r>
          </w:p>
        </w:tc>
        <w:tc>
          <w:tcPr>
            <w:tcW w:w="453" w:type="pct"/>
            <w:tcBorders>
              <w:top w:val="nil"/>
              <w:left w:val="nil"/>
              <w:bottom w:val="nil"/>
              <w:right w:val="nil"/>
            </w:tcBorders>
            <w:shd w:val="clear" w:color="auto" w:fill="auto"/>
            <w:noWrap/>
            <w:vAlign w:val="bottom"/>
          </w:tcPr>
          <w:p w14:paraId="6DDF708E" w14:textId="77777777" w:rsidR="003E44E9" w:rsidRDefault="003E44E9" w:rsidP="003E44E9">
            <w:pPr>
              <w:jc w:val="right"/>
              <w:rPr>
                <w:color w:val="000000"/>
                <w:sz w:val="18"/>
                <w:szCs w:val="18"/>
              </w:rPr>
            </w:pPr>
            <w:r>
              <w:rPr>
                <w:color w:val="000000"/>
                <w:sz w:val="18"/>
                <w:szCs w:val="18"/>
              </w:rPr>
              <w:t>18 184,9</w:t>
            </w:r>
          </w:p>
        </w:tc>
        <w:tc>
          <w:tcPr>
            <w:tcW w:w="544" w:type="pct"/>
            <w:tcBorders>
              <w:top w:val="nil"/>
              <w:left w:val="nil"/>
              <w:bottom w:val="nil"/>
              <w:right w:val="single" w:sz="4" w:space="0" w:color="auto"/>
            </w:tcBorders>
            <w:shd w:val="clear" w:color="auto" w:fill="auto"/>
            <w:noWrap/>
            <w:vAlign w:val="bottom"/>
          </w:tcPr>
          <w:p w14:paraId="2FEDD912" w14:textId="77777777" w:rsidR="003E44E9" w:rsidRDefault="003E44E9" w:rsidP="003E44E9">
            <w:pPr>
              <w:jc w:val="right"/>
              <w:rPr>
                <w:sz w:val="18"/>
                <w:szCs w:val="18"/>
              </w:rPr>
            </w:pPr>
            <w:r>
              <w:rPr>
                <w:sz w:val="18"/>
                <w:szCs w:val="18"/>
              </w:rPr>
              <w:t>6,2%</w:t>
            </w:r>
          </w:p>
        </w:tc>
        <w:tc>
          <w:tcPr>
            <w:tcW w:w="453" w:type="pct"/>
            <w:tcBorders>
              <w:top w:val="nil"/>
              <w:left w:val="nil"/>
              <w:bottom w:val="nil"/>
              <w:right w:val="nil"/>
            </w:tcBorders>
            <w:shd w:val="clear" w:color="auto" w:fill="auto"/>
            <w:noWrap/>
            <w:vAlign w:val="bottom"/>
          </w:tcPr>
          <w:p w14:paraId="52AD4727" w14:textId="77777777" w:rsidR="003E44E9" w:rsidRDefault="003E44E9" w:rsidP="003E44E9">
            <w:pPr>
              <w:jc w:val="right"/>
              <w:rPr>
                <w:color w:val="000000"/>
                <w:sz w:val="18"/>
                <w:szCs w:val="18"/>
              </w:rPr>
            </w:pPr>
            <w:r>
              <w:rPr>
                <w:color w:val="000000"/>
                <w:sz w:val="18"/>
                <w:szCs w:val="18"/>
              </w:rPr>
              <w:t>19 126,5</w:t>
            </w:r>
          </w:p>
        </w:tc>
        <w:tc>
          <w:tcPr>
            <w:tcW w:w="544" w:type="pct"/>
            <w:tcBorders>
              <w:top w:val="nil"/>
              <w:left w:val="nil"/>
              <w:bottom w:val="nil"/>
              <w:right w:val="single" w:sz="4" w:space="0" w:color="auto"/>
            </w:tcBorders>
            <w:shd w:val="clear" w:color="auto" w:fill="auto"/>
            <w:noWrap/>
            <w:vAlign w:val="bottom"/>
          </w:tcPr>
          <w:p w14:paraId="5C8F852C" w14:textId="77777777" w:rsidR="003E44E9" w:rsidRDefault="003E44E9" w:rsidP="003E44E9">
            <w:pPr>
              <w:jc w:val="right"/>
              <w:rPr>
                <w:sz w:val="18"/>
                <w:szCs w:val="18"/>
              </w:rPr>
            </w:pPr>
            <w:r>
              <w:rPr>
                <w:sz w:val="18"/>
                <w:szCs w:val="18"/>
              </w:rPr>
              <w:t>4,8%</w:t>
            </w:r>
          </w:p>
        </w:tc>
      </w:tr>
      <w:tr w:rsidR="003E44E9" w:rsidRPr="003D5973" w14:paraId="53DC4285" w14:textId="77777777" w:rsidTr="00EC6CB1">
        <w:trPr>
          <w:trHeight w:val="300"/>
        </w:trPr>
        <w:tc>
          <w:tcPr>
            <w:tcW w:w="1013" w:type="pct"/>
            <w:tcBorders>
              <w:top w:val="nil"/>
              <w:left w:val="single" w:sz="4" w:space="0" w:color="auto"/>
              <w:bottom w:val="nil"/>
              <w:right w:val="nil"/>
            </w:tcBorders>
            <w:shd w:val="clear" w:color="auto" w:fill="auto"/>
            <w:hideMark/>
          </w:tcPr>
          <w:p w14:paraId="34414387"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10. Лихвени разходи</w:t>
            </w:r>
          </w:p>
        </w:tc>
        <w:tc>
          <w:tcPr>
            <w:tcW w:w="453" w:type="pct"/>
            <w:tcBorders>
              <w:top w:val="nil"/>
              <w:left w:val="single" w:sz="4" w:space="0" w:color="auto"/>
              <w:bottom w:val="nil"/>
              <w:right w:val="nil"/>
            </w:tcBorders>
            <w:shd w:val="clear" w:color="auto" w:fill="auto"/>
            <w:noWrap/>
            <w:vAlign w:val="bottom"/>
          </w:tcPr>
          <w:p w14:paraId="46C862BE" w14:textId="77777777" w:rsidR="003E44E9" w:rsidRDefault="003E44E9" w:rsidP="003E44E9">
            <w:pPr>
              <w:jc w:val="right"/>
              <w:rPr>
                <w:color w:val="000000"/>
                <w:sz w:val="18"/>
                <w:szCs w:val="18"/>
              </w:rPr>
            </w:pPr>
            <w:r>
              <w:rPr>
                <w:color w:val="000000"/>
                <w:sz w:val="18"/>
                <w:szCs w:val="18"/>
              </w:rPr>
              <w:t>970,8</w:t>
            </w:r>
          </w:p>
        </w:tc>
        <w:tc>
          <w:tcPr>
            <w:tcW w:w="544" w:type="pct"/>
            <w:tcBorders>
              <w:top w:val="nil"/>
              <w:left w:val="nil"/>
              <w:bottom w:val="nil"/>
              <w:right w:val="single" w:sz="4" w:space="0" w:color="auto"/>
            </w:tcBorders>
            <w:shd w:val="clear" w:color="auto" w:fill="auto"/>
            <w:noWrap/>
            <w:vAlign w:val="bottom"/>
          </w:tcPr>
          <w:p w14:paraId="1080DE8E" w14:textId="77777777" w:rsidR="003E44E9" w:rsidRDefault="003E44E9" w:rsidP="003E44E9">
            <w:pPr>
              <w:jc w:val="right"/>
              <w:rPr>
                <w:sz w:val="18"/>
                <w:szCs w:val="18"/>
              </w:rPr>
            </w:pPr>
            <w:r>
              <w:rPr>
                <w:sz w:val="18"/>
                <w:szCs w:val="18"/>
              </w:rPr>
              <w:t>79,2%</w:t>
            </w:r>
          </w:p>
        </w:tc>
        <w:tc>
          <w:tcPr>
            <w:tcW w:w="453" w:type="pct"/>
            <w:tcBorders>
              <w:top w:val="nil"/>
              <w:left w:val="nil"/>
              <w:bottom w:val="nil"/>
              <w:right w:val="nil"/>
            </w:tcBorders>
            <w:shd w:val="clear" w:color="auto" w:fill="auto"/>
            <w:noWrap/>
            <w:vAlign w:val="bottom"/>
          </w:tcPr>
          <w:p w14:paraId="3AE6A4A9" w14:textId="77777777" w:rsidR="003E44E9" w:rsidRDefault="003E44E9" w:rsidP="003E44E9">
            <w:pPr>
              <w:jc w:val="right"/>
              <w:rPr>
                <w:color w:val="000000"/>
                <w:sz w:val="18"/>
                <w:szCs w:val="18"/>
              </w:rPr>
            </w:pPr>
            <w:r>
              <w:rPr>
                <w:color w:val="000000"/>
                <w:sz w:val="18"/>
                <w:szCs w:val="18"/>
              </w:rPr>
              <w:t>1 259,5</w:t>
            </w:r>
          </w:p>
        </w:tc>
        <w:tc>
          <w:tcPr>
            <w:tcW w:w="544" w:type="pct"/>
            <w:tcBorders>
              <w:top w:val="nil"/>
              <w:left w:val="nil"/>
              <w:bottom w:val="nil"/>
              <w:right w:val="single" w:sz="4" w:space="0" w:color="auto"/>
            </w:tcBorders>
            <w:shd w:val="clear" w:color="auto" w:fill="auto"/>
            <w:noWrap/>
            <w:vAlign w:val="bottom"/>
          </w:tcPr>
          <w:p w14:paraId="3D47AE47" w14:textId="77777777" w:rsidR="003E44E9" w:rsidRDefault="003E44E9" w:rsidP="003E44E9">
            <w:pPr>
              <w:jc w:val="right"/>
              <w:rPr>
                <w:sz w:val="18"/>
                <w:szCs w:val="18"/>
              </w:rPr>
            </w:pPr>
            <w:r>
              <w:rPr>
                <w:sz w:val="18"/>
                <w:szCs w:val="18"/>
              </w:rPr>
              <w:t>29,7%</w:t>
            </w:r>
          </w:p>
        </w:tc>
        <w:tc>
          <w:tcPr>
            <w:tcW w:w="453" w:type="pct"/>
            <w:tcBorders>
              <w:top w:val="nil"/>
              <w:left w:val="nil"/>
              <w:bottom w:val="nil"/>
              <w:right w:val="nil"/>
            </w:tcBorders>
            <w:shd w:val="clear" w:color="auto" w:fill="auto"/>
            <w:noWrap/>
            <w:vAlign w:val="bottom"/>
          </w:tcPr>
          <w:p w14:paraId="01F5AD31" w14:textId="77777777" w:rsidR="003E44E9" w:rsidRDefault="003E44E9" w:rsidP="003E44E9">
            <w:pPr>
              <w:jc w:val="right"/>
              <w:rPr>
                <w:color w:val="000000"/>
                <w:sz w:val="18"/>
                <w:szCs w:val="18"/>
              </w:rPr>
            </w:pPr>
            <w:r>
              <w:rPr>
                <w:color w:val="000000"/>
                <w:sz w:val="18"/>
                <w:szCs w:val="18"/>
              </w:rPr>
              <w:t>1 565,8</w:t>
            </w:r>
          </w:p>
        </w:tc>
        <w:tc>
          <w:tcPr>
            <w:tcW w:w="544" w:type="pct"/>
            <w:tcBorders>
              <w:top w:val="nil"/>
              <w:left w:val="nil"/>
              <w:bottom w:val="nil"/>
              <w:right w:val="single" w:sz="4" w:space="0" w:color="auto"/>
            </w:tcBorders>
            <w:shd w:val="clear" w:color="auto" w:fill="auto"/>
            <w:noWrap/>
            <w:vAlign w:val="bottom"/>
          </w:tcPr>
          <w:p w14:paraId="4901EAA5" w14:textId="77777777" w:rsidR="003E44E9" w:rsidRDefault="003E44E9" w:rsidP="003E44E9">
            <w:pPr>
              <w:jc w:val="right"/>
              <w:rPr>
                <w:sz w:val="18"/>
                <w:szCs w:val="18"/>
              </w:rPr>
            </w:pPr>
            <w:r>
              <w:rPr>
                <w:sz w:val="18"/>
                <w:szCs w:val="18"/>
              </w:rPr>
              <w:t>24,3%</w:t>
            </w:r>
          </w:p>
        </w:tc>
        <w:tc>
          <w:tcPr>
            <w:tcW w:w="453" w:type="pct"/>
            <w:tcBorders>
              <w:top w:val="nil"/>
              <w:left w:val="nil"/>
              <w:bottom w:val="nil"/>
              <w:right w:val="nil"/>
            </w:tcBorders>
            <w:shd w:val="clear" w:color="auto" w:fill="auto"/>
            <w:noWrap/>
            <w:vAlign w:val="bottom"/>
          </w:tcPr>
          <w:p w14:paraId="69939E79" w14:textId="77777777" w:rsidR="003E44E9" w:rsidRDefault="003E44E9" w:rsidP="003E44E9">
            <w:pPr>
              <w:jc w:val="right"/>
              <w:rPr>
                <w:color w:val="000000"/>
                <w:sz w:val="18"/>
                <w:szCs w:val="18"/>
              </w:rPr>
            </w:pPr>
            <w:r>
              <w:rPr>
                <w:color w:val="000000"/>
                <w:sz w:val="18"/>
                <w:szCs w:val="18"/>
              </w:rPr>
              <w:t>1 850,3</w:t>
            </w:r>
          </w:p>
        </w:tc>
        <w:tc>
          <w:tcPr>
            <w:tcW w:w="544" w:type="pct"/>
            <w:tcBorders>
              <w:top w:val="nil"/>
              <w:left w:val="nil"/>
              <w:bottom w:val="nil"/>
              <w:right w:val="single" w:sz="4" w:space="0" w:color="auto"/>
            </w:tcBorders>
            <w:shd w:val="clear" w:color="auto" w:fill="auto"/>
            <w:noWrap/>
            <w:vAlign w:val="bottom"/>
          </w:tcPr>
          <w:p w14:paraId="5F337354" w14:textId="77777777" w:rsidR="003E44E9" w:rsidRDefault="003E44E9" w:rsidP="003E44E9">
            <w:pPr>
              <w:jc w:val="right"/>
              <w:rPr>
                <w:sz w:val="18"/>
                <w:szCs w:val="18"/>
              </w:rPr>
            </w:pPr>
            <w:r>
              <w:rPr>
                <w:sz w:val="18"/>
                <w:szCs w:val="18"/>
              </w:rPr>
              <w:t>18,2%</w:t>
            </w:r>
          </w:p>
        </w:tc>
      </w:tr>
      <w:tr w:rsidR="003E44E9" w:rsidRPr="003D5973" w14:paraId="066C2E28" w14:textId="77777777" w:rsidTr="00EC6CB1">
        <w:trPr>
          <w:trHeight w:val="274"/>
        </w:trPr>
        <w:tc>
          <w:tcPr>
            <w:tcW w:w="1013" w:type="pct"/>
            <w:tcBorders>
              <w:top w:val="nil"/>
              <w:left w:val="single" w:sz="4" w:space="0" w:color="auto"/>
              <w:bottom w:val="nil"/>
              <w:right w:val="nil"/>
            </w:tcBorders>
            <w:shd w:val="clear" w:color="auto" w:fill="auto"/>
            <w:hideMark/>
          </w:tcPr>
          <w:p w14:paraId="43F0BC76"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11. Субсидии</w:t>
            </w:r>
          </w:p>
        </w:tc>
        <w:tc>
          <w:tcPr>
            <w:tcW w:w="453" w:type="pct"/>
            <w:tcBorders>
              <w:top w:val="nil"/>
              <w:left w:val="single" w:sz="4" w:space="0" w:color="auto"/>
              <w:bottom w:val="nil"/>
              <w:right w:val="nil"/>
            </w:tcBorders>
            <w:shd w:val="clear" w:color="auto" w:fill="auto"/>
            <w:noWrap/>
            <w:vAlign w:val="bottom"/>
          </w:tcPr>
          <w:p w14:paraId="057AD409" w14:textId="77777777" w:rsidR="003E44E9" w:rsidRDefault="003E44E9" w:rsidP="003E44E9">
            <w:pPr>
              <w:jc w:val="right"/>
              <w:rPr>
                <w:color w:val="000000"/>
                <w:sz w:val="18"/>
                <w:szCs w:val="18"/>
              </w:rPr>
            </w:pPr>
            <w:r>
              <w:rPr>
                <w:color w:val="000000"/>
                <w:sz w:val="18"/>
                <w:szCs w:val="18"/>
              </w:rPr>
              <w:t>2 166,8</w:t>
            </w:r>
          </w:p>
        </w:tc>
        <w:tc>
          <w:tcPr>
            <w:tcW w:w="544" w:type="pct"/>
            <w:tcBorders>
              <w:top w:val="nil"/>
              <w:left w:val="nil"/>
              <w:bottom w:val="nil"/>
              <w:right w:val="single" w:sz="4" w:space="0" w:color="auto"/>
            </w:tcBorders>
            <w:shd w:val="clear" w:color="auto" w:fill="auto"/>
            <w:noWrap/>
            <w:vAlign w:val="bottom"/>
          </w:tcPr>
          <w:p w14:paraId="54251697" w14:textId="77777777" w:rsidR="003E44E9" w:rsidRDefault="003E44E9" w:rsidP="003E44E9">
            <w:pPr>
              <w:jc w:val="right"/>
              <w:rPr>
                <w:sz w:val="18"/>
                <w:szCs w:val="18"/>
              </w:rPr>
            </w:pPr>
            <w:r>
              <w:rPr>
                <w:sz w:val="18"/>
                <w:szCs w:val="18"/>
              </w:rPr>
              <w:t>-6,3%</w:t>
            </w:r>
          </w:p>
        </w:tc>
        <w:tc>
          <w:tcPr>
            <w:tcW w:w="453" w:type="pct"/>
            <w:tcBorders>
              <w:top w:val="nil"/>
              <w:left w:val="nil"/>
              <w:bottom w:val="nil"/>
              <w:right w:val="nil"/>
            </w:tcBorders>
            <w:shd w:val="clear" w:color="auto" w:fill="auto"/>
            <w:noWrap/>
            <w:vAlign w:val="bottom"/>
          </w:tcPr>
          <w:p w14:paraId="2DE076F9" w14:textId="77777777" w:rsidR="003E44E9" w:rsidRDefault="003E44E9" w:rsidP="003E44E9">
            <w:pPr>
              <w:jc w:val="right"/>
              <w:rPr>
                <w:color w:val="000000"/>
                <w:sz w:val="18"/>
                <w:szCs w:val="18"/>
              </w:rPr>
            </w:pPr>
            <w:r>
              <w:rPr>
                <w:color w:val="000000"/>
                <w:sz w:val="18"/>
                <w:szCs w:val="18"/>
              </w:rPr>
              <w:t>2 254,8</w:t>
            </w:r>
          </w:p>
        </w:tc>
        <w:tc>
          <w:tcPr>
            <w:tcW w:w="544" w:type="pct"/>
            <w:tcBorders>
              <w:top w:val="nil"/>
              <w:left w:val="nil"/>
              <w:bottom w:val="nil"/>
              <w:right w:val="single" w:sz="4" w:space="0" w:color="auto"/>
            </w:tcBorders>
            <w:shd w:val="clear" w:color="auto" w:fill="auto"/>
            <w:noWrap/>
            <w:vAlign w:val="bottom"/>
          </w:tcPr>
          <w:p w14:paraId="1740F950" w14:textId="77777777" w:rsidR="003E44E9" w:rsidRDefault="003E44E9" w:rsidP="003E44E9">
            <w:pPr>
              <w:jc w:val="right"/>
              <w:rPr>
                <w:sz w:val="18"/>
                <w:szCs w:val="18"/>
              </w:rPr>
            </w:pPr>
            <w:r>
              <w:rPr>
                <w:sz w:val="18"/>
                <w:szCs w:val="18"/>
              </w:rPr>
              <w:t>8,2%</w:t>
            </w:r>
          </w:p>
        </w:tc>
        <w:tc>
          <w:tcPr>
            <w:tcW w:w="453" w:type="pct"/>
            <w:tcBorders>
              <w:top w:val="nil"/>
              <w:left w:val="nil"/>
              <w:bottom w:val="nil"/>
              <w:right w:val="nil"/>
            </w:tcBorders>
            <w:shd w:val="clear" w:color="auto" w:fill="auto"/>
            <w:noWrap/>
            <w:vAlign w:val="bottom"/>
          </w:tcPr>
          <w:p w14:paraId="32A93726" w14:textId="77777777" w:rsidR="003E44E9" w:rsidRDefault="003E44E9" w:rsidP="003E44E9">
            <w:pPr>
              <w:jc w:val="right"/>
              <w:rPr>
                <w:color w:val="000000"/>
                <w:sz w:val="18"/>
                <w:szCs w:val="18"/>
              </w:rPr>
            </w:pPr>
            <w:r>
              <w:rPr>
                <w:color w:val="000000"/>
                <w:sz w:val="18"/>
                <w:szCs w:val="18"/>
              </w:rPr>
              <w:t>1 863,4</w:t>
            </w:r>
          </w:p>
        </w:tc>
        <w:tc>
          <w:tcPr>
            <w:tcW w:w="544" w:type="pct"/>
            <w:tcBorders>
              <w:top w:val="nil"/>
              <w:left w:val="nil"/>
              <w:bottom w:val="nil"/>
              <w:right w:val="single" w:sz="4" w:space="0" w:color="auto"/>
            </w:tcBorders>
            <w:shd w:val="clear" w:color="auto" w:fill="auto"/>
            <w:noWrap/>
            <w:vAlign w:val="bottom"/>
          </w:tcPr>
          <w:p w14:paraId="20B5726A" w14:textId="77777777" w:rsidR="003E44E9" w:rsidRDefault="003E44E9" w:rsidP="003E44E9">
            <w:pPr>
              <w:jc w:val="right"/>
              <w:rPr>
                <w:sz w:val="18"/>
                <w:szCs w:val="18"/>
              </w:rPr>
            </w:pPr>
            <w:r>
              <w:rPr>
                <w:sz w:val="18"/>
                <w:szCs w:val="18"/>
              </w:rPr>
              <w:t>-21,6%</w:t>
            </w:r>
          </w:p>
        </w:tc>
        <w:tc>
          <w:tcPr>
            <w:tcW w:w="453" w:type="pct"/>
            <w:tcBorders>
              <w:top w:val="nil"/>
              <w:left w:val="nil"/>
              <w:bottom w:val="nil"/>
              <w:right w:val="nil"/>
            </w:tcBorders>
            <w:shd w:val="clear" w:color="auto" w:fill="auto"/>
            <w:noWrap/>
            <w:vAlign w:val="bottom"/>
          </w:tcPr>
          <w:p w14:paraId="6BF31C87" w14:textId="77777777" w:rsidR="003E44E9" w:rsidRDefault="003E44E9" w:rsidP="003E44E9">
            <w:pPr>
              <w:jc w:val="right"/>
              <w:rPr>
                <w:color w:val="000000"/>
                <w:sz w:val="18"/>
                <w:szCs w:val="18"/>
              </w:rPr>
            </w:pPr>
            <w:r>
              <w:rPr>
                <w:color w:val="000000"/>
                <w:sz w:val="18"/>
                <w:szCs w:val="18"/>
              </w:rPr>
              <w:t>1 829,1</w:t>
            </w:r>
          </w:p>
        </w:tc>
        <w:tc>
          <w:tcPr>
            <w:tcW w:w="544" w:type="pct"/>
            <w:tcBorders>
              <w:top w:val="nil"/>
              <w:left w:val="nil"/>
              <w:bottom w:val="nil"/>
              <w:right w:val="single" w:sz="4" w:space="0" w:color="auto"/>
            </w:tcBorders>
            <w:shd w:val="clear" w:color="auto" w:fill="auto"/>
            <w:noWrap/>
            <w:vAlign w:val="bottom"/>
          </w:tcPr>
          <w:p w14:paraId="689A66F2" w14:textId="77777777" w:rsidR="003E44E9" w:rsidRDefault="003E44E9" w:rsidP="003E44E9">
            <w:pPr>
              <w:jc w:val="right"/>
              <w:rPr>
                <w:sz w:val="18"/>
                <w:szCs w:val="18"/>
              </w:rPr>
            </w:pPr>
            <w:r>
              <w:rPr>
                <w:sz w:val="18"/>
                <w:szCs w:val="18"/>
              </w:rPr>
              <w:t>-7,9%</w:t>
            </w:r>
          </w:p>
        </w:tc>
      </w:tr>
      <w:tr w:rsidR="003E44E9" w:rsidRPr="003D5973" w14:paraId="1317402E" w14:textId="77777777" w:rsidTr="00EC6CB1">
        <w:trPr>
          <w:trHeight w:val="300"/>
        </w:trPr>
        <w:tc>
          <w:tcPr>
            <w:tcW w:w="1013" w:type="pct"/>
            <w:tcBorders>
              <w:top w:val="nil"/>
              <w:left w:val="single" w:sz="4" w:space="0" w:color="auto"/>
              <w:bottom w:val="nil"/>
              <w:right w:val="nil"/>
            </w:tcBorders>
            <w:shd w:val="clear" w:color="auto" w:fill="auto"/>
            <w:hideMark/>
          </w:tcPr>
          <w:p w14:paraId="7F3358A5"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12. Други текущи плащания</w:t>
            </w:r>
          </w:p>
        </w:tc>
        <w:tc>
          <w:tcPr>
            <w:tcW w:w="453" w:type="pct"/>
            <w:tcBorders>
              <w:top w:val="nil"/>
              <w:left w:val="single" w:sz="4" w:space="0" w:color="auto"/>
              <w:bottom w:val="nil"/>
              <w:right w:val="nil"/>
            </w:tcBorders>
            <w:shd w:val="clear" w:color="auto" w:fill="auto"/>
            <w:noWrap/>
            <w:vAlign w:val="bottom"/>
          </w:tcPr>
          <w:p w14:paraId="6FDCA0E8" w14:textId="77777777" w:rsidR="003E44E9" w:rsidRDefault="003E44E9" w:rsidP="003E44E9">
            <w:pPr>
              <w:jc w:val="right"/>
              <w:rPr>
                <w:color w:val="000000"/>
                <w:sz w:val="18"/>
                <w:szCs w:val="18"/>
              </w:rPr>
            </w:pPr>
            <w:r>
              <w:rPr>
                <w:color w:val="000000"/>
                <w:sz w:val="18"/>
                <w:szCs w:val="18"/>
              </w:rPr>
              <w:t>1 467,2</w:t>
            </w:r>
          </w:p>
        </w:tc>
        <w:tc>
          <w:tcPr>
            <w:tcW w:w="544" w:type="pct"/>
            <w:tcBorders>
              <w:top w:val="nil"/>
              <w:left w:val="nil"/>
              <w:bottom w:val="nil"/>
              <w:right w:val="single" w:sz="4" w:space="0" w:color="auto"/>
            </w:tcBorders>
            <w:shd w:val="clear" w:color="auto" w:fill="auto"/>
            <w:noWrap/>
            <w:vAlign w:val="bottom"/>
          </w:tcPr>
          <w:p w14:paraId="7E15E4EE" w14:textId="77777777" w:rsidR="003E44E9" w:rsidRDefault="003E44E9" w:rsidP="003E44E9">
            <w:pPr>
              <w:jc w:val="right"/>
              <w:rPr>
                <w:sz w:val="18"/>
                <w:szCs w:val="18"/>
              </w:rPr>
            </w:pPr>
            <w:r>
              <w:rPr>
                <w:sz w:val="18"/>
                <w:szCs w:val="18"/>
              </w:rPr>
              <w:t>9,9%</w:t>
            </w:r>
          </w:p>
        </w:tc>
        <w:tc>
          <w:tcPr>
            <w:tcW w:w="453" w:type="pct"/>
            <w:tcBorders>
              <w:top w:val="nil"/>
              <w:left w:val="nil"/>
              <w:bottom w:val="nil"/>
              <w:right w:val="nil"/>
            </w:tcBorders>
            <w:shd w:val="clear" w:color="auto" w:fill="auto"/>
            <w:noWrap/>
            <w:vAlign w:val="bottom"/>
          </w:tcPr>
          <w:p w14:paraId="28FC7A05" w14:textId="77777777" w:rsidR="003E44E9" w:rsidRDefault="003E44E9" w:rsidP="003E44E9">
            <w:pPr>
              <w:jc w:val="right"/>
              <w:rPr>
                <w:color w:val="000000"/>
                <w:sz w:val="18"/>
                <w:szCs w:val="18"/>
              </w:rPr>
            </w:pPr>
            <w:r>
              <w:rPr>
                <w:color w:val="000000"/>
                <w:sz w:val="18"/>
                <w:szCs w:val="18"/>
              </w:rPr>
              <w:t>1 940,4</w:t>
            </w:r>
          </w:p>
        </w:tc>
        <w:tc>
          <w:tcPr>
            <w:tcW w:w="544" w:type="pct"/>
            <w:tcBorders>
              <w:top w:val="nil"/>
              <w:left w:val="nil"/>
              <w:bottom w:val="nil"/>
              <w:right w:val="single" w:sz="4" w:space="0" w:color="auto"/>
            </w:tcBorders>
            <w:shd w:val="clear" w:color="auto" w:fill="auto"/>
            <w:noWrap/>
            <w:vAlign w:val="bottom"/>
          </w:tcPr>
          <w:p w14:paraId="78E1D985" w14:textId="77777777" w:rsidR="003E44E9" w:rsidRDefault="003E44E9" w:rsidP="003E44E9">
            <w:pPr>
              <w:jc w:val="right"/>
              <w:rPr>
                <w:sz w:val="18"/>
                <w:szCs w:val="18"/>
              </w:rPr>
            </w:pPr>
            <w:r>
              <w:rPr>
                <w:sz w:val="18"/>
                <w:szCs w:val="18"/>
              </w:rPr>
              <w:t>32,3%</w:t>
            </w:r>
          </w:p>
        </w:tc>
        <w:tc>
          <w:tcPr>
            <w:tcW w:w="453" w:type="pct"/>
            <w:tcBorders>
              <w:top w:val="nil"/>
              <w:left w:val="nil"/>
              <w:bottom w:val="nil"/>
              <w:right w:val="nil"/>
            </w:tcBorders>
            <w:shd w:val="clear" w:color="auto" w:fill="auto"/>
            <w:noWrap/>
            <w:vAlign w:val="bottom"/>
          </w:tcPr>
          <w:p w14:paraId="0B62BD01" w14:textId="77777777" w:rsidR="003E44E9" w:rsidRDefault="003E44E9" w:rsidP="003E44E9">
            <w:pPr>
              <w:jc w:val="right"/>
              <w:rPr>
                <w:color w:val="000000"/>
                <w:sz w:val="18"/>
                <w:szCs w:val="18"/>
              </w:rPr>
            </w:pPr>
            <w:r>
              <w:rPr>
                <w:color w:val="000000"/>
                <w:sz w:val="18"/>
                <w:szCs w:val="18"/>
              </w:rPr>
              <w:t>2 126,8</w:t>
            </w:r>
          </w:p>
        </w:tc>
        <w:tc>
          <w:tcPr>
            <w:tcW w:w="544" w:type="pct"/>
            <w:tcBorders>
              <w:top w:val="nil"/>
              <w:left w:val="nil"/>
              <w:bottom w:val="nil"/>
              <w:right w:val="single" w:sz="4" w:space="0" w:color="auto"/>
            </w:tcBorders>
            <w:shd w:val="clear" w:color="auto" w:fill="auto"/>
            <w:noWrap/>
            <w:vAlign w:val="bottom"/>
          </w:tcPr>
          <w:p w14:paraId="65F9823D" w14:textId="77777777" w:rsidR="003E44E9" w:rsidRDefault="003E44E9" w:rsidP="003E44E9">
            <w:pPr>
              <w:jc w:val="right"/>
              <w:rPr>
                <w:sz w:val="18"/>
                <w:szCs w:val="18"/>
              </w:rPr>
            </w:pPr>
            <w:r>
              <w:rPr>
                <w:sz w:val="18"/>
                <w:szCs w:val="18"/>
              </w:rPr>
              <w:t>9,6%</w:t>
            </w:r>
          </w:p>
        </w:tc>
        <w:tc>
          <w:tcPr>
            <w:tcW w:w="453" w:type="pct"/>
            <w:tcBorders>
              <w:top w:val="nil"/>
              <w:left w:val="nil"/>
              <w:bottom w:val="nil"/>
              <w:right w:val="nil"/>
            </w:tcBorders>
            <w:shd w:val="clear" w:color="auto" w:fill="auto"/>
            <w:noWrap/>
            <w:vAlign w:val="bottom"/>
          </w:tcPr>
          <w:p w14:paraId="300644D0" w14:textId="77777777" w:rsidR="003E44E9" w:rsidRDefault="003E44E9" w:rsidP="003E44E9">
            <w:pPr>
              <w:jc w:val="right"/>
              <w:rPr>
                <w:color w:val="000000"/>
                <w:sz w:val="18"/>
                <w:szCs w:val="18"/>
              </w:rPr>
            </w:pPr>
            <w:r>
              <w:rPr>
                <w:color w:val="000000"/>
                <w:sz w:val="18"/>
                <w:szCs w:val="18"/>
              </w:rPr>
              <w:t>2 481,9</w:t>
            </w:r>
          </w:p>
        </w:tc>
        <w:tc>
          <w:tcPr>
            <w:tcW w:w="544" w:type="pct"/>
            <w:tcBorders>
              <w:top w:val="nil"/>
              <w:left w:val="nil"/>
              <w:bottom w:val="nil"/>
              <w:right w:val="single" w:sz="4" w:space="0" w:color="auto"/>
            </w:tcBorders>
            <w:shd w:val="clear" w:color="auto" w:fill="auto"/>
            <w:noWrap/>
            <w:vAlign w:val="bottom"/>
          </w:tcPr>
          <w:p w14:paraId="7B8AB38E" w14:textId="77777777" w:rsidR="003E44E9" w:rsidRDefault="003E44E9" w:rsidP="003E44E9">
            <w:pPr>
              <w:jc w:val="right"/>
              <w:rPr>
                <w:sz w:val="18"/>
                <w:szCs w:val="18"/>
              </w:rPr>
            </w:pPr>
            <w:r>
              <w:rPr>
                <w:sz w:val="18"/>
                <w:szCs w:val="18"/>
              </w:rPr>
              <w:t>16,7%</w:t>
            </w:r>
          </w:p>
        </w:tc>
      </w:tr>
      <w:tr w:rsidR="003E44E9" w:rsidRPr="003D5973" w14:paraId="38EEE76A" w14:textId="77777777" w:rsidTr="00EC6CB1">
        <w:trPr>
          <w:trHeight w:val="300"/>
        </w:trPr>
        <w:tc>
          <w:tcPr>
            <w:tcW w:w="1013" w:type="pct"/>
            <w:tcBorders>
              <w:top w:val="nil"/>
              <w:left w:val="single" w:sz="4" w:space="0" w:color="auto"/>
              <w:bottom w:val="nil"/>
              <w:right w:val="nil"/>
            </w:tcBorders>
            <w:shd w:val="clear" w:color="auto" w:fill="auto"/>
            <w:hideMark/>
          </w:tcPr>
          <w:p w14:paraId="7E05E645"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 xml:space="preserve">13. Общо текущи разходи </w:t>
            </w:r>
          </w:p>
        </w:tc>
        <w:tc>
          <w:tcPr>
            <w:tcW w:w="453" w:type="pct"/>
            <w:tcBorders>
              <w:top w:val="nil"/>
              <w:left w:val="single" w:sz="4" w:space="0" w:color="auto"/>
              <w:bottom w:val="nil"/>
              <w:right w:val="nil"/>
            </w:tcBorders>
            <w:shd w:val="clear" w:color="auto" w:fill="auto"/>
            <w:noWrap/>
            <w:vAlign w:val="bottom"/>
          </w:tcPr>
          <w:p w14:paraId="435FE2CC" w14:textId="77777777" w:rsidR="003E44E9" w:rsidRDefault="003E44E9" w:rsidP="003E44E9">
            <w:pPr>
              <w:jc w:val="right"/>
              <w:rPr>
                <w:color w:val="000000"/>
                <w:sz w:val="18"/>
                <w:szCs w:val="18"/>
              </w:rPr>
            </w:pPr>
            <w:r>
              <w:rPr>
                <w:color w:val="000000"/>
                <w:sz w:val="18"/>
                <w:szCs w:val="18"/>
              </w:rPr>
              <w:t>40 695,0</w:t>
            </w:r>
          </w:p>
        </w:tc>
        <w:tc>
          <w:tcPr>
            <w:tcW w:w="544" w:type="pct"/>
            <w:tcBorders>
              <w:top w:val="nil"/>
              <w:left w:val="nil"/>
              <w:bottom w:val="nil"/>
              <w:right w:val="single" w:sz="4" w:space="0" w:color="auto"/>
            </w:tcBorders>
            <w:shd w:val="clear" w:color="auto" w:fill="auto"/>
            <w:noWrap/>
            <w:vAlign w:val="bottom"/>
          </w:tcPr>
          <w:p w14:paraId="508C7E28" w14:textId="77777777" w:rsidR="003E44E9" w:rsidRDefault="003E44E9" w:rsidP="003E44E9">
            <w:pPr>
              <w:jc w:val="right"/>
              <w:rPr>
                <w:b/>
                <w:bCs/>
                <w:sz w:val="18"/>
                <w:szCs w:val="18"/>
              </w:rPr>
            </w:pPr>
            <w:r>
              <w:rPr>
                <w:b/>
                <w:bCs/>
                <w:sz w:val="18"/>
                <w:szCs w:val="18"/>
              </w:rPr>
              <w:t>10,6%</w:t>
            </w:r>
          </w:p>
        </w:tc>
        <w:tc>
          <w:tcPr>
            <w:tcW w:w="453" w:type="pct"/>
            <w:tcBorders>
              <w:top w:val="nil"/>
              <w:left w:val="nil"/>
              <w:bottom w:val="nil"/>
              <w:right w:val="nil"/>
            </w:tcBorders>
            <w:shd w:val="clear" w:color="auto" w:fill="auto"/>
            <w:noWrap/>
            <w:vAlign w:val="bottom"/>
          </w:tcPr>
          <w:p w14:paraId="38D09A66" w14:textId="77777777" w:rsidR="003E44E9" w:rsidRDefault="003E44E9" w:rsidP="003E44E9">
            <w:pPr>
              <w:jc w:val="right"/>
              <w:rPr>
                <w:color w:val="000000"/>
                <w:sz w:val="18"/>
                <w:szCs w:val="18"/>
              </w:rPr>
            </w:pPr>
            <w:r>
              <w:rPr>
                <w:color w:val="000000"/>
                <w:sz w:val="18"/>
                <w:szCs w:val="18"/>
              </w:rPr>
              <w:t>45 253,2</w:t>
            </w:r>
          </w:p>
        </w:tc>
        <w:tc>
          <w:tcPr>
            <w:tcW w:w="544" w:type="pct"/>
            <w:tcBorders>
              <w:top w:val="nil"/>
              <w:left w:val="nil"/>
              <w:bottom w:val="nil"/>
              <w:right w:val="single" w:sz="4" w:space="0" w:color="auto"/>
            </w:tcBorders>
            <w:shd w:val="clear" w:color="auto" w:fill="auto"/>
            <w:noWrap/>
            <w:vAlign w:val="bottom"/>
          </w:tcPr>
          <w:p w14:paraId="35C01B0A" w14:textId="77777777" w:rsidR="003E44E9" w:rsidRDefault="003E44E9" w:rsidP="003E44E9">
            <w:pPr>
              <w:jc w:val="right"/>
              <w:rPr>
                <w:b/>
                <w:bCs/>
                <w:sz w:val="18"/>
                <w:szCs w:val="18"/>
              </w:rPr>
            </w:pPr>
            <w:r>
              <w:rPr>
                <w:b/>
                <w:bCs/>
                <w:sz w:val="18"/>
                <w:szCs w:val="18"/>
              </w:rPr>
              <w:t>8,0%</w:t>
            </w:r>
          </w:p>
        </w:tc>
        <w:tc>
          <w:tcPr>
            <w:tcW w:w="453" w:type="pct"/>
            <w:tcBorders>
              <w:top w:val="nil"/>
              <w:left w:val="nil"/>
              <w:bottom w:val="nil"/>
              <w:right w:val="nil"/>
            </w:tcBorders>
            <w:shd w:val="clear" w:color="auto" w:fill="auto"/>
            <w:noWrap/>
            <w:vAlign w:val="bottom"/>
          </w:tcPr>
          <w:p w14:paraId="25DA1C43" w14:textId="77777777" w:rsidR="003E44E9" w:rsidRDefault="003E44E9" w:rsidP="003E44E9">
            <w:pPr>
              <w:jc w:val="right"/>
              <w:rPr>
                <w:color w:val="000000"/>
                <w:sz w:val="18"/>
                <w:szCs w:val="18"/>
              </w:rPr>
            </w:pPr>
            <w:r>
              <w:rPr>
                <w:color w:val="000000"/>
                <w:sz w:val="18"/>
                <w:szCs w:val="18"/>
              </w:rPr>
              <w:t>47 189,3</w:t>
            </w:r>
          </w:p>
        </w:tc>
        <w:tc>
          <w:tcPr>
            <w:tcW w:w="544" w:type="pct"/>
            <w:tcBorders>
              <w:top w:val="nil"/>
              <w:left w:val="nil"/>
              <w:bottom w:val="nil"/>
              <w:right w:val="single" w:sz="4" w:space="0" w:color="auto"/>
            </w:tcBorders>
            <w:shd w:val="clear" w:color="auto" w:fill="auto"/>
            <w:noWrap/>
            <w:vAlign w:val="bottom"/>
          </w:tcPr>
          <w:p w14:paraId="3B7AF0B6" w14:textId="77777777" w:rsidR="003E44E9" w:rsidRDefault="003E44E9" w:rsidP="003E44E9">
            <w:pPr>
              <w:jc w:val="right"/>
              <w:rPr>
                <w:b/>
                <w:bCs/>
                <w:sz w:val="18"/>
                <w:szCs w:val="18"/>
              </w:rPr>
            </w:pPr>
            <w:r>
              <w:rPr>
                <w:b/>
                <w:bCs/>
                <w:sz w:val="18"/>
                <w:szCs w:val="18"/>
              </w:rPr>
              <w:t>-0,4%</w:t>
            </w:r>
          </w:p>
        </w:tc>
        <w:tc>
          <w:tcPr>
            <w:tcW w:w="453" w:type="pct"/>
            <w:tcBorders>
              <w:top w:val="nil"/>
              <w:left w:val="nil"/>
              <w:bottom w:val="nil"/>
              <w:right w:val="nil"/>
            </w:tcBorders>
            <w:shd w:val="clear" w:color="auto" w:fill="auto"/>
            <w:noWrap/>
            <w:vAlign w:val="bottom"/>
          </w:tcPr>
          <w:p w14:paraId="76713CB2" w14:textId="77777777" w:rsidR="003E44E9" w:rsidRDefault="003E44E9" w:rsidP="003E44E9">
            <w:pPr>
              <w:jc w:val="right"/>
              <w:rPr>
                <w:color w:val="000000"/>
                <w:sz w:val="18"/>
                <w:szCs w:val="18"/>
              </w:rPr>
            </w:pPr>
            <w:r>
              <w:rPr>
                <w:color w:val="000000"/>
                <w:sz w:val="18"/>
                <w:szCs w:val="18"/>
              </w:rPr>
              <w:t>48 915,4</w:t>
            </w:r>
          </w:p>
        </w:tc>
        <w:tc>
          <w:tcPr>
            <w:tcW w:w="544" w:type="pct"/>
            <w:tcBorders>
              <w:top w:val="nil"/>
              <w:left w:val="nil"/>
              <w:bottom w:val="nil"/>
              <w:right w:val="single" w:sz="4" w:space="0" w:color="auto"/>
            </w:tcBorders>
            <w:shd w:val="clear" w:color="auto" w:fill="auto"/>
            <w:noWrap/>
            <w:vAlign w:val="bottom"/>
          </w:tcPr>
          <w:p w14:paraId="71327CE9" w14:textId="77777777" w:rsidR="003E44E9" w:rsidRDefault="003E44E9" w:rsidP="003E44E9">
            <w:pPr>
              <w:jc w:val="right"/>
              <w:rPr>
                <w:b/>
                <w:bCs/>
                <w:sz w:val="18"/>
                <w:szCs w:val="18"/>
              </w:rPr>
            </w:pPr>
            <w:r>
              <w:rPr>
                <w:b/>
                <w:bCs/>
                <w:sz w:val="18"/>
                <w:szCs w:val="18"/>
              </w:rPr>
              <w:t>-0,9%</w:t>
            </w:r>
          </w:p>
        </w:tc>
      </w:tr>
      <w:tr w:rsidR="003E44E9" w:rsidRPr="003D5973" w14:paraId="5358B20D" w14:textId="77777777" w:rsidTr="00EC6CB1">
        <w:trPr>
          <w:trHeight w:val="495"/>
        </w:trPr>
        <w:tc>
          <w:tcPr>
            <w:tcW w:w="1013" w:type="pct"/>
            <w:tcBorders>
              <w:top w:val="nil"/>
              <w:left w:val="single" w:sz="4" w:space="0" w:color="auto"/>
              <w:bottom w:val="nil"/>
              <w:right w:val="nil"/>
            </w:tcBorders>
            <w:shd w:val="clear" w:color="auto" w:fill="auto"/>
            <w:vAlign w:val="bottom"/>
            <w:hideMark/>
          </w:tcPr>
          <w:p w14:paraId="40308F38"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4</w:t>
            </w:r>
            <w:r w:rsidRPr="003D5973">
              <w:rPr>
                <w:rFonts w:eastAsia="Times New Roman" w:cs="Times New Roman"/>
                <w:b/>
                <w:bCs/>
                <w:sz w:val="16"/>
                <w:szCs w:val="16"/>
              </w:rPr>
              <w:t>. Капиталови трансфери, получени</w:t>
            </w:r>
          </w:p>
        </w:tc>
        <w:tc>
          <w:tcPr>
            <w:tcW w:w="453" w:type="pct"/>
            <w:tcBorders>
              <w:top w:val="nil"/>
              <w:left w:val="single" w:sz="4" w:space="0" w:color="auto"/>
              <w:bottom w:val="nil"/>
              <w:right w:val="nil"/>
            </w:tcBorders>
            <w:shd w:val="clear" w:color="auto" w:fill="auto"/>
            <w:noWrap/>
            <w:vAlign w:val="bottom"/>
          </w:tcPr>
          <w:p w14:paraId="21F33CA6" w14:textId="77777777" w:rsidR="003E44E9" w:rsidRDefault="003E44E9" w:rsidP="003E44E9">
            <w:pPr>
              <w:jc w:val="right"/>
              <w:rPr>
                <w:color w:val="000000"/>
                <w:sz w:val="18"/>
                <w:szCs w:val="18"/>
              </w:rPr>
            </w:pPr>
            <w:r>
              <w:rPr>
                <w:color w:val="000000"/>
                <w:sz w:val="18"/>
                <w:szCs w:val="18"/>
              </w:rPr>
              <w:t>2 537,2</w:t>
            </w:r>
          </w:p>
        </w:tc>
        <w:tc>
          <w:tcPr>
            <w:tcW w:w="544" w:type="pct"/>
            <w:tcBorders>
              <w:top w:val="nil"/>
              <w:left w:val="nil"/>
              <w:bottom w:val="nil"/>
              <w:right w:val="single" w:sz="4" w:space="0" w:color="auto"/>
            </w:tcBorders>
            <w:shd w:val="clear" w:color="auto" w:fill="auto"/>
            <w:noWrap/>
            <w:vAlign w:val="bottom"/>
          </w:tcPr>
          <w:p w14:paraId="0B6A75F6" w14:textId="77777777" w:rsidR="003E44E9" w:rsidRDefault="003E44E9" w:rsidP="003E44E9">
            <w:pPr>
              <w:jc w:val="right"/>
              <w:rPr>
                <w:b/>
                <w:bCs/>
                <w:sz w:val="18"/>
                <w:szCs w:val="18"/>
              </w:rPr>
            </w:pPr>
            <w:r>
              <w:rPr>
                <w:b/>
                <w:bCs/>
                <w:sz w:val="18"/>
                <w:szCs w:val="18"/>
              </w:rPr>
              <w:t>24,1%</w:t>
            </w:r>
          </w:p>
        </w:tc>
        <w:tc>
          <w:tcPr>
            <w:tcW w:w="453" w:type="pct"/>
            <w:tcBorders>
              <w:top w:val="nil"/>
              <w:left w:val="nil"/>
              <w:bottom w:val="nil"/>
              <w:right w:val="nil"/>
            </w:tcBorders>
            <w:shd w:val="clear" w:color="auto" w:fill="auto"/>
            <w:noWrap/>
            <w:vAlign w:val="bottom"/>
          </w:tcPr>
          <w:p w14:paraId="0E3C270D" w14:textId="77777777" w:rsidR="003E44E9" w:rsidRDefault="003E44E9" w:rsidP="003E44E9">
            <w:pPr>
              <w:jc w:val="right"/>
              <w:rPr>
                <w:color w:val="000000"/>
                <w:sz w:val="18"/>
                <w:szCs w:val="18"/>
              </w:rPr>
            </w:pPr>
            <w:r>
              <w:rPr>
                <w:color w:val="000000"/>
                <w:sz w:val="18"/>
                <w:szCs w:val="18"/>
              </w:rPr>
              <w:t>2 303,7</w:t>
            </w:r>
          </w:p>
        </w:tc>
        <w:tc>
          <w:tcPr>
            <w:tcW w:w="544" w:type="pct"/>
            <w:tcBorders>
              <w:top w:val="nil"/>
              <w:left w:val="nil"/>
              <w:bottom w:val="nil"/>
              <w:right w:val="single" w:sz="4" w:space="0" w:color="auto"/>
            </w:tcBorders>
            <w:shd w:val="clear" w:color="auto" w:fill="auto"/>
            <w:noWrap/>
            <w:vAlign w:val="bottom"/>
          </w:tcPr>
          <w:p w14:paraId="34B2D88B" w14:textId="77777777" w:rsidR="003E44E9" w:rsidRDefault="003E44E9" w:rsidP="003E44E9">
            <w:pPr>
              <w:jc w:val="right"/>
              <w:rPr>
                <w:b/>
                <w:bCs/>
                <w:sz w:val="18"/>
                <w:szCs w:val="18"/>
              </w:rPr>
            </w:pPr>
            <w:r>
              <w:rPr>
                <w:b/>
                <w:bCs/>
                <w:sz w:val="18"/>
                <w:szCs w:val="18"/>
              </w:rPr>
              <w:t>-9,2%</w:t>
            </w:r>
          </w:p>
        </w:tc>
        <w:tc>
          <w:tcPr>
            <w:tcW w:w="453" w:type="pct"/>
            <w:tcBorders>
              <w:top w:val="nil"/>
              <w:left w:val="nil"/>
              <w:bottom w:val="nil"/>
              <w:right w:val="nil"/>
            </w:tcBorders>
            <w:shd w:val="clear" w:color="auto" w:fill="auto"/>
            <w:noWrap/>
            <w:vAlign w:val="bottom"/>
          </w:tcPr>
          <w:p w14:paraId="4C2A1686" w14:textId="77777777" w:rsidR="003E44E9" w:rsidRDefault="003E44E9" w:rsidP="003E44E9">
            <w:pPr>
              <w:jc w:val="right"/>
              <w:rPr>
                <w:color w:val="000000"/>
                <w:sz w:val="18"/>
                <w:szCs w:val="18"/>
              </w:rPr>
            </w:pPr>
            <w:r>
              <w:rPr>
                <w:color w:val="000000"/>
                <w:sz w:val="18"/>
                <w:szCs w:val="18"/>
              </w:rPr>
              <w:t>1 193,7</w:t>
            </w:r>
          </w:p>
        </w:tc>
        <w:tc>
          <w:tcPr>
            <w:tcW w:w="544" w:type="pct"/>
            <w:tcBorders>
              <w:top w:val="nil"/>
              <w:left w:val="nil"/>
              <w:bottom w:val="nil"/>
              <w:right w:val="single" w:sz="4" w:space="0" w:color="auto"/>
            </w:tcBorders>
            <w:shd w:val="clear" w:color="auto" w:fill="auto"/>
            <w:noWrap/>
            <w:vAlign w:val="bottom"/>
          </w:tcPr>
          <w:p w14:paraId="05AEFE35" w14:textId="77777777" w:rsidR="003E44E9" w:rsidRDefault="003E44E9" w:rsidP="003E44E9">
            <w:pPr>
              <w:jc w:val="right"/>
              <w:rPr>
                <w:b/>
                <w:bCs/>
                <w:sz w:val="18"/>
                <w:szCs w:val="18"/>
              </w:rPr>
            </w:pPr>
            <w:r>
              <w:rPr>
                <w:b/>
                <w:bCs/>
                <w:sz w:val="18"/>
                <w:szCs w:val="18"/>
              </w:rPr>
              <w:t>-48,2%</w:t>
            </w:r>
          </w:p>
        </w:tc>
        <w:tc>
          <w:tcPr>
            <w:tcW w:w="453" w:type="pct"/>
            <w:tcBorders>
              <w:top w:val="nil"/>
              <w:left w:val="nil"/>
              <w:bottom w:val="nil"/>
              <w:right w:val="nil"/>
            </w:tcBorders>
            <w:shd w:val="clear" w:color="auto" w:fill="auto"/>
            <w:noWrap/>
            <w:vAlign w:val="bottom"/>
          </w:tcPr>
          <w:p w14:paraId="255ADD78" w14:textId="77777777" w:rsidR="003E44E9" w:rsidRDefault="003E44E9" w:rsidP="003E44E9">
            <w:pPr>
              <w:jc w:val="right"/>
              <w:rPr>
                <w:color w:val="000000"/>
                <w:sz w:val="18"/>
                <w:szCs w:val="18"/>
              </w:rPr>
            </w:pPr>
            <w:r>
              <w:rPr>
                <w:color w:val="000000"/>
                <w:sz w:val="18"/>
                <w:szCs w:val="18"/>
              </w:rPr>
              <w:t>1 066,4</w:t>
            </w:r>
          </w:p>
        </w:tc>
        <w:tc>
          <w:tcPr>
            <w:tcW w:w="544" w:type="pct"/>
            <w:tcBorders>
              <w:top w:val="nil"/>
              <w:left w:val="nil"/>
              <w:bottom w:val="nil"/>
              <w:right w:val="single" w:sz="4" w:space="0" w:color="auto"/>
            </w:tcBorders>
            <w:shd w:val="clear" w:color="auto" w:fill="auto"/>
            <w:noWrap/>
            <w:vAlign w:val="bottom"/>
          </w:tcPr>
          <w:p w14:paraId="29EF107F" w14:textId="77777777" w:rsidR="003E44E9" w:rsidRDefault="003E44E9" w:rsidP="003E44E9">
            <w:pPr>
              <w:jc w:val="right"/>
              <w:rPr>
                <w:b/>
                <w:bCs/>
                <w:sz w:val="18"/>
                <w:szCs w:val="18"/>
              </w:rPr>
            </w:pPr>
            <w:r>
              <w:rPr>
                <w:b/>
                <w:bCs/>
                <w:sz w:val="18"/>
                <w:szCs w:val="18"/>
              </w:rPr>
              <w:t>-10,7%</w:t>
            </w:r>
          </w:p>
        </w:tc>
      </w:tr>
      <w:tr w:rsidR="003E44E9" w:rsidRPr="003D5973" w14:paraId="4697F175" w14:textId="77777777" w:rsidTr="00EC6CB1">
        <w:trPr>
          <w:trHeight w:val="495"/>
        </w:trPr>
        <w:tc>
          <w:tcPr>
            <w:tcW w:w="1013" w:type="pct"/>
            <w:tcBorders>
              <w:top w:val="nil"/>
              <w:left w:val="single" w:sz="4" w:space="0" w:color="auto"/>
              <w:bottom w:val="nil"/>
              <w:right w:val="nil"/>
            </w:tcBorders>
            <w:shd w:val="clear" w:color="auto" w:fill="auto"/>
            <w:vAlign w:val="bottom"/>
            <w:hideMark/>
          </w:tcPr>
          <w:p w14:paraId="0CB3755E"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 xml:space="preserve">5. </w:t>
            </w:r>
            <w:proofErr w:type="spellStart"/>
            <w:r>
              <w:rPr>
                <w:rFonts w:eastAsia="Times New Roman" w:cs="Times New Roman"/>
                <w:b/>
                <w:bCs/>
                <w:sz w:val="16"/>
                <w:szCs w:val="16"/>
              </w:rPr>
              <w:t>Бруто</w:t>
            </w:r>
            <w:r w:rsidRPr="003D5973">
              <w:rPr>
                <w:rFonts w:eastAsia="Times New Roman" w:cs="Times New Roman"/>
                <w:b/>
                <w:bCs/>
                <w:sz w:val="16"/>
                <w:szCs w:val="16"/>
              </w:rPr>
              <w:t>образуване</w:t>
            </w:r>
            <w:proofErr w:type="spellEnd"/>
            <w:r w:rsidRPr="003D5973">
              <w:rPr>
                <w:rFonts w:eastAsia="Times New Roman" w:cs="Times New Roman"/>
                <w:b/>
                <w:bCs/>
                <w:sz w:val="16"/>
                <w:szCs w:val="16"/>
              </w:rPr>
              <w:t xml:space="preserve"> на основен капитал</w:t>
            </w:r>
          </w:p>
        </w:tc>
        <w:tc>
          <w:tcPr>
            <w:tcW w:w="453" w:type="pct"/>
            <w:tcBorders>
              <w:top w:val="nil"/>
              <w:left w:val="single" w:sz="4" w:space="0" w:color="auto"/>
              <w:bottom w:val="nil"/>
              <w:right w:val="nil"/>
            </w:tcBorders>
            <w:shd w:val="clear" w:color="auto" w:fill="auto"/>
            <w:noWrap/>
            <w:vAlign w:val="bottom"/>
          </w:tcPr>
          <w:p w14:paraId="5BAA460D" w14:textId="77777777" w:rsidR="003E44E9" w:rsidRDefault="003E44E9" w:rsidP="003E44E9">
            <w:pPr>
              <w:jc w:val="right"/>
              <w:rPr>
                <w:color w:val="000000"/>
                <w:sz w:val="18"/>
                <w:szCs w:val="18"/>
              </w:rPr>
            </w:pPr>
            <w:r>
              <w:rPr>
                <w:color w:val="000000"/>
                <w:sz w:val="18"/>
                <w:szCs w:val="18"/>
              </w:rPr>
              <w:t>5 210,4</w:t>
            </w:r>
          </w:p>
        </w:tc>
        <w:tc>
          <w:tcPr>
            <w:tcW w:w="544" w:type="pct"/>
            <w:tcBorders>
              <w:top w:val="nil"/>
              <w:left w:val="nil"/>
              <w:bottom w:val="nil"/>
              <w:right w:val="single" w:sz="4" w:space="0" w:color="auto"/>
            </w:tcBorders>
            <w:shd w:val="clear" w:color="auto" w:fill="auto"/>
            <w:noWrap/>
            <w:vAlign w:val="bottom"/>
          </w:tcPr>
          <w:p w14:paraId="2E4E55B0" w14:textId="77777777" w:rsidR="003E44E9" w:rsidRDefault="003E44E9" w:rsidP="003E44E9">
            <w:pPr>
              <w:jc w:val="right"/>
              <w:rPr>
                <w:b/>
                <w:bCs/>
                <w:sz w:val="18"/>
                <w:szCs w:val="18"/>
              </w:rPr>
            </w:pPr>
            <w:r>
              <w:rPr>
                <w:b/>
                <w:bCs/>
                <w:sz w:val="18"/>
                <w:szCs w:val="18"/>
              </w:rPr>
              <w:t>57,4%</w:t>
            </w:r>
          </w:p>
        </w:tc>
        <w:tc>
          <w:tcPr>
            <w:tcW w:w="453" w:type="pct"/>
            <w:tcBorders>
              <w:top w:val="nil"/>
              <w:left w:val="nil"/>
              <w:bottom w:val="nil"/>
              <w:right w:val="nil"/>
            </w:tcBorders>
            <w:shd w:val="clear" w:color="auto" w:fill="auto"/>
            <w:noWrap/>
            <w:vAlign w:val="bottom"/>
          </w:tcPr>
          <w:p w14:paraId="0E3A092C" w14:textId="77777777" w:rsidR="003E44E9" w:rsidRDefault="003E44E9" w:rsidP="003E44E9">
            <w:pPr>
              <w:jc w:val="right"/>
              <w:rPr>
                <w:color w:val="000000"/>
                <w:sz w:val="18"/>
                <w:szCs w:val="18"/>
              </w:rPr>
            </w:pPr>
            <w:r>
              <w:rPr>
                <w:color w:val="000000"/>
                <w:sz w:val="18"/>
                <w:szCs w:val="18"/>
              </w:rPr>
              <w:t>5 200,8</w:t>
            </w:r>
          </w:p>
        </w:tc>
        <w:tc>
          <w:tcPr>
            <w:tcW w:w="544" w:type="pct"/>
            <w:tcBorders>
              <w:top w:val="nil"/>
              <w:left w:val="nil"/>
              <w:bottom w:val="nil"/>
              <w:right w:val="single" w:sz="4" w:space="0" w:color="auto"/>
            </w:tcBorders>
            <w:shd w:val="clear" w:color="auto" w:fill="auto"/>
            <w:noWrap/>
            <w:vAlign w:val="bottom"/>
          </w:tcPr>
          <w:p w14:paraId="637E945B" w14:textId="77777777" w:rsidR="003E44E9" w:rsidRDefault="003E44E9" w:rsidP="003E44E9">
            <w:pPr>
              <w:jc w:val="right"/>
              <w:rPr>
                <w:b/>
                <w:bCs/>
                <w:sz w:val="18"/>
                <w:szCs w:val="18"/>
              </w:rPr>
            </w:pPr>
            <w:r>
              <w:rPr>
                <w:b/>
                <w:bCs/>
                <w:sz w:val="18"/>
                <w:szCs w:val="18"/>
              </w:rPr>
              <w:t>-0,2%</w:t>
            </w:r>
          </w:p>
        </w:tc>
        <w:tc>
          <w:tcPr>
            <w:tcW w:w="453" w:type="pct"/>
            <w:tcBorders>
              <w:top w:val="nil"/>
              <w:left w:val="nil"/>
              <w:bottom w:val="nil"/>
              <w:right w:val="nil"/>
            </w:tcBorders>
            <w:shd w:val="clear" w:color="auto" w:fill="auto"/>
            <w:noWrap/>
            <w:vAlign w:val="bottom"/>
          </w:tcPr>
          <w:p w14:paraId="0A0E49D1" w14:textId="77777777" w:rsidR="003E44E9" w:rsidRDefault="003E44E9" w:rsidP="003E44E9">
            <w:pPr>
              <w:jc w:val="right"/>
              <w:rPr>
                <w:color w:val="000000"/>
                <w:sz w:val="18"/>
                <w:szCs w:val="18"/>
              </w:rPr>
            </w:pPr>
            <w:r>
              <w:rPr>
                <w:color w:val="000000"/>
                <w:sz w:val="18"/>
                <w:szCs w:val="18"/>
              </w:rPr>
              <w:t>6 032,0</w:t>
            </w:r>
          </w:p>
        </w:tc>
        <w:tc>
          <w:tcPr>
            <w:tcW w:w="544" w:type="pct"/>
            <w:tcBorders>
              <w:top w:val="nil"/>
              <w:left w:val="nil"/>
              <w:bottom w:val="nil"/>
              <w:right w:val="single" w:sz="4" w:space="0" w:color="auto"/>
            </w:tcBorders>
            <w:shd w:val="clear" w:color="auto" w:fill="auto"/>
            <w:noWrap/>
            <w:vAlign w:val="bottom"/>
          </w:tcPr>
          <w:p w14:paraId="613299D6" w14:textId="77777777" w:rsidR="003E44E9" w:rsidRDefault="003E44E9" w:rsidP="003E44E9">
            <w:pPr>
              <w:jc w:val="right"/>
              <w:rPr>
                <w:b/>
                <w:bCs/>
                <w:sz w:val="18"/>
                <w:szCs w:val="18"/>
              </w:rPr>
            </w:pPr>
            <w:r>
              <w:rPr>
                <w:b/>
                <w:bCs/>
                <w:sz w:val="18"/>
                <w:szCs w:val="18"/>
              </w:rPr>
              <w:t>16,0%</w:t>
            </w:r>
          </w:p>
        </w:tc>
        <w:tc>
          <w:tcPr>
            <w:tcW w:w="453" w:type="pct"/>
            <w:tcBorders>
              <w:top w:val="nil"/>
              <w:left w:val="nil"/>
              <w:bottom w:val="nil"/>
              <w:right w:val="nil"/>
            </w:tcBorders>
            <w:shd w:val="clear" w:color="auto" w:fill="auto"/>
            <w:noWrap/>
            <w:vAlign w:val="bottom"/>
          </w:tcPr>
          <w:p w14:paraId="6D448872" w14:textId="77777777" w:rsidR="003E44E9" w:rsidRDefault="003E44E9" w:rsidP="003E44E9">
            <w:pPr>
              <w:jc w:val="right"/>
              <w:rPr>
                <w:color w:val="000000"/>
                <w:sz w:val="18"/>
                <w:szCs w:val="18"/>
              </w:rPr>
            </w:pPr>
            <w:r>
              <w:rPr>
                <w:color w:val="000000"/>
                <w:sz w:val="18"/>
                <w:szCs w:val="18"/>
              </w:rPr>
              <w:t>5 481,4</w:t>
            </w:r>
          </w:p>
        </w:tc>
        <w:tc>
          <w:tcPr>
            <w:tcW w:w="544" w:type="pct"/>
            <w:tcBorders>
              <w:top w:val="nil"/>
              <w:left w:val="nil"/>
              <w:bottom w:val="nil"/>
              <w:right w:val="single" w:sz="4" w:space="0" w:color="auto"/>
            </w:tcBorders>
            <w:shd w:val="clear" w:color="auto" w:fill="auto"/>
            <w:noWrap/>
            <w:vAlign w:val="bottom"/>
          </w:tcPr>
          <w:p w14:paraId="79337838" w14:textId="77777777" w:rsidR="003E44E9" w:rsidRDefault="003E44E9" w:rsidP="003E44E9">
            <w:pPr>
              <w:jc w:val="right"/>
              <w:rPr>
                <w:b/>
                <w:bCs/>
                <w:sz w:val="18"/>
                <w:szCs w:val="18"/>
              </w:rPr>
            </w:pPr>
            <w:r>
              <w:rPr>
                <w:b/>
                <w:bCs/>
                <w:sz w:val="18"/>
                <w:szCs w:val="18"/>
              </w:rPr>
              <w:t>-9,1%</w:t>
            </w:r>
          </w:p>
        </w:tc>
      </w:tr>
      <w:tr w:rsidR="003E44E9" w:rsidRPr="003D5973" w14:paraId="054585B8" w14:textId="77777777" w:rsidTr="00EC6CB1">
        <w:trPr>
          <w:trHeight w:val="300"/>
        </w:trPr>
        <w:tc>
          <w:tcPr>
            <w:tcW w:w="1013" w:type="pct"/>
            <w:tcBorders>
              <w:top w:val="nil"/>
              <w:left w:val="single" w:sz="4" w:space="0" w:color="auto"/>
              <w:bottom w:val="nil"/>
              <w:right w:val="nil"/>
            </w:tcBorders>
            <w:shd w:val="clear" w:color="auto" w:fill="auto"/>
            <w:vAlign w:val="bottom"/>
            <w:hideMark/>
          </w:tcPr>
          <w:p w14:paraId="4E16EBBF"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1</w:t>
            </w:r>
            <w:r>
              <w:rPr>
                <w:rFonts w:eastAsia="Times New Roman" w:cs="Times New Roman"/>
                <w:sz w:val="16"/>
                <w:szCs w:val="16"/>
              </w:rPr>
              <w:t>6</w:t>
            </w:r>
            <w:r w:rsidRPr="003D5973">
              <w:rPr>
                <w:rFonts w:eastAsia="Times New Roman" w:cs="Times New Roman"/>
                <w:sz w:val="16"/>
                <w:szCs w:val="16"/>
              </w:rPr>
              <w:t>. Други капиталови разходи</w:t>
            </w:r>
          </w:p>
        </w:tc>
        <w:tc>
          <w:tcPr>
            <w:tcW w:w="453" w:type="pct"/>
            <w:tcBorders>
              <w:top w:val="nil"/>
              <w:left w:val="single" w:sz="4" w:space="0" w:color="auto"/>
              <w:bottom w:val="nil"/>
              <w:right w:val="nil"/>
            </w:tcBorders>
            <w:shd w:val="clear" w:color="auto" w:fill="auto"/>
            <w:noWrap/>
            <w:vAlign w:val="bottom"/>
          </w:tcPr>
          <w:p w14:paraId="605EDAD9" w14:textId="77777777" w:rsidR="003E44E9" w:rsidRDefault="003E44E9" w:rsidP="003E44E9">
            <w:pPr>
              <w:jc w:val="right"/>
              <w:rPr>
                <w:color w:val="000000"/>
                <w:sz w:val="18"/>
                <w:szCs w:val="18"/>
              </w:rPr>
            </w:pPr>
            <w:r>
              <w:rPr>
                <w:color w:val="000000"/>
                <w:sz w:val="18"/>
                <w:szCs w:val="18"/>
              </w:rPr>
              <w:t>495,3</w:t>
            </w:r>
          </w:p>
        </w:tc>
        <w:tc>
          <w:tcPr>
            <w:tcW w:w="544" w:type="pct"/>
            <w:tcBorders>
              <w:top w:val="nil"/>
              <w:left w:val="nil"/>
              <w:bottom w:val="nil"/>
              <w:right w:val="single" w:sz="4" w:space="0" w:color="auto"/>
            </w:tcBorders>
            <w:shd w:val="clear" w:color="auto" w:fill="auto"/>
            <w:noWrap/>
            <w:vAlign w:val="bottom"/>
          </w:tcPr>
          <w:p w14:paraId="31FE9638" w14:textId="77777777" w:rsidR="003E44E9" w:rsidRDefault="003E44E9" w:rsidP="003E44E9">
            <w:pPr>
              <w:jc w:val="right"/>
              <w:rPr>
                <w:b/>
                <w:bCs/>
                <w:sz w:val="18"/>
                <w:szCs w:val="18"/>
              </w:rPr>
            </w:pPr>
            <w:r>
              <w:rPr>
                <w:b/>
                <w:bCs/>
                <w:sz w:val="18"/>
                <w:szCs w:val="18"/>
              </w:rPr>
              <w:t>-46,9%</w:t>
            </w:r>
          </w:p>
        </w:tc>
        <w:tc>
          <w:tcPr>
            <w:tcW w:w="453" w:type="pct"/>
            <w:tcBorders>
              <w:top w:val="nil"/>
              <w:left w:val="nil"/>
              <w:bottom w:val="nil"/>
              <w:right w:val="nil"/>
            </w:tcBorders>
            <w:shd w:val="clear" w:color="auto" w:fill="auto"/>
            <w:noWrap/>
            <w:vAlign w:val="bottom"/>
          </w:tcPr>
          <w:p w14:paraId="0ED59E97" w14:textId="77777777" w:rsidR="003E44E9" w:rsidRDefault="003E44E9" w:rsidP="003E44E9">
            <w:pPr>
              <w:jc w:val="right"/>
              <w:rPr>
                <w:color w:val="000000"/>
                <w:sz w:val="18"/>
                <w:szCs w:val="18"/>
              </w:rPr>
            </w:pPr>
            <w:r>
              <w:rPr>
                <w:color w:val="000000"/>
                <w:sz w:val="18"/>
                <w:szCs w:val="18"/>
              </w:rPr>
              <w:t>653,5</w:t>
            </w:r>
          </w:p>
        </w:tc>
        <w:tc>
          <w:tcPr>
            <w:tcW w:w="544" w:type="pct"/>
            <w:tcBorders>
              <w:top w:val="nil"/>
              <w:left w:val="nil"/>
              <w:bottom w:val="nil"/>
              <w:right w:val="single" w:sz="4" w:space="0" w:color="auto"/>
            </w:tcBorders>
            <w:shd w:val="clear" w:color="auto" w:fill="auto"/>
            <w:noWrap/>
            <w:vAlign w:val="bottom"/>
          </w:tcPr>
          <w:p w14:paraId="3431BBD5" w14:textId="77777777" w:rsidR="003E44E9" w:rsidRDefault="003E44E9" w:rsidP="003E44E9">
            <w:pPr>
              <w:jc w:val="right"/>
              <w:rPr>
                <w:b/>
                <w:bCs/>
                <w:sz w:val="18"/>
                <w:szCs w:val="18"/>
              </w:rPr>
            </w:pPr>
            <w:r>
              <w:rPr>
                <w:b/>
                <w:bCs/>
                <w:sz w:val="18"/>
                <w:szCs w:val="18"/>
              </w:rPr>
              <w:t>31,9%</w:t>
            </w:r>
          </w:p>
        </w:tc>
        <w:tc>
          <w:tcPr>
            <w:tcW w:w="453" w:type="pct"/>
            <w:tcBorders>
              <w:top w:val="nil"/>
              <w:left w:val="nil"/>
              <w:bottom w:val="nil"/>
              <w:right w:val="nil"/>
            </w:tcBorders>
            <w:shd w:val="clear" w:color="auto" w:fill="auto"/>
            <w:noWrap/>
            <w:vAlign w:val="bottom"/>
          </w:tcPr>
          <w:p w14:paraId="72FF9DF6" w14:textId="77777777" w:rsidR="003E44E9" w:rsidRDefault="003E44E9" w:rsidP="003E44E9">
            <w:pPr>
              <w:jc w:val="right"/>
              <w:rPr>
                <w:color w:val="000000"/>
                <w:sz w:val="18"/>
                <w:szCs w:val="18"/>
              </w:rPr>
            </w:pPr>
            <w:r>
              <w:rPr>
                <w:color w:val="000000"/>
                <w:sz w:val="18"/>
                <w:szCs w:val="18"/>
              </w:rPr>
              <w:t>653,3</w:t>
            </w:r>
          </w:p>
        </w:tc>
        <w:tc>
          <w:tcPr>
            <w:tcW w:w="544" w:type="pct"/>
            <w:tcBorders>
              <w:top w:val="nil"/>
              <w:left w:val="nil"/>
              <w:bottom w:val="nil"/>
              <w:right w:val="single" w:sz="4" w:space="0" w:color="auto"/>
            </w:tcBorders>
            <w:shd w:val="clear" w:color="auto" w:fill="auto"/>
            <w:noWrap/>
            <w:vAlign w:val="bottom"/>
          </w:tcPr>
          <w:p w14:paraId="535BE06D" w14:textId="77777777" w:rsidR="003E44E9" w:rsidRDefault="003E44E9" w:rsidP="003E44E9">
            <w:pPr>
              <w:jc w:val="right"/>
              <w:rPr>
                <w:b/>
                <w:bCs/>
                <w:sz w:val="18"/>
                <w:szCs w:val="18"/>
              </w:rPr>
            </w:pPr>
            <w:r>
              <w:rPr>
                <w:b/>
                <w:bCs/>
                <w:sz w:val="18"/>
                <w:szCs w:val="18"/>
              </w:rPr>
              <w:t>0,0%</w:t>
            </w:r>
          </w:p>
        </w:tc>
        <w:tc>
          <w:tcPr>
            <w:tcW w:w="453" w:type="pct"/>
            <w:tcBorders>
              <w:top w:val="nil"/>
              <w:left w:val="nil"/>
              <w:bottom w:val="nil"/>
              <w:right w:val="nil"/>
            </w:tcBorders>
            <w:shd w:val="clear" w:color="auto" w:fill="auto"/>
            <w:noWrap/>
            <w:vAlign w:val="bottom"/>
          </w:tcPr>
          <w:p w14:paraId="06BD8B65" w14:textId="77777777" w:rsidR="003E44E9" w:rsidRDefault="003E44E9" w:rsidP="003E44E9">
            <w:pPr>
              <w:jc w:val="right"/>
              <w:rPr>
                <w:color w:val="000000"/>
                <w:sz w:val="18"/>
                <w:szCs w:val="18"/>
              </w:rPr>
            </w:pPr>
            <w:r>
              <w:rPr>
                <w:color w:val="000000"/>
                <w:sz w:val="18"/>
                <w:szCs w:val="18"/>
              </w:rPr>
              <w:t>824,5</w:t>
            </w:r>
          </w:p>
        </w:tc>
        <w:tc>
          <w:tcPr>
            <w:tcW w:w="544" w:type="pct"/>
            <w:tcBorders>
              <w:top w:val="nil"/>
              <w:left w:val="nil"/>
              <w:bottom w:val="nil"/>
              <w:right w:val="single" w:sz="4" w:space="0" w:color="auto"/>
            </w:tcBorders>
            <w:shd w:val="clear" w:color="auto" w:fill="auto"/>
            <w:noWrap/>
            <w:vAlign w:val="bottom"/>
          </w:tcPr>
          <w:p w14:paraId="30995458" w14:textId="77777777" w:rsidR="003E44E9" w:rsidRDefault="003E44E9" w:rsidP="003E44E9">
            <w:pPr>
              <w:jc w:val="right"/>
              <w:rPr>
                <w:b/>
                <w:bCs/>
                <w:sz w:val="18"/>
                <w:szCs w:val="18"/>
              </w:rPr>
            </w:pPr>
            <w:r>
              <w:rPr>
                <w:b/>
                <w:bCs/>
                <w:sz w:val="18"/>
                <w:szCs w:val="18"/>
              </w:rPr>
              <w:t>26,2%</w:t>
            </w:r>
          </w:p>
        </w:tc>
      </w:tr>
      <w:tr w:rsidR="003E44E9" w:rsidRPr="003D5973" w14:paraId="766AA7FB" w14:textId="77777777" w:rsidTr="00EC6CB1">
        <w:trPr>
          <w:trHeight w:val="270"/>
        </w:trPr>
        <w:tc>
          <w:tcPr>
            <w:tcW w:w="1013" w:type="pct"/>
            <w:tcBorders>
              <w:top w:val="nil"/>
              <w:left w:val="single" w:sz="4" w:space="0" w:color="auto"/>
              <w:bottom w:val="single" w:sz="4" w:space="0" w:color="auto"/>
              <w:right w:val="nil"/>
            </w:tcBorders>
            <w:shd w:val="clear" w:color="auto" w:fill="auto"/>
            <w:vAlign w:val="bottom"/>
            <w:hideMark/>
          </w:tcPr>
          <w:p w14:paraId="57279DD6" w14:textId="77777777" w:rsidR="003E44E9" w:rsidRPr="003D5973" w:rsidRDefault="003E44E9" w:rsidP="003E44E9">
            <w:pPr>
              <w:spacing w:after="0"/>
              <w:jc w:val="left"/>
              <w:rPr>
                <w:rFonts w:eastAsia="Times New Roman" w:cs="Times New Roman"/>
                <w:sz w:val="16"/>
                <w:szCs w:val="16"/>
              </w:rPr>
            </w:pPr>
            <w:r w:rsidRPr="003D5973">
              <w:rPr>
                <w:rFonts w:eastAsia="Times New Roman" w:cs="Times New Roman"/>
                <w:sz w:val="16"/>
                <w:szCs w:val="16"/>
              </w:rPr>
              <w:t> </w:t>
            </w:r>
          </w:p>
        </w:tc>
        <w:tc>
          <w:tcPr>
            <w:tcW w:w="453" w:type="pct"/>
            <w:tcBorders>
              <w:top w:val="nil"/>
              <w:left w:val="single" w:sz="4" w:space="0" w:color="auto"/>
              <w:bottom w:val="nil"/>
              <w:right w:val="nil"/>
            </w:tcBorders>
            <w:shd w:val="clear" w:color="auto" w:fill="auto"/>
            <w:noWrap/>
            <w:vAlign w:val="center"/>
          </w:tcPr>
          <w:p w14:paraId="25DF0B36" w14:textId="77777777" w:rsidR="003E44E9" w:rsidRPr="00AF21CF" w:rsidRDefault="003E44E9" w:rsidP="003E44E9">
            <w:pPr>
              <w:jc w:val="right"/>
              <w:rPr>
                <w:rFonts w:asciiTheme="minorHAnsi" w:eastAsia="Times New Roman" w:hAnsiTheme="minorHAnsi" w:cstheme="minorHAnsi"/>
                <w:sz w:val="18"/>
                <w:szCs w:val="18"/>
              </w:rPr>
            </w:pPr>
          </w:p>
        </w:tc>
        <w:tc>
          <w:tcPr>
            <w:tcW w:w="544" w:type="pct"/>
            <w:tcBorders>
              <w:top w:val="nil"/>
              <w:left w:val="nil"/>
              <w:bottom w:val="nil"/>
              <w:right w:val="single" w:sz="4" w:space="0" w:color="auto"/>
            </w:tcBorders>
            <w:shd w:val="clear" w:color="auto" w:fill="auto"/>
            <w:noWrap/>
            <w:vAlign w:val="center"/>
          </w:tcPr>
          <w:p w14:paraId="78BDE2BE"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53" w:type="pct"/>
            <w:tcBorders>
              <w:top w:val="nil"/>
              <w:left w:val="nil"/>
              <w:bottom w:val="nil"/>
              <w:right w:val="nil"/>
            </w:tcBorders>
            <w:shd w:val="clear" w:color="auto" w:fill="auto"/>
            <w:noWrap/>
            <w:vAlign w:val="center"/>
          </w:tcPr>
          <w:p w14:paraId="27B081D8" w14:textId="77777777" w:rsidR="003E44E9" w:rsidRPr="00AF21CF" w:rsidRDefault="003E44E9" w:rsidP="003E44E9">
            <w:pPr>
              <w:jc w:val="right"/>
              <w:rPr>
                <w:rFonts w:asciiTheme="minorHAnsi" w:eastAsia="Times New Roman" w:hAnsiTheme="minorHAnsi" w:cstheme="minorHAnsi"/>
                <w:b/>
                <w:i/>
                <w:sz w:val="18"/>
                <w:szCs w:val="18"/>
              </w:rPr>
            </w:pPr>
          </w:p>
        </w:tc>
        <w:tc>
          <w:tcPr>
            <w:tcW w:w="544" w:type="pct"/>
            <w:tcBorders>
              <w:top w:val="nil"/>
              <w:left w:val="nil"/>
              <w:bottom w:val="nil"/>
              <w:right w:val="single" w:sz="4" w:space="0" w:color="auto"/>
            </w:tcBorders>
            <w:shd w:val="clear" w:color="auto" w:fill="auto"/>
            <w:noWrap/>
            <w:vAlign w:val="center"/>
          </w:tcPr>
          <w:p w14:paraId="397207D2"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53" w:type="pct"/>
            <w:tcBorders>
              <w:top w:val="nil"/>
              <w:left w:val="nil"/>
              <w:bottom w:val="nil"/>
              <w:right w:val="nil"/>
            </w:tcBorders>
            <w:shd w:val="clear" w:color="auto" w:fill="auto"/>
            <w:noWrap/>
            <w:vAlign w:val="center"/>
          </w:tcPr>
          <w:p w14:paraId="66A2E0A6" w14:textId="77777777" w:rsidR="003E44E9" w:rsidRPr="00AF21CF" w:rsidRDefault="003E44E9" w:rsidP="003E44E9">
            <w:pPr>
              <w:jc w:val="right"/>
              <w:rPr>
                <w:rFonts w:asciiTheme="minorHAnsi" w:eastAsia="Times New Roman" w:hAnsiTheme="minorHAnsi" w:cstheme="minorHAnsi"/>
                <w:b/>
                <w:i/>
                <w:sz w:val="18"/>
                <w:szCs w:val="18"/>
              </w:rPr>
            </w:pPr>
          </w:p>
        </w:tc>
        <w:tc>
          <w:tcPr>
            <w:tcW w:w="544" w:type="pct"/>
            <w:tcBorders>
              <w:top w:val="nil"/>
              <w:left w:val="nil"/>
              <w:bottom w:val="nil"/>
              <w:right w:val="single" w:sz="4" w:space="0" w:color="auto"/>
            </w:tcBorders>
            <w:shd w:val="clear" w:color="auto" w:fill="auto"/>
            <w:noWrap/>
            <w:vAlign w:val="center"/>
          </w:tcPr>
          <w:p w14:paraId="11912696"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c>
          <w:tcPr>
            <w:tcW w:w="453" w:type="pct"/>
            <w:tcBorders>
              <w:top w:val="nil"/>
              <w:left w:val="nil"/>
              <w:bottom w:val="nil"/>
              <w:right w:val="nil"/>
            </w:tcBorders>
            <w:shd w:val="clear" w:color="auto" w:fill="auto"/>
            <w:noWrap/>
            <w:vAlign w:val="center"/>
          </w:tcPr>
          <w:p w14:paraId="0881F9A6" w14:textId="77777777" w:rsidR="003E44E9" w:rsidRPr="00AF21CF" w:rsidRDefault="003E44E9" w:rsidP="003E44E9">
            <w:pPr>
              <w:jc w:val="right"/>
              <w:rPr>
                <w:rFonts w:asciiTheme="minorHAnsi" w:eastAsia="Times New Roman" w:hAnsiTheme="minorHAnsi" w:cstheme="minorHAnsi"/>
                <w:b/>
                <w:i/>
                <w:sz w:val="18"/>
                <w:szCs w:val="18"/>
              </w:rPr>
            </w:pPr>
          </w:p>
        </w:tc>
        <w:tc>
          <w:tcPr>
            <w:tcW w:w="544" w:type="pct"/>
            <w:tcBorders>
              <w:top w:val="nil"/>
              <w:left w:val="nil"/>
              <w:bottom w:val="nil"/>
              <w:right w:val="single" w:sz="4" w:space="0" w:color="auto"/>
            </w:tcBorders>
            <w:shd w:val="clear" w:color="auto" w:fill="auto"/>
            <w:noWrap/>
            <w:vAlign w:val="center"/>
          </w:tcPr>
          <w:p w14:paraId="7D530EC5" w14:textId="77777777" w:rsidR="003E44E9" w:rsidRPr="00AF21CF" w:rsidRDefault="003E44E9" w:rsidP="003E44E9">
            <w:pPr>
              <w:jc w:val="right"/>
              <w:rPr>
                <w:rFonts w:asciiTheme="minorHAnsi" w:eastAsia="Times New Roman" w:hAnsiTheme="minorHAnsi" w:cstheme="minorHAnsi"/>
                <w:b/>
                <w:i/>
                <w:sz w:val="18"/>
                <w:szCs w:val="18"/>
              </w:rPr>
            </w:pPr>
            <w:r w:rsidRPr="00AF21CF">
              <w:rPr>
                <w:rFonts w:asciiTheme="minorHAnsi" w:eastAsia="Times New Roman" w:hAnsiTheme="minorHAnsi" w:cstheme="minorHAnsi"/>
                <w:b/>
                <w:i/>
                <w:sz w:val="18"/>
                <w:szCs w:val="18"/>
              </w:rPr>
              <w:t>% от БВП</w:t>
            </w:r>
          </w:p>
        </w:tc>
      </w:tr>
      <w:tr w:rsidR="003E44E9" w:rsidRPr="003D5973" w14:paraId="110CC50E" w14:textId="77777777" w:rsidTr="00EC6CB1">
        <w:trPr>
          <w:trHeight w:val="300"/>
        </w:trPr>
        <w:tc>
          <w:tcPr>
            <w:tcW w:w="1013" w:type="pct"/>
            <w:tcBorders>
              <w:top w:val="nil"/>
              <w:left w:val="single" w:sz="4" w:space="0" w:color="auto"/>
              <w:bottom w:val="nil"/>
              <w:right w:val="nil"/>
            </w:tcBorders>
            <w:shd w:val="clear" w:color="auto" w:fill="auto"/>
            <w:vAlign w:val="bottom"/>
            <w:hideMark/>
          </w:tcPr>
          <w:p w14:paraId="74BB314E"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7</w:t>
            </w:r>
            <w:r w:rsidRPr="003D5973">
              <w:rPr>
                <w:rFonts w:eastAsia="Times New Roman" w:cs="Times New Roman"/>
                <w:b/>
                <w:bCs/>
                <w:sz w:val="16"/>
                <w:szCs w:val="16"/>
              </w:rPr>
              <w:t>. Общи правителствени приходи</w:t>
            </w:r>
          </w:p>
        </w:tc>
        <w:tc>
          <w:tcPr>
            <w:tcW w:w="453" w:type="pct"/>
            <w:tcBorders>
              <w:top w:val="single" w:sz="4" w:space="0" w:color="auto"/>
              <w:left w:val="single" w:sz="4" w:space="0" w:color="auto"/>
              <w:bottom w:val="nil"/>
              <w:right w:val="nil"/>
            </w:tcBorders>
            <w:shd w:val="clear" w:color="auto" w:fill="auto"/>
            <w:noWrap/>
            <w:vAlign w:val="bottom"/>
          </w:tcPr>
          <w:p w14:paraId="4C5F778B" w14:textId="77777777" w:rsidR="003E44E9" w:rsidRDefault="003E44E9" w:rsidP="003E44E9">
            <w:pPr>
              <w:jc w:val="right"/>
              <w:rPr>
                <w:color w:val="000000"/>
                <w:sz w:val="18"/>
                <w:szCs w:val="18"/>
              </w:rPr>
            </w:pPr>
            <w:r>
              <w:rPr>
                <w:color w:val="000000"/>
                <w:sz w:val="18"/>
                <w:szCs w:val="18"/>
              </w:rPr>
              <w:t>42 801,0</w:t>
            </w:r>
          </w:p>
        </w:tc>
        <w:tc>
          <w:tcPr>
            <w:tcW w:w="544" w:type="pct"/>
            <w:tcBorders>
              <w:top w:val="single" w:sz="4" w:space="0" w:color="auto"/>
              <w:left w:val="nil"/>
              <w:bottom w:val="nil"/>
              <w:right w:val="single" w:sz="4" w:space="0" w:color="auto"/>
            </w:tcBorders>
            <w:shd w:val="clear" w:color="auto" w:fill="auto"/>
            <w:noWrap/>
            <w:vAlign w:val="bottom"/>
          </w:tcPr>
          <w:p w14:paraId="0579F33B" w14:textId="77777777" w:rsidR="003E44E9" w:rsidRDefault="003E44E9" w:rsidP="003E44E9">
            <w:pPr>
              <w:jc w:val="right"/>
              <w:rPr>
                <w:sz w:val="18"/>
                <w:szCs w:val="18"/>
              </w:rPr>
            </w:pPr>
            <w:r>
              <w:rPr>
                <w:sz w:val="18"/>
                <w:szCs w:val="18"/>
              </w:rPr>
              <w:t>37,9%</w:t>
            </w:r>
          </w:p>
        </w:tc>
        <w:tc>
          <w:tcPr>
            <w:tcW w:w="453" w:type="pct"/>
            <w:tcBorders>
              <w:top w:val="single" w:sz="4" w:space="0" w:color="auto"/>
              <w:left w:val="nil"/>
              <w:bottom w:val="nil"/>
              <w:right w:val="nil"/>
            </w:tcBorders>
            <w:shd w:val="clear" w:color="auto" w:fill="auto"/>
            <w:noWrap/>
            <w:vAlign w:val="bottom"/>
          </w:tcPr>
          <w:p w14:paraId="3274C8D8" w14:textId="77777777" w:rsidR="003E44E9" w:rsidRDefault="003E44E9" w:rsidP="003E44E9">
            <w:pPr>
              <w:jc w:val="right"/>
              <w:rPr>
                <w:color w:val="000000"/>
                <w:sz w:val="18"/>
                <w:szCs w:val="18"/>
              </w:rPr>
            </w:pPr>
            <w:r>
              <w:rPr>
                <w:color w:val="000000"/>
                <w:sz w:val="18"/>
                <w:szCs w:val="18"/>
              </w:rPr>
              <w:t>46 067,5</w:t>
            </w:r>
          </w:p>
        </w:tc>
        <w:tc>
          <w:tcPr>
            <w:tcW w:w="544" w:type="pct"/>
            <w:tcBorders>
              <w:top w:val="single" w:sz="4" w:space="0" w:color="auto"/>
              <w:left w:val="nil"/>
              <w:bottom w:val="nil"/>
              <w:right w:val="single" w:sz="4" w:space="0" w:color="auto"/>
            </w:tcBorders>
            <w:shd w:val="clear" w:color="auto" w:fill="auto"/>
            <w:noWrap/>
            <w:vAlign w:val="bottom"/>
          </w:tcPr>
          <w:p w14:paraId="4549D8F7" w14:textId="77777777" w:rsidR="003E44E9" w:rsidRDefault="003E44E9" w:rsidP="003E44E9">
            <w:pPr>
              <w:jc w:val="right"/>
              <w:rPr>
                <w:sz w:val="18"/>
                <w:szCs w:val="18"/>
              </w:rPr>
            </w:pPr>
            <w:r>
              <w:rPr>
                <w:sz w:val="18"/>
                <w:szCs w:val="18"/>
              </w:rPr>
              <w:t>38,3%</w:t>
            </w:r>
          </w:p>
        </w:tc>
        <w:tc>
          <w:tcPr>
            <w:tcW w:w="453" w:type="pct"/>
            <w:tcBorders>
              <w:top w:val="single" w:sz="4" w:space="0" w:color="auto"/>
              <w:left w:val="nil"/>
              <w:bottom w:val="nil"/>
              <w:right w:val="nil"/>
            </w:tcBorders>
            <w:shd w:val="clear" w:color="auto" w:fill="auto"/>
            <w:noWrap/>
            <w:vAlign w:val="bottom"/>
          </w:tcPr>
          <w:p w14:paraId="3D15550C" w14:textId="77777777" w:rsidR="003E44E9" w:rsidRDefault="003E44E9" w:rsidP="003E44E9">
            <w:pPr>
              <w:jc w:val="right"/>
              <w:rPr>
                <w:color w:val="000000"/>
                <w:sz w:val="18"/>
                <w:szCs w:val="18"/>
              </w:rPr>
            </w:pPr>
            <w:r>
              <w:rPr>
                <w:color w:val="000000"/>
                <w:sz w:val="18"/>
                <w:szCs w:val="18"/>
              </w:rPr>
              <w:t>46 900,9</w:t>
            </w:r>
          </w:p>
        </w:tc>
        <w:tc>
          <w:tcPr>
            <w:tcW w:w="544" w:type="pct"/>
            <w:tcBorders>
              <w:top w:val="single" w:sz="4" w:space="0" w:color="auto"/>
              <w:left w:val="nil"/>
              <w:bottom w:val="nil"/>
              <w:right w:val="single" w:sz="4" w:space="0" w:color="auto"/>
            </w:tcBorders>
            <w:shd w:val="clear" w:color="auto" w:fill="auto"/>
            <w:noWrap/>
            <w:vAlign w:val="bottom"/>
          </w:tcPr>
          <w:p w14:paraId="766C749D" w14:textId="77777777" w:rsidR="003E44E9" w:rsidRDefault="003E44E9" w:rsidP="003E44E9">
            <w:pPr>
              <w:jc w:val="right"/>
              <w:rPr>
                <w:sz w:val="18"/>
                <w:szCs w:val="18"/>
              </w:rPr>
            </w:pPr>
            <w:r>
              <w:rPr>
                <w:sz w:val="18"/>
                <w:szCs w:val="18"/>
              </w:rPr>
              <w:t>36,9%</w:t>
            </w:r>
          </w:p>
        </w:tc>
        <w:tc>
          <w:tcPr>
            <w:tcW w:w="453" w:type="pct"/>
            <w:tcBorders>
              <w:top w:val="single" w:sz="4" w:space="0" w:color="auto"/>
              <w:left w:val="nil"/>
              <w:bottom w:val="nil"/>
              <w:right w:val="nil"/>
            </w:tcBorders>
            <w:shd w:val="clear" w:color="auto" w:fill="auto"/>
            <w:noWrap/>
            <w:vAlign w:val="bottom"/>
          </w:tcPr>
          <w:p w14:paraId="39C2A146" w14:textId="77777777" w:rsidR="003E44E9" w:rsidRDefault="003E44E9" w:rsidP="003E44E9">
            <w:pPr>
              <w:jc w:val="right"/>
              <w:rPr>
                <w:color w:val="000000"/>
                <w:sz w:val="18"/>
                <w:szCs w:val="18"/>
              </w:rPr>
            </w:pPr>
            <w:r>
              <w:rPr>
                <w:color w:val="000000"/>
                <w:sz w:val="18"/>
                <w:szCs w:val="18"/>
              </w:rPr>
              <w:t>48 684,7</w:t>
            </w:r>
          </w:p>
        </w:tc>
        <w:tc>
          <w:tcPr>
            <w:tcW w:w="544" w:type="pct"/>
            <w:tcBorders>
              <w:top w:val="single" w:sz="4" w:space="0" w:color="auto"/>
              <w:left w:val="nil"/>
              <w:bottom w:val="nil"/>
              <w:right w:val="single" w:sz="4" w:space="0" w:color="auto"/>
            </w:tcBorders>
            <w:shd w:val="clear" w:color="auto" w:fill="auto"/>
            <w:noWrap/>
            <w:vAlign w:val="bottom"/>
          </w:tcPr>
          <w:p w14:paraId="7AB1C62E" w14:textId="77777777" w:rsidR="003E44E9" w:rsidRDefault="003E44E9" w:rsidP="003E44E9">
            <w:pPr>
              <w:jc w:val="right"/>
              <w:rPr>
                <w:sz w:val="18"/>
                <w:szCs w:val="18"/>
              </w:rPr>
            </w:pPr>
            <w:r>
              <w:rPr>
                <w:sz w:val="18"/>
                <w:szCs w:val="18"/>
              </w:rPr>
              <w:t>36,4%</w:t>
            </w:r>
          </w:p>
        </w:tc>
      </w:tr>
      <w:tr w:rsidR="003E44E9" w:rsidRPr="003D5973" w14:paraId="3F2134B0" w14:textId="77777777" w:rsidTr="00EC6CB1">
        <w:trPr>
          <w:trHeight w:val="300"/>
        </w:trPr>
        <w:tc>
          <w:tcPr>
            <w:tcW w:w="1013" w:type="pct"/>
            <w:tcBorders>
              <w:top w:val="nil"/>
              <w:left w:val="single" w:sz="4" w:space="0" w:color="auto"/>
              <w:bottom w:val="single" w:sz="4" w:space="0" w:color="auto"/>
              <w:right w:val="nil"/>
            </w:tcBorders>
            <w:shd w:val="clear" w:color="auto" w:fill="auto"/>
            <w:vAlign w:val="bottom"/>
            <w:hideMark/>
          </w:tcPr>
          <w:p w14:paraId="31F064C2" w14:textId="77777777" w:rsidR="003E44E9" w:rsidRPr="003D5973" w:rsidRDefault="003E44E9" w:rsidP="003E44E9">
            <w:pPr>
              <w:spacing w:after="0"/>
              <w:jc w:val="left"/>
              <w:rPr>
                <w:rFonts w:eastAsia="Times New Roman" w:cs="Times New Roman"/>
                <w:b/>
                <w:bCs/>
                <w:sz w:val="16"/>
                <w:szCs w:val="16"/>
              </w:rPr>
            </w:pPr>
            <w:r w:rsidRPr="003D5973">
              <w:rPr>
                <w:rFonts w:eastAsia="Times New Roman" w:cs="Times New Roman"/>
                <w:b/>
                <w:bCs/>
                <w:sz w:val="16"/>
                <w:szCs w:val="16"/>
              </w:rPr>
              <w:t>1</w:t>
            </w:r>
            <w:r>
              <w:rPr>
                <w:rFonts w:eastAsia="Times New Roman" w:cs="Times New Roman"/>
                <w:b/>
                <w:bCs/>
                <w:sz w:val="16"/>
                <w:szCs w:val="16"/>
              </w:rPr>
              <w:t>8</w:t>
            </w:r>
            <w:r w:rsidRPr="003D5973">
              <w:rPr>
                <w:rFonts w:eastAsia="Times New Roman" w:cs="Times New Roman"/>
                <w:b/>
                <w:bCs/>
                <w:sz w:val="16"/>
                <w:szCs w:val="16"/>
              </w:rPr>
              <w:t>. Общи правителствени разходи</w:t>
            </w:r>
          </w:p>
        </w:tc>
        <w:tc>
          <w:tcPr>
            <w:tcW w:w="453" w:type="pct"/>
            <w:tcBorders>
              <w:top w:val="nil"/>
              <w:left w:val="single" w:sz="4" w:space="0" w:color="auto"/>
              <w:bottom w:val="single" w:sz="4" w:space="0" w:color="auto"/>
              <w:right w:val="nil"/>
            </w:tcBorders>
            <w:shd w:val="clear" w:color="auto" w:fill="auto"/>
            <w:noWrap/>
            <w:vAlign w:val="bottom"/>
          </w:tcPr>
          <w:p w14:paraId="6E562291" w14:textId="77777777" w:rsidR="003E44E9" w:rsidRDefault="003E44E9" w:rsidP="003E44E9">
            <w:pPr>
              <w:jc w:val="right"/>
              <w:rPr>
                <w:color w:val="000000"/>
                <w:sz w:val="18"/>
                <w:szCs w:val="18"/>
              </w:rPr>
            </w:pPr>
            <w:r>
              <w:rPr>
                <w:color w:val="000000"/>
                <w:sz w:val="18"/>
                <w:szCs w:val="18"/>
              </w:rPr>
              <w:t>46 400,7</w:t>
            </w:r>
          </w:p>
        </w:tc>
        <w:tc>
          <w:tcPr>
            <w:tcW w:w="544" w:type="pct"/>
            <w:tcBorders>
              <w:top w:val="nil"/>
              <w:left w:val="nil"/>
              <w:bottom w:val="single" w:sz="4" w:space="0" w:color="auto"/>
              <w:right w:val="single" w:sz="4" w:space="0" w:color="auto"/>
            </w:tcBorders>
            <w:shd w:val="clear" w:color="auto" w:fill="auto"/>
            <w:noWrap/>
            <w:vAlign w:val="bottom"/>
          </w:tcPr>
          <w:p w14:paraId="79790870" w14:textId="77777777" w:rsidR="003E44E9" w:rsidRDefault="003E44E9" w:rsidP="003E44E9">
            <w:pPr>
              <w:jc w:val="right"/>
              <w:rPr>
                <w:sz w:val="18"/>
                <w:szCs w:val="18"/>
              </w:rPr>
            </w:pPr>
            <w:r>
              <w:rPr>
                <w:sz w:val="18"/>
                <w:szCs w:val="18"/>
              </w:rPr>
              <w:t>41,1%</w:t>
            </w:r>
          </w:p>
        </w:tc>
        <w:tc>
          <w:tcPr>
            <w:tcW w:w="453" w:type="pct"/>
            <w:tcBorders>
              <w:top w:val="nil"/>
              <w:left w:val="nil"/>
              <w:bottom w:val="single" w:sz="4" w:space="0" w:color="auto"/>
              <w:right w:val="nil"/>
            </w:tcBorders>
            <w:shd w:val="clear" w:color="auto" w:fill="auto"/>
            <w:noWrap/>
            <w:vAlign w:val="bottom"/>
          </w:tcPr>
          <w:p w14:paraId="3345A2F4" w14:textId="77777777" w:rsidR="003E44E9" w:rsidRDefault="003E44E9" w:rsidP="003E44E9">
            <w:pPr>
              <w:jc w:val="right"/>
              <w:rPr>
                <w:color w:val="000000"/>
                <w:sz w:val="18"/>
                <w:szCs w:val="18"/>
              </w:rPr>
            </w:pPr>
            <w:r>
              <w:rPr>
                <w:color w:val="000000"/>
                <w:sz w:val="18"/>
                <w:szCs w:val="18"/>
              </w:rPr>
              <w:t>51 107,5</w:t>
            </w:r>
          </w:p>
        </w:tc>
        <w:tc>
          <w:tcPr>
            <w:tcW w:w="544" w:type="pct"/>
            <w:tcBorders>
              <w:top w:val="nil"/>
              <w:left w:val="nil"/>
              <w:bottom w:val="single" w:sz="4" w:space="0" w:color="auto"/>
              <w:right w:val="single" w:sz="4" w:space="0" w:color="auto"/>
            </w:tcBorders>
            <w:shd w:val="clear" w:color="auto" w:fill="auto"/>
            <w:noWrap/>
            <w:vAlign w:val="bottom"/>
          </w:tcPr>
          <w:p w14:paraId="118944A2" w14:textId="77777777" w:rsidR="003E44E9" w:rsidRDefault="003E44E9" w:rsidP="003E44E9">
            <w:pPr>
              <w:jc w:val="right"/>
              <w:rPr>
                <w:sz w:val="18"/>
                <w:szCs w:val="18"/>
              </w:rPr>
            </w:pPr>
            <w:r>
              <w:rPr>
                <w:sz w:val="18"/>
                <w:szCs w:val="18"/>
              </w:rPr>
              <w:t>42,5%</w:t>
            </w:r>
          </w:p>
        </w:tc>
        <w:tc>
          <w:tcPr>
            <w:tcW w:w="453" w:type="pct"/>
            <w:tcBorders>
              <w:top w:val="nil"/>
              <w:left w:val="nil"/>
              <w:bottom w:val="single" w:sz="4" w:space="0" w:color="auto"/>
              <w:right w:val="nil"/>
            </w:tcBorders>
            <w:shd w:val="clear" w:color="auto" w:fill="auto"/>
            <w:noWrap/>
            <w:vAlign w:val="bottom"/>
          </w:tcPr>
          <w:p w14:paraId="5A1AB418" w14:textId="77777777" w:rsidR="003E44E9" w:rsidRDefault="003E44E9" w:rsidP="003E44E9">
            <w:pPr>
              <w:jc w:val="right"/>
              <w:rPr>
                <w:color w:val="000000"/>
                <w:sz w:val="18"/>
                <w:szCs w:val="18"/>
              </w:rPr>
            </w:pPr>
            <w:r>
              <w:rPr>
                <w:color w:val="000000"/>
                <w:sz w:val="18"/>
                <w:szCs w:val="18"/>
              </w:rPr>
              <w:t>53 874,6</w:t>
            </w:r>
          </w:p>
        </w:tc>
        <w:tc>
          <w:tcPr>
            <w:tcW w:w="544" w:type="pct"/>
            <w:tcBorders>
              <w:top w:val="nil"/>
              <w:left w:val="nil"/>
              <w:bottom w:val="single" w:sz="4" w:space="0" w:color="auto"/>
              <w:right w:val="single" w:sz="4" w:space="0" w:color="auto"/>
            </w:tcBorders>
            <w:shd w:val="clear" w:color="auto" w:fill="auto"/>
            <w:noWrap/>
            <w:vAlign w:val="bottom"/>
          </w:tcPr>
          <w:p w14:paraId="4D7BF43B" w14:textId="77777777" w:rsidR="003E44E9" w:rsidRDefault="003E44E9" w:rsidP="003E44E9">
            <w:pPr>
              <w:jc w:val="right"/>
              <w:rPr>
                <w:sz w:val="18"/>
                <w:szCs w:val="18"/>
              </w:rPr>
            </w:pPr>
            <w:r>
              <w:rPr>
                <w:sz w:val="18"/>
                <w:szCs w:val="18"/>
              </w:rPr>
              <w:t>42,4%</w:t>
            </w:r>
          </w:p>
        </w:tc>
        <w:tc>
          <w:tcPr>
            <w:tcW w:w="453" w:type="pct"/>
            <w:tcBorders>
              <w:top w:val="nil"/>
              <w:left w:val="nil"/>
              <w:bottom w:val="single" w:sz="4" w:space="0" w:color="auto"/>
              <w:right w:val="nil"/>
            </w:tcBorders>
            <w:shd w:val="clear" w:color="auto" w:fill="auto"/>
            <w:noWrap/>
            <w:vAlign w:val="bottom"/>
          </w:tcPr>
          <w:p w14:paraId="27554A69" w14:textId="77777777" w:rsidR="003E44E9" w:rsidRDefault="003E44E9" w:rsidP="003E44E9">
            <w:pPr>
              <w:jc w:val="right"/>
              <w:rPr>
                <w:color w:val="000000"/>
                <w:sz w:val="18"/>
                <w:szCs w:val="18"/>
              </w:rPr>
            </w:pPr>
            <w:r>
              <w:rPr>
                <w:color w:val="000000"/>
                <w:sz w:val="18"/>
                <w:szCs w:val="18"/>
              </w:rPr>
              <w:t>55 221,4</w:t>
            </w:r>
          </w:p>
        </w:tc>
        <w:tc>
          <w:tcPr>
            <w:tcW w:w="544" w:type="pct"/>
            <w:tcBorders>
              <w:top w:val="nil"/>
              <w:left w:val="nil"/>
              <w:bottom w:val="single" w:sz="4" w:space="0" w:color="auto"/>
              <w:right w:val="single" w:sz="4" w:space="0" w:color="auto"/>
            </w:tcBorders>
            <w:shd w:val="clear" w:color="auto" w:fill="auto"/>
            <w:noWrap/>
            <w:vAlign w:val="bottom"/>
          </w:tcPr>
          <w:p w14:paraId="0E1462DB" w14:textId="77777777" w:rsidR="003E44E9" w:rsidRDefault="003E44E9" w:rsidP="003E44E9">
            <w:pPr>
              <w:jc w:val="right"/>
              <w:rPr>
                <w:sz w:val="18"/>
                <w:szCs w:val="18"/>
              </w:rPr>
            </w:pPr>
            <w:r>
              <w:rPr>
                <w:sz w:val="18"/>
                <w:szCs w:val="18"/>
              </w:rPr>
              <w:t>41,3%</w:t>
            </w:r>
          </w:p>
        </w:tc>
      </w:tr>
    </w:tbl>
    <w:p w14:paraId="77EF2890" w14:textId="77777777" w:rsidR="0067078C" w:rsidRDefault="0067078C" w:rsidP="0067078C">
      <w:pPr>
        <w:spacing w:before="120"/>
        <w:jc w:val="right"/>
        <w:rPr>
          <w:sz w:val="20"/>
          <w:szCs w:val="20"/>
        </w:rPr>
      </w:pPr>
      <w:r w:rsidRPr="00164D2F">
        <w:rPr>
          <w:sz w:val="20"/>
          <w:szCs w:val="20"/>
        </w:rPr>
        <w:t>Източник: МФ</w:t>
      </w:r>
    </w:p>
    <w:p w14:paraId="2CF41A58" w14:textId="77777777" w:rsidR="00AA1D2F" w:rsidRDefault="00AA1D2F" w:rsidP="0047584C">
      <w:pPr>
        <w:pStyle w:val="Heading3"/>
        <w:ind w:left="0"/>
        <w:rPr>
          <w:rStyle w:val="Strong"/>
          <w:b/>
          <w:bCs/>
        </w:rPr>
      </w:pPr>
      <w:r w:rsidRPr="00AA1D2F">
        <w:rPr>
          <w:rStyle w:val="Strong"/>
          <w:b/>
          <w:bCs/>
        </w:rPr>
        <w:t>Дискреционни мерки и фискални ефекти на начислена основа</w:t>
      </w:r>
    </w:p>
    <w:p w14:paraId="2BA36987" w14:textId="77777777" w:rsidR="00615B9C" w:rsidRPr="00615B9C" w:rsidRDefault="00615B9C" w:rsidP="00615B9C">
      <w:proofErr w:type="spellStart"/>
      <w:r w:rsidRPr="00615B9C">
        <w:t>Дискреционни</w:t>
      </w:r>
      <w:proofErr w:type="spellEnd"/>
      <w:r w:rsidRPr="00615B9C">
        <w:t xml:space="preserve"> мерки са всички нови мерки и политики на правителството – приети или планирани, които имат пряко въздействие върху бюджетните параметри и основните фискални показатели. Те представляват мерки, предприети по преценка и решение на правителството, с цел постигането на определени приоритети (напр. повишаване събираемостта на приходите). Отнасят се до промяна в политиката на приходите (данъчната база и/или ставка) или промяна в разходните политики и трансферите от страна на правителството с цел стимулиране на  икономиката и увеличаване на доходите. </w:t>
      </w:r>
    </w:p>
    <w:p w14:paraId="3714256D" w14:textId="77777777" w:rsidR="00615B9C" w:rsidRPr="00615B9C" w:rsidRDefault="00615B9C" w:rsidP="00615B9C">
      <w:r w:rsidRPr="00615B9C">
        <w:t xml:space="preserve">В бюджетната прогноза са оценени всички приходни и разходни </w:t>
      </w:r>
      <w:proofErr w:type="spellStart"/>
      <w:r w:rsidRPr="00615B9C">
        <w:t>дискреционни</w:t>
      </w:r>
      <w:proofErr w:type="spellEnd"/>
      <w:r w:rsidRPr="00615B9C">
        <w:t xml:space="preserve"> мерки, които са приети през предходните години и имат бюджетен ефект през прогнозния период 2026-2028 г., като е отразено допълнителното им въздействие за съответната година спрямо предходната.</w:t>
      </w:r>
    </w:p>
    <w:p w14:paraId="1AECA815" w14:textId="77777777" w:rsidR="00AA1D2F" w:rsidRPr="003D5973" w:rsidRDefault="00AA1D2F" w:rsidP="00AA1D2F">
      <w:pPr>
        <w:keepNext/>
        <w:rPr>
          <w:b/>
          <w:color w:val="852010" w:themeColor="accent3" w:themeShade="BF"/>
        </w:rPr>
      </w:pPr>
      <w:r w:rsidRPr="003D5973">
        <w:rPr>
          <w:b/>
          <w:color w:val="852010" w:themeColor="accent3" w:themeShade="BF"/>
        </w:rPr>
        <w:t xml:space="preserve">Приходни </w:t>
      </w:r>
      <w:proofErr w:type="spellStart"/>
      <w:r w:rsidRPr="003D5973">
        <w:rPr>
          <w:b/>
          <w:color w:val="852010" w:themeColor="accent3" w:themeShade="BF"/>
        </w:rPr>
        <w:t>дискреционни</w:t>
      </w:r>
      <w:proofErr w:type="spellEnd"/>
      <w:r w:rsidRPr="003D5973">
        <w:rPr>
          <w:b/>
          <w:color w:val="852010" w:themeColor="accent3" w:themeShade="BF"/>
        </w:rPr>
        <w:t xml:space="preserve"> мерки</w:t>
      </w:r>
    </w:p>
    <w:p w14:paraId="03F8ED2C" w14:textId="77777777" w:rsidR="001A551D" w:rsidRDefault="001A551D" w:rsidP="001A551D">
      <w:pPr>
        <w:rPr>
          <w:rFonts w:eastAsia="Times New Roman" w:cs="Times New Roman"/>
        </w:rPr>
      </w:pPr>
      <w:r w:rsidRPr="00AC6B4F">
        <w:rPr>
          <w:rFonts w:eastAsia="Times New Roman" w:cs="Times New Roman"/>
        </w:rPr>
        <w:t xml:space="preserve">Приходните </w:t>
      </w:r>
      <w:proofErr w:type="spellStart"/>
      <w:r w:rsidRPr="00AC6B4F">
        <w:rPr>
          <w:rFonts w:eastAsia="Times New Roman" w:cs="Times New Roman"/>
        </w:rPr>
        <w:t>дискреционни</w:t>
      </w:r>
      <w:proofErr w:type="spellEnd"/>
      <w:r w:rsidRPr="00AC6B4F">
        <w:rPr>
          <w:rFonts w:eastAsia="Times New Roman" w:cs="Times New Roman"/>
        </w:rPr>
        <w:t xml:space="preserve"> мерки се очаква да доведат до общо нетно увеличение на приходите в размер на </w:t>
      </w:r>
      <w:r w:rsidR="002658F0" w:rsidRPr="002658F0">
        <w:rPr>
          <w:rFonts w:eastAsia="Times New Roman" w:cs="Times New Roman"/>
        </w:rPr>
        <w:t>3 453,4</w:t>
      </w:r>
      <w:r w:rsidRPr="00AC6B4F">
        <w:rPr>
          <w:rFonts w:eastAsia="Times New Roman" w:cs="Times New Roman"/>
        </w:rPr>
        <w:t xml:space="preserve"> млн. </w:t>
      </w:r>
      <w:r>
        <w:rPr>
          <w:rFonts w:eastAsia="Times New Roman" w:cs="Times New Roman"/>
        </w:rPr>
        <w:t xml:space="preserve">евро </w:t>
      </w:r>
      <w:r w:rsidRPr="00AC6B4F">
        <w:rPr>
          <w:rFonts w:eastAsia="Times New Roman" w:cs="Times New Roman"/>
        </w:rPr>
        <w:t>за периода 2026-2028 г. През 202</w:t>
      </w:r>
      <w:r>
        <w:rPr>
          <w:rFonts w:eastAsia="Times New Roman" w:cs="Times New Roman"/>
        </w:rPr>
        <w:t>6</w:t>
      </w:r>
      <w:r w:rsidRPr="00AC6B4F">
        <w:rPr>
          <w:rFonts w:eastAsia="Times New Roman" w:cs="Times New Roman"/>
        </w:rPr>
        <w:t xml:space="preserve"> г. се очаква нетно увеличение на приходите с</w:t>
      </w:r>
      <w:r w:rsidR="002658F0">
        <w:rPr>
          <w:rFonts w:eastAsia="Times New Roman" w:cs="Times New Roman"/>
        </w:rPr>
        <w:t xml:space="preserve"> </w:t>
      </w:r>
      <w:r w:rsidR="002658F0" w:rsidRPr="002658F0">
        <w:rPr>
          <w:rFonts w:eastAsia="Times New Roman" w:cs="Times New Roman"/>
        </w:rPr>
        <w:t>2 063,9</w:t>
      </w:r>
      <w:r w:rsidRPr="00CA6256">
        <w:rPr>
          <w:rFonts w:eastAsia="Times New Roman" w:cs="Times New Roman"/>
        </w:rPr>
        <w:t xml:space="preserve"> </w:t>
      </w:r>
      <w:r w:rsidRPr="00AC6B4F">
        <w:rPr>
          <w:rFonts w:eastAsia="Times New Roman" w:cs="Times New Roman"/>
        </w:rPr>
        <w:t xml:space="preserve">млн. </w:t>
      </w:r>
      <w:r w:rsidR="002658F0">
        <w:rPr>
          <w:rFonts w:eastAsia="Times New Roman" w:cs="Times New Roman"/>
        </w:rPr>
        <w:t>евро или 1,72</w:t>
      </w:r>
      <w:r>
        <w:rPr>
          <w:rFonts w:eastAsia="Times New Roman" w:cs="Times New Roman"/>
        </w:rPr>
        <w:t>% от БВП</w:t>
      </w:r>
      <w:r w:rsidRPr="00AC6B4F">
        <w:rPr>
          <w:rFonts w:eastAsia="Times New Roman" w:cs="Times New Roman"/>
        </w:rPr>
        <w:t>, през 202</w:t>
      </w:r>
      <w:r>
        <w:rPr>
          <w:rFonts w:eastAsia="Times New Roman" w:cs="Times New Roman"/>
        </w:rPr>
        <w:t>7</w:t>
      </w:r>
      <w:r w:rsidRPr="00AC6B4F">
        <w:rPr>
          <w:rFonts w:eastAsia="Times New Roman" w:cs="Times New Roman"/>
        </w:rPr>
        <w:t xml:space="preserve"> г. – нетно </w:t>
      </w:r>
      <w:r>
        <w:rPr>
          <w:rFonts w:eastAsia="Times New Roman" w:cs="Times New Roman"/>
        </w:rPr>
        <w:t>увеличение</w:t>
      </w:r>
      <w:r w:rsidRPr="00AC6B4F">
        <w:rPr>
          <w:rFonts w:eastAsia="Times New Roman" w:cs="Times New Roman"/>
        </w:rPr>
        <w:t xml:space="preserve"> на приходите с </w:t>
      </w:r>
      <w:r>
        <w:rPr>
          <w:rFonts w:eastAsia="Times New Roman" w:cs="Times New Roman"/>
        </w:rPr>
        <w:t>506,7</w:t>
      </w:r>
      <w:r w:rsidRPr="009274DB">
        <w:rPr>
          <w:rFonts w:eastAsia="Times New Roman" w:cs="Times New Roman"/>
        </w:rPr>
        <w:t xml:space="preserve"> </w:t>
      </w:r>
      <w:r w:rsidRPr="00AC6B4F">
        <w:rPr>
          <w:rFonts w:eastAsia="Times New Roman" w:cs="Times New Roman"/>
        </w:rPr>
        <w:t xml:space="preserve">млн. </w:t>
      </w:r>
      <w:r>
        <w:rPr>
          <w:rFonts w:eastAsia="Times New Roman" w:cs="Times New Roman"/>
        </w:rPr>
        <w:t>евро или 0,40% от БВП, през 2028</w:t>
      </w:r>
      <w:r w:rsidRPr="00AC6B4F">
        <w:rPr>
          <w:rFonts w:eastAsia="Times New Roman" w:cs="Times New Roman"/>
        </w:rPr>
        <w:t xml:space="preserve"> г. - нетно увеличение на приходите с </w:t>
      </w:r>
      <w:r>
        <w:rPr>
          <w:rFonts w:eastAsia="Times New Roman" w:cs="Times New Roman"/>
        </w:rPr>
        <w:t>882,8</w:t>
      </w:r>
      <w:r w:rsidRPr="009274DB">
        <w:rPr>
          <w:rFonts w:eastAsia="Times New Roman" w:cs="Times New Roman"/>
        </w:rPr>
        <w:t xml:space="preserve"> </w:t>
      </w:r>
      <w:r w:rsidRPr="00AC6B4F">
        <w:rPr>
          <w:rFonts w:eastAsia="Times New Roman" w:cs="Times New Roman"/>
        </w:rPr>
        <w:t xml:space="preserve">млн. </w:t>
      </w:r>
      <w:r w:rsidRPr="00B74A04">
        <w:rPr>
          <w:rFonts w:eastAsia="Times New Roman" w:cs="Times New Roman"/>
        </w:rPr>
        <w:t>евро</w:t>
      </w:r>
      <w:r>
        <w:rPr>
          <w:rFonts w:eastAsia="Times New Roman" w:cs="Times New Roman"/>
        </w:rPr>
        <w:t xml:space="preserve"> или 0,66% от БВП. </w:t>
      </w:r>
    </w:p>
    <w:p w14:paraId="7FAF65A8" w14:textId="77777777" w:rsidR="001A551D" w:rsidRDefault="001A551D" w:rsidP="001A551D">
      <w:pPr>
        <w:rPr>
          <w:rFonts w:eastAsia="Times New Roman" w:cs="Times New Roman"/>
        </w:rPr>
      </w:pPr>
      <w:r>
        <w:rPr>
          <w:rFonts w:eastAsia="Times New Roman" w:cs="Times New Roman"/>
        </w:rPr>
        <w:lastRenderedPageBreak/>
        <w:t xml:space="preserve">С най-голям бюджетен ефект в приходната част през 2026 г. са мерките, свързани с фискалния контрол. </w:t>
      </w:r>
      <w:r w:rsidRPr="001A5998">
        <w:rPr>
          <w:rFonts w:eastAsia="Times New Roman" w:cs="Times New Roman"/>
        </w:rPr>
        <w:t>Мерки</w:t>
      </w:r>
      <w:r>
        <w:rPr>
          <w:rFonts w:eastAsia="Times New Roman" w:cs="Times New Roman"/>
        </w:rPr>
        <w:t>те</w:t>
      </w:r>
      <w:r w:rsidRPr="001A5998">
        <w:rPr>
          <w:rFonts w:eastAsia="Times New Roman" w:cs="Times New Roman"/>
        </w:rPr>
        <w:t xml:space="preserve"> за повишаване на събираемостта на приходите в областта на фискалния контрол, в т.ч. усъвършенстване на фискалния контрол и разширяване на списъка на стоките с висок фискален риск</w:t>
      </w:r>
      <w:r>
        <w:rPr>
          <w:rFonts w:eastAsia="Times New Roman" w:cs="Times New Roman"/>
        </w:rPr>
        <w:t xml:space="preserve">, се очаква да доведат до допълнителни приходи в размер на 878,5 млн. евро през 2026 г. </w:t>
      </w:r>
      <w:r w:rsidRPr="001A5998">
        <w:rPr>
          <w:rFonts w:eastAsia="Times New Roman" w:cs="Times New Roman"/>
        </w:rPr>
        <w:t>Разширяване</w:t>
      </w:r>
      <w:r>
        <w:rPr>
          <w:rFonts w:eastAsia="Times New Roman" w:cs="Times New Roman"/>
        </w:rPr>
        <w:t>то</w:t>
      </w:r>
      <w:r w:rsidRPr="001A5998">
        <w:rPr>
          <w:rFonts w:eastAsia="Times New Roman" w:cs="Times New Roman"/>
        </w:rPr>
        <w:t xml:space="preserve"> на системата за електронно проследяване на движението на транспортните средства, превозващи стоки с висок фискален риск</w:t>
      </w:r>
      <w:r>
        <w:rPr>
          <w:rFonts w:eastAsia="Times New Roman" w:cs="Times New Roman"/>
        </w:rPr>
        <w:t>,</w:t>
      </w:r>
      <w:r w:rsidRPr="001A5998">
        <w:rPr>
          <w:rFonts w:eastAsia="Times New Roman" w:cs="Times New Roman"/>
        </w:rPr>
        <w:t xml:space="preserve"> чрез GPS устройства и мобилно приложение</w:t>
      </w:r>
      <w:r>
        <w:rPr>
          <w:rFonts w:eastAsia="Times New Roman" w:cs="Times New Roman"/>
        </w:rPr>
        <w:t xml:space="preserve"> се очаква да доведе до допълнителни приходи в размер на 550,0 млн. евро през 2026 г. </w:t>
      </w:r>
    </w:p>
    <w:p w14:paraId="06DBD279" w14:textId="77777777" w:rsidR="001A551D" w:rsidRPr="0096342B" w:rsidRDefault="001A551D" w:rsidP="001A551D">
      <w:pPr>
        <w:rPr>
          <w:rFonts w:eastAsia="Times New Roman" w:cs="Times New Roman"/>
        </w:rPr>
      </w:pPr>
      <w:r w:rsidRPr="00AC6B4F">
        <w:rPr>
          <w:rFonts w:eastAsia="Times New Roman" w:cs="Times New Roman"/>
        </w:rPr>
        <w:t xml:space="preserve">Значителен бюджетен ефект в приходната част има вдигането на осигурителните вноски за фонд „Пенсии“ с </w:t>
      </w:r>
      <w:r>
        <w:rPr>
          <w:rFonts w:eastAsia="Times New Roman" w:cs="Times New Roman"/>
        </w:rPr>
        <w:t>1</w:t>
      </w:r>
      <w:r w:rsidRPr="00AC6B4F">
        <w:rPr>
          <w:rFonts w:eastAsia="Times New Roman" w:cs="Times New Roman"/>
        </w:rPr>
        <w:t xml:space="preserve"> процент</w:t>
      </w:r>
      <w:r>
        <w:rPr>
          <w:rFonts w:eastAsia="Times New Roman" w:cs="Times New Roman"/>
        </w:rPr>
        <w:t>ен</w:t>
      </w:r>
      <w:r w:rsidRPr="00AC6B4F">
        <w:rPr>
          <w:rFonts w:eastAsia="Times New Roman" w:cs="Times New Roman"/>
        </w:rPr>
        <w:t xml:space="preserve"> пункт от 1 януари 202</w:t>
      </w:r>
      <w:r>
        <w:rPr>
          <w:rFonts w:eastAsia="Times New Roman" w:cs="Times New Roman"/>
        </w:rPr>
        <w:t>7</w:t>
      </w:r>
      <w:r w:rsidRPr="00AC6B4F">
        <w:rPr>
          <w:rFonts w:eastAsia="Times New Roman" w:cs="Times New Roman"/>
        </w:rPr>
        <w:t xml:space="preserve"> г. и с </w:t>
      </w:r>
      <w:r>
        <w:rPr>
          <w:rFonts w:eastAsia="Times New Roman" w:cs="Times New Roman"/>
        </w:rPr>
        <w:t>2</w:t>
      </w:r>
      <w:r w:rsidRPr="00AC6B4F">
        <w:rPr>
          <w:rFonts w:eastAsia="Times New Roman" w:cs="Times New Roman"/>
        </w:rPr>
        <w:t xml:space="preserve"> процент</w:t>
      </w:r>
      <w:r>
        <w:rPr>
          <w:rFonts w:eastAsia="Times New Roman" w:cs="Times New Roman"/>
        </w:rPr>
        <w:t>ни</w:t>
      </w:r>
      <w:r w:rsidRPr="00AC6B4F">
        <w:rPr>
          <w:rFonts w:eastAsia="Times New Roman" w:cs="Times New Roman"/>
        </w:rPr>
        <w:t xml:space="preserve"> пункт</w:t>
      </w:r>
      <w:r>
        <w:rPr>
          <w:rFonts w:eastAsia="Times New Roman" w:cs="Times New Roman"/>
        </w:rPr>
        <w:t>а</w:t>
      </w:r>
      <w:r w:rsidRPr="00AC6B4F">
        <w:rPr>
          <w:rFonts w:eastAsia="Times New Roman" w:cs="Times New Roman"/>
        </w:rPr>
        <w:t xml:space="preserve"> от 1 януари 202</w:t>
      </w:r>
      <w:r>
        <w:rPr>
          <w:rFonts w:eastAsia="Times New Roman" w:cs="Times New Roman"/>
        </w:rPr>
        <w:t>8</w:t>
      </w:r>
      <w:r w:rsidRPr="00AC6B4F">
        <w:rPr>
          <w:rFonts w:eastAsia="Times New Roman" w:cs="Times New Roman"/>
        </w:rPr>
        <w:t xml:space="preserve"> г.</w:t>
      </w:r>
      <w:r>
        <w:rPr>
          <w:rFonts w:eastAsia="Times New Roman" w:cs="Times New Roman"/>
        </w:rPr>
        <w:t xml:space="preserve"> </w:t>
      </w:r>
      <w:r w:rsidRPr="00AC6B4F">
        <w:rPr>
          <w:rFonts w:eastAsia="Times New Roman" w:cs="Times New Roman"/>
        </w:rPr>
        <w:t xml:space="preserve">– допълнителни очаквани приходи в размер на </w:t>
      </w:r>
      <w:r>
        <w:rPr>
          <w:rFonts w:eastAsia="Times New Roman" w:cs="Times New Roman"/>
        </w:rPr>
        <w:t>321,2</w:t>
      </w:r>
      <w:r w:rsidRPr="00AC6B4F">
        <w:rPr>
          <w:rFonts w:eastAsia="Times New Roman" w:cs="Times New Roman"/>
        </w:rPr>
        <w:t xml:space="preserve"> млн. </w:t>
      </w:r>
      <w:r>
        <w:rPr>
          <w:rFonts w:eastAsia="Times New Roman" w:cs="Times New Roman"/>
        </w:rPr>
        <w:t>евро</w:t>
      </w:r>
      <w:r w:rsidRPr="00AC6B4F">
        <w:rPr>
          <w:rFonts w:eastAsia="Times New Roman" w:cs="Times New Roman"/>
        </w:rPr>
        <w:t>. за 202</w:t>
      </w:r>
      <w:r>
        <w:rPr>
          <w:rFonts w:eastAsia="Times New Roman" w:cs="Times New Roman"/>
        </w:rPr>
        <w:t>7</w:t>
      </w:r>
      <w:r w:rsidRPr="00AC6B4F">
        <w:rPr>
          <w:rFonts w:eastAsia="Times New Roman" w:cs="Times New Roman"/>
        </w:rPr>
        <w:t xml:space="preserve"> г. и </w:t>
      </w:r>
      <w:r>
        <w:rPr>
          <w:rFonts w:eastAsia="Times New Roman" w:cs="Times New Roman"/>
        </w:rPr>
        <w:t>732,5</w:t>
      </w:r>
      <w:r w:rsidRPr="00AC6B4F">
        <w:rPr>
          <w:rFonts w:eastAsia="Times New Roman" w:cs="Times New Roman"/>
        </w:rPr>
        <w:t xml:space="preserve"> млн. </w:t>
      </w:r>
      <w:r>
        <w:rPr>
          <w:rFonts w:eastAsia="Times New Roman" w:cs="Times New Roman"/>
        </w:rPr>
        <w:t>евро</w:t>
      </w:r>
      <w:r w:rsidRPr="00AC6B4F">
        <w:rPr>
          <w:rFonts w:eastAsia="Times New Roman" w:cs="Times New Roman"/>
        </w:rPr>
        <w:t xml:space="preserve"> за 202</w:t>
      </w:r>
      <w:r>
        <w:rPr>
          <w:rFonts w:eastAsia="Times New Roman" w:cs="Times New Roman"/>
        </w:rPr>
        <w:t>8</w:t>
      </w:r>
      <w:r w:rsidRPr="00AC6B4F">
        <w:rPr>
          <w:rFonts w:eastAsia="Times New Roman" w:cs="Times New Roman"/>
        </w:rPr>
        <w:t xml:space="preserve"> г. </w:t>
      </w:r>
      <w:r>
        <w:rPr>
          <w:rFonts w:eastAsia="Times New Roman" w:cs="Times New Roman"/>
        </w:rPr>
        <w:t xml:space="preserve">Промяната в ставката на осигурителните вноски оказва автоматично въздействие върху данъчната основна за облагане на доходите на физическите лице, в резултат на което се очаква намаление на приходите от ДДФЛ в размер на 12,1 млн. евро през 2027 г. и 24,5 млн. евро през 2028 г. </w:t>
      </w:r>
    </w:p>
    <w:p w14:paraId="3A2629EC" w14:textId="77777777" w:rsidR="002658F0" w:rsidRPr="002658F0" w:rsidRDefault="001A551D" w:rsidP="002658F0">
      <w:pPr>
        <w:rPr>
          <w:rFonts w:eastAsia="Times New Roman" w:cs="Times New Roman"/>
        </w:rPr>
      </w:pPr>
      <w:r w:rsidRPr="00AC6B4F">
        <w:rPr>
          <w:rFonts w:eastAsia="Times New Roman" w:cs="Times New Roman"/>
        </w:rPr>
        <w:t xml:space="preserve">Допълнителните приходи от осигурителни вноски </w:t>
      </w:r>
      <w:r>
        <w:rPr>
          <w:rFonts w:eastAsia="Times New Roman" w:cs="Times New Roman"/>
        </w:rPr>
        <w:t xml:space="preserve">в резултат на </w:t>
      </w:r>
      <w:r w:rsidRPr="00AC6B4F">
        <w:rPr>
          <w:rFonts w:eastAsia="Times New Roman" w:cs="Times New Roman"/>
        </w:rPr>
        <w:t xml:space="preserve">увеличението на максималния осигурителен доход </w:t>
      </w:r>
      <w:r w:rsidR="003C2D3A" w:rsidRPr="003C2D3A">
        <w:rPr>
          <w:rFonts w:eastAsia="Times New Roman" w:cs="Times New Roman"/>
        </w:rPr>
        <w:t>(2 300</w:t>
      </w:r>
      <w:r w:rsidRPr="003C2D3A">
        <w:rPr>
          <w:rFonts w:eastAsia="Times New Roman" w:cs="Times New Roman"/>
        </w:rPr>
        <w:t xml:space="preserve"> евро за 2026 г., 2 505 евро за 2027 г. и 2 659 евро</w:t>
      </w:r>
      <w:r>
        <w:rPr>
          <w:rFonts w:eastAsia="Times New Roman" w:cs="Times New Roman"/>
        </w:rPr>
        <w:t xml:space="preserve"> за 2028 г.</w:t>
      </w:r>
      <w:r w:rsidRPr="008F12E3">
        <w:rPr>
          <w:rFonts w:eastAsia="Times New Roman" w:cs="Times New Roman"/>
        </w:rPr>
        <w:t xml:space="preserve">) </w:t>
      </w:r>
      <w:r w:rsidRPr="00AC6B4F">
        <w:rPr>
          <w:rFonts w:eastAsia="Times New Roman" w:cs="Times New Roman"/>
        </w:rPr>
        <w:t xml:space="preserve">са в размер на </w:t>
      </w:r>
      <w:r>
        <w:rPr>
          <w:rFonts w:eastAsia="Times New Roman" w:cs="Times New Roman"/>
        </w:rPr>
        <w:t>230,0</w:t>
      </w:r>
      <w:r w:rsidRPr="00AC6B4F">
        <w:rPr>
          <w:rFonts w:eastAsia="Times New Roman" w:cs="Times New Roman"/>
        </w:rPr>
        <w:t xml:space="preserve"> млн. </w:t>
      </w:r>
      <w:r>
        <w:rPr>
          <w:rFonts w:eastAsia="Times New Roman" w:cs="Times New Roman"/>
        </w:rPr>
        <w:t>евро</w:t>
      </w:r>
      <w:r w:rsidRPr="00AC6B4F">
        <w:rPr>
          <w:rFonts w:eastAsia="Times New Roman" w:cs="Times New Roman"/>
        </w:rPr>
        <w:t xml:space="preserve"> за 202</w:t>
      </w:r>
      <w:r>
        <w:rPr>
          <w:rFonts w:eastAsia="Times New Roman" w:cs="Times New Roman"/>
        </w:rPr>
        <w:t>6</w:t>
      </w:r>
      <w:r w:rsidRPr="00AC6B4F">
        <w:rPr>
          <w:rFonts w:eastAsia="Times New Roman" w:cs="Times New Roman"/>
        </w:rPr>
        <w:t xml:space="preserve"> г. и </w:t>
      </w:r>
      <w:r>
        <w:rPr>
          <w:rFonts w:eastAsia="Times New Roman" w:cs="Times New Roman"/>
        </w:rPr>
        <w:t>общо 427,0</w:t>
      </w:r>
      <w:r w:rsidRPr="00AC6B4F">
        <w:rPr>
          <w:rFonts w:eastAsia="Times New Roman" w:cs="Times New Roman"/>
        </w:rPr>
        <w:t xml:space="preserve"> млн. </w:t>
      </w:r>
      <w:r w:rsidRPr="00B74A04">
        <w:rPr>
          <w:rFonts w:eastAsia="Times New Roman" w:cs="Times New Roman"/>
        </w:rPr>
        <w:t>евро</w:t>
      </w:r>
      <w:r w:rsidRPr="00AC6B4F">
        <w:rPr>
          <w:rFonts w:eastAsia="Times New Roman" w:cs="Times New Roman"/>
        </w:rPr>
        <w:t xml:space="preserve"> за периода 2026-2028 г.</w:t>
      </w:r>
      <w:r>
        <w:rPr>
          <w:rFonts w:eastAsia="Times New Roman" w:cs="Times New Roman"/>
        </w:rPr>
        <w:t xml:space="preserve"> </w:t>
      </w:r>
      <w:r w:rsidR="002658F0" w:rsidRPr="002658F0">
        <w:rPr>
          <w:rFonts w:eastAsia="Times New Roman" w:cs="Times New Roman"/>
        </w:rPr>
        <w:t>Повишаването на максималния осигурителен доход</w:t>
      </w:r>
      <w:r w:rsidR="00167076">
        <w:rPr>
          <w:rFonts w:eastAsia="Times New Roman" w:cs="Times New Roman"/>
        </w:rPr>
        <w:t xml:space="preserve"> </w:t>
      </w:r>
      <w:r w:rsidR="002658F0" w:rsidRPr="002658F0">
        <w:rPr>
          <w:rFonts w:eastAsia="Times New Roman" w:cs="Times New Roman"/>
        </w:rPr>
        <w:t>води автоматично до намаляване на данъчната основа и съответно приходите от ДДФЛ в размер на 7,5 млн. евро през 2026 г. и общо 17,6 млн. евро за периода 2026-2028 г.</w:t>
      </w:r>
    </w:p>
    <w:p w14:paraId="652324E3" w14:textId="77777777" w:rsidR="001A551D" w:rsidRPr="00CB0185" w:rsidRDefault="001A551D" w:rsidP="001A551D">
      <w:pPr>
        <w:rPr>
          <w:rFonts w:eastAsia="Times New Roman" w:cs="Times New Roman"/>
        </w:rPr>
      </w:pPr>
      <w:r w:rsidRPr="00CB0185">
        <w:rPr>
          <w:rFonts w:eastAsia="Times New Roman" w:cs="Times New Roman"/>
        </w:rPr>
        <w:t xml:space="preserve">Допълнителните приходи от осигурителни вноски в резултат на увеличение с 10% на разходите за персонал на първостепенните разпоредители с бюджет са в размер на 168,8 млн. евро за 2026 г. </w:t>
      </w:r>
    </w:p>
    <w:p w14:paraId="104B16B9" w14:textId="77777777" w:rsidR="00A5026A" w:rsidRPr="00AC6B4F" w:rsidRDefault="00A5026A" w:rsidP="00A5026A">
      <w:pPr>
        <w:rPr>
          <w:rFonts w:eastAsia="Times New Roman" w:cs="Times New Roman"/>
        </w:rPr>
      </w:pPr>
      <w:r w:rsidRPr="00AC6B4F">
        <w:rPr>
          <w:rFonts w:eastAsia="Times New Roman" w:cs="Times New Roman"/>
        </w:rPr>
        <w:t xml:space="preserve">Ефектът върху приходите от акцизи в резултат на повишаването на акцизната ставка на </w:t>
      </w:r>
      <w:r>
        <w:rPr>
          <w:rFonts w:eastAsia="Times New Roman" w:cs="Times New Roman"/>
        </w:rPr>
        <w:t>тютюна и всички тютюневи изделия</w:t>
      </w:r>
      <w:r w:rsidRPr="00AC6B4F">
        <w:rPr>
          <w:rFonts w:eastAsia="Times New Roman" w:cs="Times New Roman"/>
        </w:rPr>
        <w:t xml:space="preserve"> е оценен на </w:t>
      </w:r>
      <w:r>
        <w:rPr>
          <w:rFonts w:eastAsia="Times New Roman" w:cs="Times New Roman"/>
        </w:rPr>
        <w:t>129,9</w:t>
      </w:r>
      <w:r w:rsidRPr="00AC6B4F">
        <w:rPr>
          <w:rFonts w:eastAsia="Times New Roman" w:cs="Times New Roman"/>
        </w:rPr>
        <w:t xml:space="preserve"> млн</w:t>
      </w:r>
      <w:r>
        <w:rPr>
          <w:rFonts w:eastAsia="Times New Roman" w:cs="Times New Roman"/>
        </w:rPr>
        <w:t>. евро</w:t>
      </w:r>
      <w:r w:rsidRPr="00AC6B4F">
        <w:rPr>
          <w:rFonts w:eastAsia="Times New Roman" w:cs="Times New Roman"/>
        </w:rPr>
        <w:t xml:space="preserve"> допълнителни приходи за 202</w:t>
      </w:r>
      <w:r>
        <w:rPr>
          <w:rFonts w:eastAsia="Times New Roman" w:cs="Times New Roman"/>
        </w:rPr>
        <w:t>6 г. и общо 284,5 млн. евро допълнителни приходи за целия прогнозен период.</w:t>
      </w:r>
      <w:r w:rsidRPr="00AC6B4F">
        <w:rPr>
          <w:rFonts w:eastAsia="Times New Roman" w:cs="Times New Roman"/>
        </w:rPr>
        <w:t xml:space="preserve"> Положителният ефект от ДДС от увеличаване на акцизните ставки на тютюна и тютюневите изделия е оценен на </w:t>
      </w:r>
      <w:r>
        <w:rPr>
          <w:rFonts w:eastAsia="Times New Roman" w:cs="Times New Roman"/>
        </w:rPr>
        <w:t>26,0</w:t>
      </w:r>
      <w:r w:rsidRPr="00AC6B4F">
        <w:rPr>
          <w:rFonts w:eastAsia="Times New Roman" w:cs="Times New Roman"/>
        </w:rPr>
        <w:t xml:space="preserve"> млн</w:t>
      </w:r>
      <w:r>
        <w:rPr>
          <w:rFonts w:eastAsia="Times New Roman" w:cs="Times New Roman"/>
        </w:rPr>
        <w:t>. евро</w:t>
      </w:r>
      <w:r w:rsidRPr="00AC6B4F">
        <w:rPr>
          <w:rFonts w:eastAsia="Times New Roman" w:cs="Times New Roman"/>
        </w:rPr>
        <w:t xml:space="preserve"> допълнителни приходи за 202</w:t>
      </w:r>
      <w:r>
        <w:rPr>
          <w:rFonts w:eastAsia="Times New Roman" w:cs="Times New Roman"/>
        </w:rPr>
        <w:t>6 г. и общо 56,9 млн. евро допълнителни приходи за целия прогнозен период.</w:t>
      </w:r>
    </w:p>
    <w:p w14:paraId="2BB36D28" w14:textId="77777777" w:rsidR="00A5026A" w:rsidRDefault="00A5026A" w:rsidP="00A5026A">
      <w:pPr>
        <w:rPr>
          <w:rFonts w:eastAsia="Times New Roman" w:cs="Times New Roman"/>
        </w:rPr>
      </w:pPr>
      <w:r w:rsidRPr="0099254D">
        <w:rPr>
          <w:rFonts w:eastAsia="Times New Roman" w:cs="Times New Roman"/>
        </w:rPr>
        <w:t>Допълнителните очаквани приходи за 2026 г., свързани с оперирането на ТОЛ системата, са в размер на 28,7 млн. евро. Така планираният ефект е на база очакваното изпълнение на приходите през 2025 г. и реализираните в тази връзка приходи от оперирането на ТОЛ системата.</w:t>
      </w:r>
      <w:r>
        <w:rPr>
          <w:rFonts w:eastAsia="Times New Roman" w:cs="Times New Roman"/>
        </w:rPr>
        <w:t xml:space="preserve"> </w:t>
      </w:r>
    </w:p>
    <w:p w14:paraId="1D6F68FB" w14:textId="77777777" w:rsidR="00A5026A" w:rsidRPr="00080EAC" w:rsidRDefault="00A5026A" w:rsidP="00A5026A">
      <w:pPr>
        <w:rPr>
          <w:rFonts w:eastAsia="Times New Roman" w:cs="Times New Roman"/>
        </w:rPr>
      </w:pPr>
      <w:r w:rsidRPr="00080EAC">
        <w:rPr>
          <w:rFonts w:eastAsia="Times New Roman" w:cs="Times New Roman"/>
        </w:rPr>
        <w:t>За пе</w:t>
      </w:r>
      <w:r>
        <w:rPr>
          <w:rFonts w:eastAsia="Times New Roman" w:cs="Times New Roman"/>
        </w:rPr>
        <w:t>риода 2026-</w:t>
      </w:r>
      <w:r w:rsidRPr="00080EAC">
        <w:rPr>
          <w:rFonts w:eastAsia="Times New Roman" w:cs="Times New Roman"/>
        </w:rPr>
        <w:t>2028 г. са планирани  приходи в размер на 66,5 млн. евро във връзка със спазване на изискванията за въвеждането на Директива 1999/62/ЕО на Европейския парламе</w:t>
      </w:r>
      <w:r>
        <w:rPr>
          <w:rFonts w:eastAsia="Times New Roman" w:cs="Times New Roman"/>
        </w:rPr>
        <w:t>нт и на Съвета от 17 юни 1999 г.</w:t>
      </w:r>
      <w:r w:rsidRPr="00080EAC">
        <w:rPr>
          <w:rFonts w:eastAsia="Times New Roman" w:cs="Times New Roman"/>
        </w:rPr>
        <w:t xml:space="preserve"> относно заплащането на такси от тежкотоварни автомобили за използване на определени инфраструктури. Планираните допълнителни приходи са в изпълн</w:t>
      </w:r>
      <w:r w:rsidR="009D37DC">
        <w:rPr>
          <w:rFonts w:eastAsia="Times New Roman" w:cs="Times New Roman"/>
        </w:rPr>
        <w:t>ение на</w:t>
      </w:r>
      <w:r w:rsidRPr="00080EAC">
        <w:rPr>
          <w:rFonts w:eastAsia="Times New Roman" w:cs="Times New Roman"/>
        </w:rPr>
        <w:t xml:space="preserve"> чл. 10б, ал. 6 от Закона за пътищата, съгласно който се предвижда и диференциране на </w:t>
      </w:r>
      <w:r>
        <w:rPr>
          <w:rFonts w:eastAsia="Times New Roman" w:cs="Times New Roman"/>
        </w:rPr>
        <w:t>ТОЛ</w:t>
      </w:r>
      <w:r w:rsidRPr="00080EAC">
        <w:rPr>
          <w:rFonts w:eastAsia="Times New Roman" w:cs="Times New Roman"/>
        </w:rPr>
        <w:t xml:space="preserve"> таксите в зависимост от клас емисии СО2</w:t>
      </w:r>
      <w:r w:rsidR="009D37DC">
        <w:rPr>
          <w:rStyle w:val="FootnoteReference"/>
          <w:rFonts w:eastAsia="Times New Roman"/>
        </w:rPr>
        <w:footnoteReference w:id="19"/>
      </w:r>
      <w:r w:rsidRPr="00080EAC">
        <w:rPr>
          <w:rFonts w:eastAsia="Times New Roman" w:cs="Times New Roman"/>
        </w:rPr>
        <w:t xml:space="preserve"> и специфични емисии СО2 на пътните превозни средства. Техният първоначален ефект е отразен през 2026 г., като за следващите години размерът им се запазва.</w:t>
      </w:r>
    </w:p>
    <w:p w14:paraId="561B29AB" w14:textId="77777777" w:rsidR="00A5026A" w:rsidRPr="00081792" w:rsidRDefault="009D37DC" w:rsidP="00A5026A">
      <w:pPr>
        <w:rPr>
          <w:rFonts w:eastAsia="Times New Roman" w:cs="Times New Roman"/>
        </w:rPr>
      </w:pPr>
      <w:r>
        <w:rPr>
          <w:rFonts w:eastAsia="Times New Roman" w:cs="Times New Roman"/>
        </w:rPr>
        <w:t>Предвижданите промени</w:t>
      </w:r>
      <w:r w:rsidR="00A5026A" w:rsidRPr="00081792">
        <w:rPr>
          <w:rFonts w:eastAsia="Times New Roman" w:cs="Times New Roman"/>
        </w:rPr>
        <w:t xml:space="preserve"> в чл. 30, ал. 3 и ал. 4 от Закона за хазарта</w:t>
      </w:r>
      <w:r w:rsidR="00A5026A">
        <w:rPr>
          <w:rFonts w:eastAsia="Times New Roman" w:cs="Times New Roman"/>
        </w:rPr>
        <w:t xml:space="preserve">, свързани с </w:t>
      </w:r>
      <w:r w:rsidR="00A5026A" w:rsidRPr="009C2A3E">
        <w:rPr>
          <w:rFonts w:eastAsia="Times New Roman" w:cs="Times New Roman"/>
        </w:rPr>
        <w:t xml:space="preserve">увеличаване </w:t>
      </w:r>
      <w:r w:rsidR="00A5026A" w:rsidRPr="00081792">
        <w:rPr>
          <w:rFonts w:eastAsia="Times New Roman" w:cs="Times New Roman"/>
        </w:rPr>
        <w:t xml:space="preserve"> </w:t>
      </w:r>
      <w:r w:rsidR="00A5026A">
        <w:rPr>
          <w:rFonts w:eastAsia="Times New Roman" w:cs="Times New Roman"/>
        </w:rPr>
        <w:t xml:space="preserve">на </w:t>
      </w:r>
      <w:r w:rsidR="00A5026A" w:rsidRPr="00081792">
        <w:rPr>
          <w:rFonts w:eastAsia="Times New Roman" w:cs="Times New Roman"/>
        </w:rPr>
        <w:t xml:space="preserve">променливата </w:t>
      </w:r>
      <w:r w:rsidR="004C2F4E">
        <w:rPr>
          <w:rFonts w:eastAsia="Times New Roman" w:cs="Times New Roman"/>
        </w:rPr>
        <w:t>част</w:t>
      </w:r>
      <w:r w:rsidR="00A5026A" w:rsidRPr="00081792">
        <w:rPr>
          <w:rFonts w:eastAsia="Times New Roman" w:cs="Times New Roman"/>
        </w:rPr>
        <w:t xml:space="preserve"> на такс</w:t>
      </w:r>
      <w:r w:rsidR="00A5026A">
        <w:rPr>
          <w:rFonts w:eastAsia="Times New Roman" w:cs="Times New Roman"/>
        </w:rPr>
        <w:t>ите</w:t>
      </w:r>
      <w:r w:rsidR="00A5026A" w:rsidRPr="00081792">
        <w:rPr>
          <w:rFonts w:eastAsia="Times New Roman" w:cs="Times New Roman"/>
        </w:rPr>
        <w:t xml:space="preserve"> от </w:t>
      </w:r>
      <w:r w:rsidR="00A5026A" w:rsidRPr="007D1ADD">
        <w:rPr>
          <w:rFonts w:eastAsia="Times New Roman" w:cs="Times New Roman"/>
        </w:rPr>
        <w:t xml:space="preserve">20 на </w:t>
      </w:r>
      <w:r w:rsidR="00A5026A" w:rsidRPr="00222474">
        <w:rPr>
          <w:rFonts w:eastAsia="Times New Roman" w:cs="Times New Roman"/>
        </w:rPr>
        <w:t>сто на 2</w:t>
      </w:r>
      <w:r w:rsidR="005B48AD">
        <w:rPr>
          <w:rFonts w:eastAsia="Times New Roman" w:cs="Times New Roman"/>
        </w:rPr>
        <w:t>2</w:t>
      </w:r>
      <w:r w:rsidR="00A5026A" w:rsidRPr="00222474">
        <w:rPr>
          <w:rFonts w:eastAsia="Times New Roman" w:cs="Times New Roman"/>
        </w:rPr>
        <w:t xml:space="preserve"> на сто, считано от 1 </w:t>
      </w:r>
      <w:r w:rsidR="00A5026A" w:rsidRPr="00222474">
        <w:rPr>
          <w:rFonts w:eastAsia="Times New Roman" w:cs="Times New Roman"/>
        </w:rPr>
        <w:lastRenderedPageBreak/>
        <w:t xml:space="preserve">януари 2026 г., се очаква да доведат до допълнителни приходи от </w:t>
      </w:r>
      <w:r w:rsidR="005B48AD" w:rsidRPr="005B48AD">
        <w:rPr>
          <w:rFonts w:eastAsia="Times New Roman" w:cs="Times New Roman"/>
        </w:rPr>
        <w:t>12,8</w:t>
      </w:r>
      <w:r w:rsidR="00A5026A" w:rsidRPr="00222474">
        <w:rPr>
          <w:rFonts w:eastAsia="Times New Roman" w:cs="Times New Roman"/>
        </w:rPr>
        <w:t xml:space="preserve"> млн. евро п</w:t>
      </w:r>
      <w:r w:rsidR="00A5026A">
        <w:rPr>
          <w:rFonts w:eastAsia="Times New Roman" w:cs="Times New Roman"/>
        </w:rPr>
        <w:t xml:space="preserve">рез 2026 г. </w:t>
      </w:r>
    </w:p>
    <w:p w14:paraId="6B1A5FB5" w14:textId="77777777" w:rsidR="003A3DDB" w:rsidRPr="00615B9C" w:rsidRDefault="00A5026A" w:rsidP="00A5026A">
      <w:pPr>
        <w:rPr>
          <w:rFonts w:eastAsia="Times New Roman" w:cs="Times New Roman"/>
        </w:rPr>
      </w:pPr>
      <w:r w:rsidRPr="00F54D68">
        <w:rPr>
          <w:rFonts w:eastAsia="Times New Roman" w:cs="Times New Roman"/>
        </w:rPr>
        <w:t xml:space="preserve">Във връзка с продължаване действието на програми и мерки за смекчаване на икономическите последици от нестабилността на цените на електрическата енергия и природния газ за небитови крайни клиенти и за предоставяне на компенсации чрез крайния снабдител, покриващи част от разходите за електрическа енергия на битовите крайни клиенти, се предвижда през 2026 г. да постъпят приходи от целеви вноски от производителите и търговците на ел. енергия в размер на 281,9 млн. евро, което е отразено в приходите по бюджета на фонд „Сигурност на електроенергийната система“. Ефектът в приходите от целеви вноски от производители и търговци на ел. енергия за финансиране на програмите и мерките в областта на енергетиката за смекчаване на икономическите последици от нестабилността на цените на електрическата енергия и природния газ e оценен на намаление в приходите с 19,8 млн. евро през 2026 г. спрямо 2025 г. </w:t>
      </w:r>
    </w:p>
    <w:p w14:paraId="6DD693BE" w14:textId="77777777" w:rsidR="001844FB" w:rsidRDefault="00AA1D2F" w:rsidP="00EA454B">
      <w:pPr>
        <w:pStyle w:val="Caption"/>
        <w:spacing w:after="200"/>
      </w:pPr>
      <w:bookmarkStart w:id="222" w:name="_Toc213229061"/>
      <w:r w:rsidRPr="00E22ABD">
        <w:t xml:space="preserve">Табл. </w:t>
      </w:r>
      <w:r w:rsidRPr="006C3BD1">
        <w:fldChar w:fldCharType="begin"/>
      </w:r>
      <w:r w:rsidRPr="00E22ABD">
        <w:instrText xml:space="preserve"> STYLEREF 1 \s </w:instrText>
      </w:r>
      <w:r w:rsidRPr="006C3BD1">
        <w:fldChar w:fldCharType="separate"/>
      </w:r>
      <w:r w:rsidR="00841DFA">
        <w:rPr>
          <w:noProof/>
        </w:rPr>
        <w:t>II</w:t>
      </w:r>
      <w:r w:rsidRPr="006C3BD1">
        <w:fldChar w:fldCharType="end"/>
      </w:r>
      <w:r w:rsidRPr="00E22ABD">
        <w:noBreakHyphen/>
      </w:r>
      <w:r w:rsidRPr="006C3BD1">
        <w:fldChar w:fldCharType="begin"/>
      </w:r>
      <w:r w:rsidRPr="00E22ABD">
        <w:instrText xml:space="preserve"> SEQ Табл. \* ARABIC \s 1 </w:instrText>
      </w:r>
      <w:r w:rsidRPr="006C3BD1">
        <w:fldChar w:fldCharType="separate"/>
      </w:r>
      <w:r w:rsidR="00841DFA">
        <w:rPr>
          <w:noProof/>
        </w:rPr>
        <w:t>9</w:t>
      </w:r>
      <w:r w:rsidRPr="006C3BD1">
        <w:fldChar w:fldCharType="end"/>
      </w:r>
      <w:r w:rsidRPr="00006A45">
        <w:t>:</w:t>
      </w:r>
      <w:r w:rsidRPr="00006A45">
        <w:tab/>
      </w:r>
      <w:proofErr w:type="spellStart"/>
      <w:r w:rsidRPr="00E22ABD">
        <w:t>Дискреционни</w:t>
      </w:r>
      <w:proofErr w:type="spellEnd"/>
      <w:r w:rsidRPr="00E22ABD">
        <w:t xml:space="preserve"> приходни мерки на начислена основа</w:t>
      </w:r>
      <w:r w:rsidRPr="00615B9C">
        <w:t xml:space="preserve">, млн. </w:t>
      </w:r>
      <w:r w:rsidR="00615B9C" w:rsidRPr="00615B9C">
        <w:t>евро</w:t>
      </w:r>
      <w:bookmarkEnd w:id="222"/>
    </w:p>
    <w:tbl>
      <w:tblPr>
        <w:tblW w:w="9151" w:type="dxa"/>
        <w:tblCellMar>
          <w:left w:w="70" w:type="dxa"/>
          <w:right w:w="70" w:type="dxa"/>
        </w:tblCellMar>
        <w:tblLook w:val="04A0" w:firstRow="1" w:lastRow="0" w:firstColumn="1" w:lastColumn="0" w:noHBand="0" w:noVBand="1"/>
      </w:tblPr>
      <w:tblGrid>
        <w:gridCol w:w="6521"/>
        <w:gridCol w:w="890"/>
        <w:gridCol w:w="880"/>
        <w:gridCol w:w="860"/>
      </w:tblGrid>
      <w:tr w:rsidR="001844FB" w:rsidRPr="002B4030" w14:paraId="3E7DBFC2" w14:textId="77777777" w:rsidTr="00EC6CB1">
        <w:trPr>
          <w:trHeight w:val="540"/>
        </w:trPr>
        <w:tc>
          <w:tcPr>
            <w:tcW w:w="6521" w:type="dxa"/>
            <w:tcBorders>
              <w:top w:val="single" w:sz="4" w:space="0" w:color="595959"/>
              <w:left w:val="nil"/>
              <w:bottom w:val="single" w:sz="4" w:space="0" w:color="auto"/>
              <w:right w:val="nil"/>
            </w:tcBorders>
            <w:shd w:val="clear" w:color="000000" w:fill="D9D9D9"/>
            <w:vAlign w:val="center"/>
            <w:hideMark/>
          </w:tcPr>
          <w:p w14:paraId="5BEEDCED" w14:textId="77777777" w:rsidR="001844FB" w:rsidRPr="002B4030" w:rsidRDefault="001844FB" w:rsidP="00EC6CB1">
            <w:pPr>
              <w:spacing w:after="0"/>
              <w:rPr>
                <w:rFonts w:eastAsia="Times New Roman" w:cs="Times New Roman"/>
                <w:b/>
                <w:bCs/>
                <w:color w:val="000000"/>
                <w:sz w:val="20"/>
                <w:szCs w:val="20"/>
              </w:rPr>
            </w:pPr>
            <w:r w:rsidRPr="002B4030">
              <w:rPr>
                <w:rFonts w:eastAsia="Times New Roman" w:cs="Times New Roman"/>
                <w:b/>
                <w:bCs/>
                <w:color w:val="000000"/>
                <w:sz w:val="20"/>
                <w:szCs w:val="20"/>
              </w:rPr>
              <w:t>Приходни мерки - изменение спрямо предходна година</w:t>
            </w:r>
          </w:p>
        </w:tc>
        <w:tc>
          <w:tcPr>
            <w:tcW w:w="890" w:type="dxa"/>
            <w:tcBorders>
              <w:top w:val="single" w:sz="4" w:space="0" w:color="595959"/>
              <w:left w:val="nil"/>
              <w:bottom w:val="single" w:sz="4" w:space="0" w:color="auto"/>
              <w:right w:val="nil"/>
            </w:tcBorders>
            <w:shd w:val="clear" w:color="000000" w:fill="D9D9D9"/>
            <w:noWrap/>
            <w:vAlign w:val="center"/>
            <w:hideMark/>
          </w:tcPr>
          <w:p w14:paraId="759E6881" w14:textId="77777777" w:rsidR="001844FB" w:rsidRPr="002B4030" w:rsidRDefault="001844FB" w:rsidP="00EC6CB1">
            <w:pPr>
              <w:spacing w:after="0"/>
              <w:jc w:val="center"/>
              <w:rPr>
                <w:rFonts w:eastAsia="Times New Roman" w:cs="Times New Roman"/>
                <w:b/>
                <w:bCs/>
                <w:color w:val="000000"/>
                <w:sz w:val="20"/>
                <w:szCs w:val="20"/>
              </w:rPr>
            </w:pPr>
            <w:r w:rsidRPr="002B4030">
              <w:rPr>
                <w:rFonts w:eastAsia="Times New Roman" w:cs="Times New Roman"/>
                <w:b/>
                <w:bCs/>
                <w:color w:val="000000"/>
                <w:sz w:val="20"/>
                <w:szCs w:val="20"/>
              </w:rPr>
              <w:t>2026 г.</w:t>
            </w:r>
          </w:p>
        </w:tc>
        <w:tc>
          <w:tcPr>
            <w:tcW w:w="880" w:type="dxa"/>
            <w:tcBorders>
              <w:top w:val="single" w:sz="4" w:space="0" w:color="595959"/>
              <w:left w:val="nil"/>
              <w:bottom w:val="single" w:sz="4" w:space="0" w:color="auto"/>
              <w:right w:val="nil"/>
            </w:tcBorders>
            <w:shd w:val="clear" w:color="000000" w:fill="D9D9D9"/>
            <w:noWrap/>
            <w:vAlign w:val="center"/>
            <w:hideMark/>
          </w:tcPr>
          <w:p w14:paraId="591C1918" w14:textId="77777777" w:rsidR="001844FB" w:rsidRPr="002B4030" w:rsidRDefault="001844FB" w:rsidP="00EC6CB1">
            <w:pPr>
              <w:spacing w:after="0"/>
              <w:jc w:val="center"/>
              <w:rPr>
                <w:rFonts w:eastAsia="Times New Roman" w:cs="Times New Roman"/>
                <w:b/>
                <w:bCs/>
                <w:color w:val="000000"/>
                <w:sz w:val="20"/>
                <w:szCs w:val="20"/>
              </w:rPr>
            </w:pPr>
            <w:r w:rsidRPr="002B4030">
              <w:rPr>
                <w:rFonts w:eastAsia="Times New Roman" w:cs="Times New Roman"/>
                <w:b/>
                <w:bCs/>
                <w:color w:val="000000"/>
                <w:sz w:val="20"/>
                <w:szCs w:val="20"/>
              </w:rPr>
              <w:t>2027 г.</w:t>
            </w:r>
          </w:p>
        </w:tc>
        <w:tc>
          <w:tcPr>
            <w:tcW w:w="860" w:type="dxa"/>
            <w:tcBorders>
              <w:top w:val="single" w:sz="4" w:space="0" w:color="595959"/>
              <w:left w:val="nil"/>
              <w:bottom w:val="single" w:sz="4" w:space="0" w:color="auto"/>
              <w:right w:val="nil"/>
            </w:tcBorders>
            <w:shd w:val="clear" w:color="000000" w:fill="D9D9D9"/>
            <w:noWrap/>
            <w:vAlign w:val="center"/>
            <w:hideMark/>
          </w:tcPr>
          <w:p w14:paraId="25FB8DDB" w14:textId="77777777" w:rsidR="001844FB" w:rsidRPr="002B4030" w:rsidRDefault="001844FB" w:rsidP="00EC6CB1">
            <w:pPr>
              <w:spacing w:after="0"/>
              <w:jc w:val="center"/>
              <w:rPr>
                <w:rFonts w:eastAsia="Times New Roman" w:cs="Times New Roman"/>
                <w:b/>
                <w:bCs/>
                <w:color w:val="000000"/>
                <w:sz w:val="20"/>
                <w:szCs w:val="20"/>
              </w:rPr>
            </w:pPr>
            <w:r w:rsidRPr="002B4030">
              <w:rPr>
                <w:rFonts w:eastAsia="Times New Roman" w:cs="Times New Roman"/>
                <w:b/>
                <w:bCs/>
                <w:color w:val="000000"/>
                <w:sz w:val="20"/>
                <w:szCs w:val="20"/>
              </w:rPr>
              <w:t>2028 г.</w:t>
            </w:r>
          </w:p>
        </w:tc>
      </w:tr>
      <w:tr w:rsidR="001844FB" w:rsidRPr="002B4030" w14:paraId="03A18230" w14:textId="77777777" w:rsidTr="00EC6CB1">
        <w:trPr>
          <w:trHeight w:val="765"/>
        </w:trPr>
        <w:tc>
          <w:tcPr>
            <w:tcW w:w="6521" w:type="dxa"/>
            <w:tcBorders>
              <w:top w:val="single" w:sz="4" w:space="0" w:color="auto"/>
              <w:left w:val="nil"/>
              <w:bottom w:val="nil"/>
              <w:right w:val="nil"/>
            </w:tcBorders>
            <w:shd w:val="clear" w:color="auto" w:fill="auto"/>
            <w:vAlign w:val="center"/>
            <w:hideMark/>
          </w:tcPr>
          <w:p w14:paraId="79324DF7"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Мерки за повишаване на събираемостта на приходите в областта на фискалния контрол, в т.ч. усъвършенстване на фискалния контрол и разширяване на списъка на стоките с висок фискален риск</w:t>
            </w:r>
          </w:p>
        </w:tc>
        <w:tc>
          <w:tcPr>
            <w:tcW w:w="890" w:type="dxa"/>
            <w:tcBorders>
              <w:top w:val="single" w:sz="4" w:space="0" w:color="auto"/>
              <w:left w:val="nil"/>
              <w:bottom w:val="nil"/>
              <w:right w:val="nil"/>
            </w:tcBorders>
            <w:shd w:val="clear" w:color="auto" w:fill="auto"/>
            <w:vAlign w:val="center"/>
            <w:hideMark/>
          </w:tcPr>
          <w:p w14:paraId="19E5EA6E"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878,5</w:t>
            </w:r>
          </w:p>
        </w:tc>
        <w:tc>
          <w:tcPr>
            <w:tcW w:w="880" w:type="dxa"/>
            <w:tcBorders>
              <w:top w:val="single" w:sz="4" w:space="0" w:color="auto"/>
              <w:left w:val="nil"/>
              <w:bottom w:val="nil"/>
              <w:right w:val="nil"/>
            </w:tcBorders>
            <w:shd w:val="clear" w:color="auto" w:fill="auto"/>
            <w:vAlign w:val="center"/>
            <w:hideMark/>
          </w:tcPr>
          <w:p w14:paraId="245F2E71" w14:textId="77777777" w:rsidR="001844FB" w:rsidRPr="002B4030" w:rsidRDefault="001844FB" w:rsidP="00EC6CB1">
            <w:pPr>
              <w:spacing w:after="0"/>
              <w:ind w:firstLineChars="100" w:firstLine="200"/>
              <w:jc w:val="right"/>
              <w:rPr>
                <w:rFonts w:eastAsia="Times New Roman" w:cs="Times New Roman"/>
                <w:sz w:val="20"/>
                <w:szCs w:val="20"/>
              </w:rPr>
            </w:pPr>
          </w:p>
        </w:tc>
        <w:tc>
          <w:tcPr>
            <w:tcW w:w="860" w:type="dxa"/>
            <w:tcBorders>
              <w:top w:val="single" w:sz="4" w:space="0" w:color="auto"/>
              <w:left w:val="nil"/>
              <w:bottom w:val="nil"/>
              <w:right w:val="nil"/>
            </w:tcBorders>
            <w:shd w:val="clear" w:color="auto" w:fill="auto"/>
            <w:vAlign w:val="center"/>
            <w:hideMark/>
          </w:tcPr>
          <w:p w14:paraId="72856C88" w14:textId="77777777" w:rsidR="001844FB" w:rsidRPr="002B4030" w:rsidRDefault="001844FB" w:rsidP="00EC6CB1">
            <w:pPr>
              <w:spacing w:after="0"/>
              <w:ind w:firstLineChars="100" w:firstLine="200"/>
              <w:jc w:val="right"/>
              <w:rPr>
                <w:rFonts w:eastAsia="Times New Roman" w:cs="Times New Roman"/>
                <w:sz w:val="20"/>
                <w:szCs w:val="20"/>
              </w:rPr>
            </w:pPr>
          </w:p>
        </w:tc>
      </w:tr>
      <w:tr w:rsidR="001844FB" w:rsidRPr="002B4030" w14:paraId="2A317DE9" w14:textId="77777777" w:rsidTr="00EC6CB1">
        <w:trPr>
          <w:trHeight w:val="765"/>
        </w:trPr>
        <w:tc>
          <w:tcPr>
            <w:tcW w:w="6521" w:type="dxa"/>
            <w:tcBorders>
              <w:top w:val="nil"/>
              <w:left w:val="nil"/>
              <w:bottom w:val="nil"/>
              <w:right w:val="nil"/>
            </w:tcBorders>
            <w:shd w:val="clear" w:color="auto" w:fill="auto"/>
            <w:vAlign w:val="center"/>
            <w:hideMark/>
          </w:tcPr>
          <w:p w14:paraId="660C2AC0"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Разширяване на системата за електронно проследяване на движението на транспортните средства, превозващи стоки с висок фискален риск, чрез GPS устройства и мобилно приложение</w:t>
            </w:r>
          </w:p>
        </w:tc>
        <w:tc>
          <w:tcPr>
            <w:tcW w:w="890" w:type="dxa"/>
            <w:tcBorders>
              <w:top w:val="nil"/>
              <w:left w:val="nil"/>
              <w:bottom w:val="nil"/>
              <w:right w:val="nil"/>
            </w:tcBorders>
            <w:shd w:val="clear" w:color="auto" w:fill="auto"/>
            <w:vAlign w:val="center"/>
            <w:hideMark/>
          </w:tcPr>
          <w:p w14:paraId="7BD0F43E"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550,0</w:t>
            </w:r>
          </w:p>
        </w:tc>
        <w:tc>
          <w:tcPr>
            <w:tcW w:w="880" w:type="dxa"/>
            <w:tcBorders>
              <w:top w:val="nil"/>
              <w:left w:val="nil"/>
              <w:bottom w:val="nil"/>
              <w:right w:val="nil"/>
            </w:tcBorders>
            <w:shd w:val="clear" w:color="auto" w:fill="auto"/>
            <w:vAlign w:val="center"/>
            <w:hideMark/>
          </w:tcPr>
          <w:p w14:paraId="1A36EF54" w14:textId="77777777" w:rsidR="001844FB" w:rsidRPr="002B4030" w:rsidRDefault="001844FB" w:rsidP="00EC6CB1">
            <w:pPr>
              <w:spacing w:after="0"/>
              <w:ind w:firstLineChars="100" w:firstLine="200"/>
              <w:jc w:val="right"/>
              <w:rPr>
                <w:rFonts w:eastAsia="Times New Roman" w:cs="Times New Roman"/>
                <w:sz w:val="20"/>
                <w:szCs w:val="20"/>
              </w:rPr>
            </w:pPr>
          </w:p>
        </w:tc>
        <w:tc>
          <w:tcPr>
            <w:tcW w:w="860" w:type="dxa"/>
            <w:tcBorders>
              <w:top w:val="nil"/>
              <w:left w:val="nil"/>
              <w:bottom w:val="nil"/>
              <w:right w:val="nil"/>
            </w:tcBorders>
            <w:shd w:val="clear" w:color="auto" w:fill="auto"/>
            <w:vAlign w:val="center"/>
            <w:hideMark/>
          </w:tcPr>
          <w:p w14:paraId="48882648" w14:textId="77777777" w:rsidR="001844FB" w:rsidRPr="002B4030" w:rsidRDefault="001844FB" w:rsidP="00EC6CB1">
            <w:pPr>
              <w:spacing w:after="0"/>
              <w:ind w:firstLineChars="100" w:firstLine="200"/>
              <w:jc w:val="right"/>
              <w:rPr>
                <w:rFonts w:eastAsia="Times New Roman" w:cs="Times New Roman"/>
                <w:sz w:val="20"/>
                <w:szCs w:val="20"/>
              </w:rPr>
            </w:pPr>
          </w:p>
        </w:tc>
      </w:tr>
      <w:tr w:rsidR="001844FB" w:rsidRPr="002B4030" w14:paraId="6EB23012" w14:textId="77777777" w:rsidTr="00EC6CB1">
        <w:trPr>
          <w:trHeight w:val="510"/>
        </w:trPr>
        <w:tc>
          <w:tcPr>
            <w:tcW w:w="6521" w:type="dxa"/>
            <w:tcBorders>
              <w:top w:val="nil"/>
              <w:left w:val="nil"/>
              <w:bottom w:val="nil"/>
              <w:right w:val="nil"/>
            </w:tcBorders>
            <w:shd w:val="clear" w:color="auto" w:fill="auto"/>
            <w:vAlign w:val="center"/>
            <w:hideMark/>
          </w:tcPr>
          <w:p w14:paraId="47B820BF"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Вдигане на</w:t>
            </w:r>
            <w:r>
              <w:rPr>
                <w:rFonts w:eastAsia="Times New Roman" w:cs="Times New Roman"/>
                <w:sz w:val="20"/>
                <w:szCs w:val="20"/>
              </w:rPr>
              <w:t xml:space="preserve"> осигурителните вноски за фонд „Пенсии“</w:t>
            </w:r>
            <w:r w:rsidRPr="002B4030">
              <w:rPr>
                <w:rFonts w:eastAsia="Times New Roman" w:cs="Times New Roman"/>
                <w:sz w:val="20"/>
                <w:szCs w:val="20"/>
              </w:rPr>
              <w:t xml:space="preserve"> с 1 </w:t>
            </w:r>
            <w:proofErr w:type="spellStart"/>
            <w:r w:rsidRPr="002B4030">
              <w:rPr>
                <w:rFonts w:eastAsia="Times New Roman" w:cs="Times New Roman"/>
                <w:sz w:val="20"/>
                <w:szCs w:val="20"/>
              </w:rPr>
              <w:t>п</w:t>
            </w:r>
            <w:r>
              <w:rPr>
                <w:rFonts w:eastAsia="Times New Roman" w:cs="Times New Roman"/>
                <w:sz w:val="20"/>
                <w:szCs w:val="20"/>
              </w:rPr>
              <w:t>р</w:t>
            </w:r>
            <w:r w:rsidRPr="002B4030">
              <w:rPr>
                <w:rFonts w:eastAsia="Times New Roman" w:cs="Times New Roman"/>
                <w:sz w:val="20"/>
                <w:szCs w:val="20"/>
              </w:rPr>
              <w:t>.п</w:t>
            </w:r>
            <w:proofErr w:type="spellEnd"/>
            <w:r w:rsidRPr="002B4030">
              <w:rPr>
                <w:rFonts w:eastAsia="Times New Roman" w:cs="Times New Roman"/>
                <w:sz w:val="20"/>
                <w:szCs w:val="20"/>
              </w:rPr>
              <w:t xml:space="preserve">. от 1 януари 2027 г. и с 2 </w:t>
            </w:r>
            <w:proofErr w:type="spellStart"/>
            <w:r w:rsidRPr="002B4030">
              <w:rPr>
                <w:rFonts w:eastAsia="Times New Roman" w:cs="Times New Roman"/>
                <w:sz w:val="20"/>
                <w:szCs w:val="20"/>
              </w:rPr>
              <w:t>п</w:t>
            </w:r>
            <w:r>
              <w:rPr>
                <w:rFonts w:eastAsia="Times New Roman" w:cs="Times New Roman"/>
                <w:sz w:val="20"/>
                <w:szCs w:val="20"/>
              </w:rPr>
              <w:t>р</w:t>
            </w:r>
            <w:r w:rsidRPr="002B4030">
              <w:rPr>
                <w:rFonts w:eastAsia="Times New Roman" w:cs="Times New Roman"/>
                <w:sz w:val="20"/>
                <w:szCs w:val="20"/>
              </w:rPr>
              <w:t>.п</w:t>
            </w:r>
            <w:proofErr w:type="spellEnd"/>
            <w:r w:rsidRPr="002B4030">
              <w:rPr>
                <w:rFonts w:eastAsia="Times New Roman" w:cs="Times New Roman"/>
                <w:sz w:val="20"/>
                <w:szCs w:val="20"/>
              </w:rPr>
              <w:t xml:space="preserve">. от 1 януари 2028 г., без сектор </w:t>
            </w:r>
            <w:r>
              <w:rPr>
                <w:rFonts w:eastAsia="Times New Roman" w:cs="Times New Roman"/>
                <w:sz w:val="20"/>
                <w:szCs w:val="20"/>
              </w:rPr>
              <w:t>„Отбрана“</w:t>
            </w:r>
          </w:p>
        </w:tc>
        <w:tc>
          <w:tcPr>
            <w:tcW w:w="890" w:type="dxa"/>
            <w:tcBorders>
              <w:top w:val="nil"/>
              <w:left w:val="nil"/>
              <w:bottom w:val="nil"/>
              <w:right w:val="nil"/>
            </w:tcBorders>
            <w:shd w:val="clear" w:color="auto" w:fill="auto"/>
            <w:vAlign w:val="center"/>
            <w:hideMark/>
          </w:tcPr>
          <w:p w14:paraId="7DCD15B3" w14:textId="77777777" w:rsidR="001844FB" w:rsidRPr="002B4030" w:rsidRDefault="001844FB" w:rsidP="00EC6CB1">
            <w:pPr>
              <w:spacing w:after="0"/>
              <w:jc w:val="left"/>
              <w:rPr>
                <w:rFonts w:eastAsia="Times New Roman" w:cs="Times New Roman"/>
                <w:sz w:val="20"/>
                <w:szCs w:val="20"/>
              </w:rPr>
            </w:pPr>
          </w:p>
        </w:tc>
        <w:tc>
          <w:tcPr>
            <w:tcW w:w="880" w:type="dxa"/>
            <w:tcBorders>
              <w:top w:val="nil"/>
              <w:left w:val="nil"/>
              <w:bottom w:val="nil"/>
              <w:right w:val="nil"/>
            </w:tcBorders>
            <w:shd w:val="clear" w:color="auto" w:fill="auto"/>
            <w:vAlign w:val="center"/>
            <w:hideMark/>
          </w:tcPr>
          <w:p w14:paraId="3FC67DD2"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321,2</w:t>
            </w:r>
          </w:p>
        </w:tc>
        <w:tc>
          <w:tcPr>
            <w:tcW w:w="860" w:type="dxa"/>
            <w:tcBorders>
              <w:top w:val="nil"/>
              <w:left w:val="nil"/>
              <w:bottom w:val="nil"/>
              <w:right w:val="nil"/>
            </w:tcBorders>
            <w:shd w:val="clear" w:color="auto" w:fill="auto"/>
            <w:vAlign w:val="center"/>
            <w:hideMark/>
          </w:tcPr>
          <w:p w14:paraId="3CD5BCA1"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732,5</w:t>
            </w:r>
          </w:p>
        </w:tc>
      </w:tr>
      <w:tr w:rsidR="001844FB" w:rsidRPr="002B4030" w14:paraId="69CD71C2" w14:textId="77777777" w:rsidTr="00EC6CB1">
        <w:trPr>
          <w:trHeight w:val="510"/>
        </w:trPr>
        <w:tc>
          <w:tcPr>
            <w:tcW w:w="6521" w:type="dxa"/>
            <w:tcBorders>
              <w:top w:val="nil"/>
              <w:left w:val="nil"/>
              <w:bottom w:val="nil"/>
              <w:right w:val="nil"/>
            </w:tcBorders>
            <w:shd w:val="clear" w:color="auto" w:fill="auto"/>
            <w:vAlign w:val="center"/>
            <w:hideMark/>
          </w:tcPr>
          <w:p w14:paraId="44EB1C99"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 xml:space="preserve">Приходи от данъци върху доходите на физическите </w:t>
            </w:r>
            <w:proofErr w:type="spellStart"/>
            <w:r w:rsidRPr="002B4030">
              <w:rPr>
                <w:rFonts w:eastAsia="Times New Roman" w:cs="Times New Roman"/>
                <w:sz w:val="20"/>
                <w:szCs w:val="20"/>
              </w:rPr>
              <w:t>лиц</w:t>
            </w:r>
            <w:proofErr w:type="spellEnd"/>
            <w:r w:rsidRPr="002B4030">
              <w:rPr>
                <w:rFonts w:eastAsia="Times New Roman" w:cs="Times New Roman"/>
                <w:sz w:val="20"/>
                <w:szCs w:val="20"/>
              </w:rPr>
              <w:t xml:space="preserve"> в резултат на увеличаване на осигурителните вноски с 1 </w:t>
            </w:r>
            <w:proofErr w:type="spellStart"/>
            <w:r w:rsidRPr="002B4030">
              <w:rPr>
                <w:rFonts w:eastAsia="Times New Roman" w:cs="Times New Roman"/>
                <w:sz w:val="20"/>
                <w:szCs w:val="20"/>
              </w:rPr>
              <w:t>п</w:t>
            </w:r>
            <w:r>
              <w:rPr>
                <w:rFonts w:eastAsia="Times New Roman" w:cs="Times New Roman"/>
                <w:sz w:val="20"/>
                <w:szCs w:val="20"/>
              </w:rPr>
              <w:t>р</w:t>
            </w:r>
            <w:r w:rsidRPr="002B4030">
              <w:rPr>
                <w:rFonts w:eastAsia="Times New Roman" w:cs="Times New Roman"/>
                <w:sz w:val="20"/>
                <w:szCs w:val="20"/>
              </w:rPr>
              <w:t>.п</w:t>
            </w:r>
            <w:proofErr w:type="spellEnd"/>
            <w:r w:rsidRPr="002B4030">
              <w:rPr>
                <w:rFonts w:eastAsia="Times New Roman" w:cs="Times New Roman"/>
                <w:sz w:val="20"/>
                <w:szCs w:val="20"/>
              </w:rPr>
              <w:t xml:space="preserve">. от 1 януари 2027 г. и с 2 </w:t>
            </w:r>
            <w:proofErr w:type="spellStart"/>
            <w:r w:rsidRPr="002B4030">
              <w:rPr>
                <w:rFonts w:eastAsia="Times New Roman" w:cs="Times New Roman"/>
                <w:sz w:val="20"/>
                <w:szCs w:val="20"/>
              </w:rPr>
              <w:t>п</w:t>
            </w:r>
            <w:r>
              <w:rPr>
                <w:rFonts w:eastAsia="Times New Roman" w:cs="Times New Roman"/>
                <w:sz w:val="20"/>
                <w:szCs w:val="20"/>
              </w:rPr>
              <w:t>р</w:t>
            </w:r>
            <w:r w:rsidRPr="002B4030">
              <w:rPr>
                <w:rFonts w:eastAsia="Times New Roman" w:cs="Times New Roman"/>
                <w:sz w:val="20"/>
                <w:szCs w:val="20"/>
              </w:rPr>
              <w:t>.п</w:t>
            </w:r>
            <w:proofErr w:type="spellEnd"/>
            <w:r w:rsidRPr="002B4030">
              <w:rPr>
                <w:rFonts w:eastAsia="Times New Roman" w:cs="Times New Roman"/>
                <w:sz w:val="20"/>
                <w:szCs w:val="20"/>
              </w:rPr>
              <w:t>. от 1 януари 2028 г</w:t>
            </w:r>
          </w:p>
        </w:tc>
        <w:tc>
          <w:tcPr>
            <w:tcW w:w="890" w:type="dxa"/>
            <w:tcBorders>
              <w:top w:val="nil"/>
              <w:left w:val="nil"/>
              <w:bottom w:val="nil"/>
              <w:right w:val="nil"/>
            </w:tcBorders>
            <w:shd w:val="clear" w:color="auto" w:fill="auto"/>
            <w:vAlign w:val="center"/>
            <w:hideMark/>
          </w:tcPr>
          <w:p w14:paraId="0AB4EF61" w14:textId="77777777" w:rsidR="001844FB" w:rsidRPr="002B4030" w:rsidRDefault="001844FB" w:rsidP="00EC6CB1">
            <w:pPr>
              <w:spacing w:after="0"/>
              <w:jc w:val="left"/>
              <w:rPr>
                <w:rFonts w:eastAsia="Times New Roman" w:cs="Times New Roman"/>
                <w:sz w:val="20"/>
                <w:szCs w:val="20"/>
              </w:rPr>
            </w:pPr>
          </w:p>
        </w:tc>
        <w:tc>
          <w:tcPr>
            <w:tcW w:w="880" w:type="dxa"/>
            <w:tcBorders>
              <w:top w:val="nil"/>
              <w:left w:val="nil"/>
              <w:bottom w:val="nil"/>
              <w:right w:val="nil"/>
            </w:tcBorders>
            <w:shd w:val="clear" w:color="auto" w:fill="auto"/>
            <w:vAlign w:val="center"/>
            <w:hideMark/>
          </w:tcPr>
          <w:p w14:paraId="5A500EE3"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-12,1</w:t>
            </w:r>
          </w:p>
        </w:tc>
        <w:tc>
          <w:tcPr>
            <w:tcW w:w="860" w:type="dxa"/>
            <w:tcBorders>
              <w:top w:val="nil"/>
              <w:left w:val="nil"/>
              <w:bottom w:val="nil"/>
              <w:right w:val="nil"/>
            </w:tcBorders>
            <w:shd w:val="clear" w:color="auto" w:fill="auto"/>
            <w:vAlign w:val="center"/>
            <w:hideMark/>
          </w:tcPr>
          <w:p w14:paraId="4C581293"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-24,5</w:t>
            </w:r>
          </w:p>
        </w:tc>
      </w:tr>
      <w:tr w:rsidR="001844FB" w:rsidRPr="002B4030" w14:paraId="682E8243" w14:textId="77777777" w:rsidTr="00EC6CB1">
        <w:trPr>
          <w:trHeight w:val="445"/>
        </w:trPr>
        <w:tc>
          <w:tcPr>
            <w:tcW w:w="6521" w:type="dxa"/>
            <w:tcBorders>
              <w:top w:val="nil"/>
              <w:left w:val="nil"/>
              <w:bottom w:val="nil"/>
              <w:right w:val="nil"/>
            </w:tcBorders>
            <w:shd w:val="clear" w:color="auto" w:fill="auto"/>
            <w:vAlign w:val="center"/>
            <w:hideMark/>
          </w:tcPr>
          <w:p w14:paraId="09920FF3"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 xml:space="preserve">Приходи от осигурителни вноски в резултат на увеличение на максималния осигурителен доход </w:t>
            </w:r>
          </w:p>
        </w:tc>
        <w:tc>
          <w:tcPr>
            <w:tcW w:w="890" w:type="dxa"/>
            <w:tcBorders>
              <w:top w:val="nil"/>
              <w:left w:val="nil"/>
              <w:bottom w:val="nil"/>
              <w:right w:val="nil"/>
            </w:tcBorders>
            <w:shd w:val="clear" w:color="auto" w:fill="auto"/>
            <w:vAlign w:val="center"/>
            <w:hideMark/>
          </w:tcPr>
          <w:p w14:paraId="437A830B"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230,0</w:t>
            </w:r>
          </w:p>
        </w:tc>
        <w:tc>
          <w:tcPr>
            <w:tcW w:w="880" w:type="dxa"/>
            <w:tcBorders>
              <w:top w:val="nil"/>
              <w:left w:val="nil"/>
              <w:bottom w:val="nil"/>
              <w:right w:val="nil"/>
            </w:tcBorders>
            <w:shd w:val="clear" w:color="auto" w:fill="auto"/>
            <w:vAlign w:val="center"/>
            <w:hideMark/>
          </w:tcPr>
          <w:p w14:paraId="4E020574"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103,8</w:t>
            </w:r>
          </w:p>
        </w:tc>
        <w:tc>
          <w:tcPr>
            <w:tcW w:w="860" w:type="dxa"/>
            <w:tcBorders>
              <w:top w:val="nil"/>
              <w:left w:val="nil"/>
              <w:bottom w:val="nil"/>
              <w:right w:val="nil"/>
            </w:tcBorders>
            <w:shd w:val="clear" w:color="auto" w:fill="auto"/>
            <w:vAlign w:val="center"/>
            <w:hideMark/>
          </w:tcPr>
          <w:p w14:paraId="3E97FF6B"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93,2</w:t>
            </w:r>
          </w:p>
        </w:tc>
      </w:tr>
      <w:tr w:rsidR="001844FB" w:rsidRPr="002B4030" w14:paraId="0FF9208C" w14:textId="77777777" w:rsidTr="00EC6CB1">
        <w:trPr>
          <w:trHeight w:val="607"/>
        </w:trPr>
        <w:tc>
          <w:tcPr>
            <w:tcW w:w="6521" w:type="dxa"/>
            <w:tcBorders>
              <w:top w:val="nil"/>
              <w:left w:val="nil"/>
              <w:bottom w:val="nil"/>
              <w:right w:val="nil"/>
            </w:tcBorders>
            <w:shd w:val="clear" w:color="auto" w:fill="auto"/>
            <w:vAlign w:val="center"/>
            <w:hideMark/>
          </w:tcPr>
          <w:p w14:paraId="5B482EBD"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Приходи от данъци върху доходите на физическите лица в резултат на увеличение на максималния осигурителен доход</w:t>
            </w:r>
          </w:p>
        </w:tc>
        <w:tc>
          <w:tcPr>
            <w:tcW w:w="890" w:type="dxa"/>
            <w:tcBorders>
              <w:top w:val="nil"/>
              <w:left w:val="nil"/>
              <w:bottom w:val="nil"/>
              <w:right w:val="nil"/>
            </w:tcBorders>
            <w:shd w:val="clear" w:color="auto" w:fill="auto"/>
            <w:vAlign w:val="center"/>
            <w:hideMark/>
          </w:tcPr>
          <w:p w14:paraId="7B35DFCC"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w:t>
            </w:r>
            <w:r>
              <w:rPr>
                <w:rFonts w:eastAsia="Times New Roman" w:cs="Times New Roman"/>
                <w:sz w:val="20"/>
                <w:szCs w:val="20"/>
              </w:rPr>
              <w:t>7,5</w:t>
            </w:r>
          </w:p>
        </w:tc>
        <w:tc>
          <w:tcPr>
            <w:tcW w:w="880" w:type="dxa"/>
            <w:tcBorders>
              <w:top w:val="nil"/>
              <w:left w:val="nil"/>
              <w:bottom w:val="nil"/>
              <w:right w:val="nil"/>
            </w:tcBorders>
            <w:shd w:val="clear" w:color="auto" w:fill="auto"/>
            <w:vAlign w:val="center"/>
            <w:hideMark/>
          </w:tcPr>
          <w:p w14:paraId="5CD79ED3"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-5,3</w:t>
            </w:r>
          </w:p>
        </w:tc>
        <w:tc>
          <w:tcPr>
            <w:tcW w:w="860" w:type="dxa"/>
            <w:tcBorders>
              <w:top w:val="nil"/>
              <w:left w:val="nil"/>
              <w:bottom w:val="nil"/>
              <w:right w:val="nil"/>
            </w:tcBorders>
            <w:shd w:val="clear" w:color="auto" w:fill="auto"/>
            <w:vAlign w:val="center"/>
            <w:hideMark/>
          </w:tcPr>
          <w:p w14:paraId="56F4FF75"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-4,8</w:t>
            </w:r>
          </w:p>
        </w:tc>
      </w:tr>
      <w:tr w:rsidR="001844FB" w:rsidRPr="002B4030" w14:paraId="29A36683" w14:textId="77777777" w:rsidTr="00EC6CB1">
        <w:trPr>
          <w:trHeight w:val="510"/>
        </w:trPr>
        <w:tc>
          <w:tcPr>
            <w:tcW w:w="6521" w:type="dxa"/>
            <w:tcBorders>
              <w:top w:val="nil"/>
              <w:left w:val="nil"/>
              <w:bottom w:val="nil"/>
              <w:right w:val="nil"/>
            </w:tcBorders>
            <w:shd w:val="clear" w:color="auto" w:fill="auto"/>
            <w:vAlign w:val="center"/>
            <w:hideMark/>
          </w:tcPr>
          <w:p w14:paraId="636243B2" w14:textId="77777777" w:rsidR="001844FB" w:rsidRPr="00A56EEE" w:rsidRDefault="001844FB" w:rsidP="00EC6CB1">
            <w:pPr>
              <w:spacing w:after="0"/>
              <w:rPr>
                <w:rFonts w:eastAsia="Times New Roman" w:cs="Times New Roman"/>
                <w:sz w:val="20"/>
                <w:szCs w:val="20"/>
              </w:rPr>
            </w:pPr>
            <w:r w:rsidRPr="00A56EEE">
              <w:rPr>
                <w:rFonts w:eastAsia="Times New Roman" w:cs="Times New Roman"/>
                <w:sz w:val="20"/>
                <w:szCs w:val="20"/>
              </w:rPr>
              <w:t>Допълнителни приходи от осигурителни вноски в резултат на  увеличение с 10% на разходите за персонал на първостепенните разпоредители с бюджет</w:t>
            </w:r>
          </w:p>
        </w:tc>
        <w:tc>
          <w:tcPr>
            <w:tcW w:w="890" w:type="dxa"/>
            <w:tcBorders>
              <w:top w:val="nil"/>
              <w:left w:val="nil"/>
              <w:bottom w:val="nil"/>
              <w:right w:val="nil"/>
            </w:tcBorders>
            <w:shd w:val="clear" w:color="auto" w:fill="auto"/>
            <w:vAlign w:val="center"/>
            <w:hideMark/>
          </w:tcPr>
          <w:p w14:paraId="4BCBDD47" w14:textId="77777777" w:rsidR="001844FB" w:rsidRPr="00A56EEE" w:rsidRDefault="001844FB" w:rsidP="00EC6CB1">
            <w:pPr>
              <w:spacing w:after="0"/>
              <w:ind w:firstLineChars="100" w:firstLine="200"/>
              <w:jc w:val="right"/>
              <w:rPr>
                <w:rFonts w:eastAsia="Times New Roman" w:cs="Times New Roman"/>
                <w:sz w:val="20"/>
                <w:szCs w:val="20"/>
              </w:rPr>
            </w:pPr>
            <w:r w:rsidRPr="00A56EEE">
              <w:rPr>
                <w:rFonts w:eastAsia="Times New Roman" w:cs="Times New Roman"/>
                <w:sz w:val="20"/>
                <w:szCs w:val="20"/>
              </w:rPr>
              <w:t>168,8</w:t>
            </w:r>
          </w:p>
        </w:tc>
        <w:tc>
          <w:tcPr>
            <w:tcW w:w="880" w:type="dxa"/>
            <w:tcBorders>
              <w:top w:val="nil"/>
              <w:left w:val="nil"/>
              <w:bottom w:val="nil"/>
              <w:right w:val="nil"/>
            </w:tcBorders>
            <w:shd w:val="clear" w:color="auto" w:fill="auto"/>
            <w:vAlign w:val="center"/>
            <w:hideMark/>
          </w:tcPr>
          <w:p w14:paraId="66F4CFEC" w14:textId="77777777" w:rsidR="001844FB" w:rsidRPr="00A56EEE" w:rsidRDefault="001844FB" w:rsidP="00EC6CB1">
            <w:pPr>
              <w:spacing w:after="0"/>
              <w:ind w:firstLineChars="100" w:firstLine="200"/>
              <w:jc w:val="right"/>
              <w:rPr>
                <w:rFonts w:eastAsia="Times New Roman" w:cs="Times New Roman"/>
                <w:sz w:val="20"/>
                <w:szCs w:val="20"/>
              </w:rPr>
            </w:pPr>
          </w:p>
        </w:tc>
        <w:tc>
          <w:tcPr>
            <w:tcW w:w="860" w:type="dxa"/>
            <w:tcBorders>
              <w:top w:val="nil"/>
              <w:left w:val="nil"/>
              <w:bottom w:val="nil"/>
              <w:right w:val="nil"/>
            </w:tcBorders>
            <w:shd w:val="clear" w:color="auto" w:fill="auto"/>
            <w:vAlign w:val="center"/>
            <w:hideMark/>
          </w:tcPr>
          <w:p w14:paraId="58D9767C" w14:textId="77777777" w:rsidR="001844FB" w:rsidRPr="006B55B0" w:rsidRDefault="001844FB" w:rsidP="00EC6CB1">
            <w:pPr>
              <w:spacing w:after="0"/>
              <w:ind w:firstLineChars="100" w:firstLine="200"/>
              <w:jc w:val="right"/>
              <w:rPr>
                <w:rFonts w:eastAsia="Times New Roman" w:cs="Times New Roman"/>
                <w:sz w:val="20"/>
                <w:szCs w:val="20"/>
              </w:rPr>
            </w:pPr>
          </w:p>
        </w:tc>
      </w:tr>
      <w:tr w:rsidR="001844FB" w:rsidRPr="002B4030" w14:paraId="622EA30C" w14:textId="77777777" w:rsidTr="00EC6CB1">
        <w:trPr>
          <w:trHeight w:val="510"/>
        </w:trPr>
        <w:tc>
          <w:tcPr>
            <w:tcW w:w="6521" w:type="dxa"/>
            <w:tcBorders>
              <w:top w:val="nil"/>
              <w:left w:val="nil"/>
              <w:bottom w:val="nil"/>
              <w:right w:val="nil"/>
            </w:tcBorders>
            <w:shd w:val="clear" w:color="auto" w:fill="auto"/>
            <w:vAlign w:val="center"/>
            <w:hideMark/>
          </w:tcPr>
          <w:p w14:paraId="7CA085E7"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 xml:space="preserve">Приходите от акцизи от повишаването на акцизната ставка на тютюна и всички тютюневи изделия </w:t>
            </w:r>
          </w:p>
        </w:tc>
        <w:tc>
          <w:tcPr>
            <w:tcW w:w="890" w:type="dxa"/>
            <w:tcBorders>
              <w:top w:val="nil"/>
              <w:left w:val="nil"/>
              <w:bottom w:val="nil"/>
              <w:right w:val="nil"/>
            </w:tcBorders>
            <w:shd w:val="clear" w:color="auto" w:fill="auto"/>
            <w:vAlign w:val="center"/>
            <w:hideMark/>
          </w:tcPr>
          <w:p w14:paraId="353DF8B6"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129,9</w:t>
            </w:r>
          </w:p>
        </w:tc>
        <w:tc>
          <w:tcPr>
            <w:tcW w:w="880" w:type="dxa"/>
            <w:tcBorders>
              <w:top w:val="nil"/>
              <w:left w:val="nil"/>
              <w:bottom w:val="nil"/>
              <w:right w:val="nil"/>
            </w:tcBorders>
            <w:shd w:val="clear" w:color="auto" w:fill="auto"/>
            <w:vAlign w:val="center"/>
            <w:hideMark/>
          </w:tcPr>
          <w:p w14:paraId="257B3975"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82,6</w:t>
            </w:r>
          </w:p>
        </w:tc>
        <w:tc>
          <w:tcPr>
            <w:tcW w:w="860" w:type="dxa"/>
            <w:tcBorders>
              <w:top w:val="nil"/>
              <w:left w:val="nil"/>
              <w:bottom w:val="nil"/>
              <w:right w:val="nil"/>
            </w:tcBorders>
            <w:shd w:val="clear" w:color="auto" w:fill="auto"/>
            <w:vAlign w:val="center"/>
            <w:hideMark/>
          </w:tcPr>
          <w:p w14:paraId="03580118"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72,0</w:t>
            </w:r>
          </w:p>
        </w:tc>
      </w:tr>
      <w:tr w:rsidR="001844FB" w:rsidRPr="002B4030" w14:paraId="0809E20B" w14:textId="77777777" w:rsidTr="00EC6CB1">
        <w:trPr>
          <w:trHeight w:val="510"/>
        </w:trPr>
        <w:tc>
          <w:tcPr>
            <w:tcW w:w="6521" w:type="dxa"/>
            <w:tcBorders>
              <w:top w:val="nil"/>
              <w:left w:val="nil"/>
              <w:bottom w:val="nil"/>
              <w:right w:val="nil"/>
            </w:tcBorders>
            <w:shd w:val="clear" w:color="auto" w:fill="auto"/>
            <w:vAlign w:val="center"/>
            <w:hideMark/>
          </w:tcPr>
          <w:p w14:paraId="3231FF71"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 xml:space="preserve">Приходите от ДДС от повишаването на акцизната ставка на тютюна и всички тютюневи изделия </w:t>
            </w:r>
          </w:p>
        </w:tc>
        <w:tc>
          <w:tcPr>
            <w:tcW w:w="890" w:type="dxa"/>
            <w:tcBorders>
              <w:top w:val="nil"/>
              <w:left w:val="nil"/>
              <w:bottom w:val="nil"/>
              <w:right w:val="nil"/>
            </w:tcBorders>
            <w:shd w:val="clear" w:color="auto" w:fill="auto"/>
            <w:vAlign w:val="center"/>
            <w:hideMark/>
          </w:tcPr>
          <w:p w14:paraId="43216419"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26,0</w:t>
            </w:r>
          </w:p>
        </w:tc>
        <w:tc>
          <w:tcPr>
            <w:tcW w:w="880" w:type="dxa"/>
            <w:tcBorders>
              <w:top w:val="nil"/>
              <w:left w:val="nil"/>
              <w:bottom w:val="nil"/>
              <w:right w:val="nil"/>
            </w:tcBorders>
            <w:shd w:val="clear" w:color="auto" w:fill="auto"/>
            <w:vAlign w:val="center"/>
            <w:hideMark/>
          </w:tcPr>
          <w:p w14:paraId="7309E8F2"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16,5</w:t>
            </w:r>
          </w:p>
        </w:tc>
        <w:tc>
          <w:tcPr>
            <w:tcW w:w="860" w:type="dxa"/>
            <w:tcBorders>
              <w:top w:val="nil"/>
              <w:left w:val="nil"/>
              <w:bottom w:val="nil"/>
              <w:right w:val="nil"/>
            </w:tcBorders>
            <w:shd w:val="clear" w:color="auto" w:fill="auto"/>
            <w:vAlign w:val="center"/>
            <w:hideMark/>
          </w:tcPr>
          <w:p w14:paraId="5E3A9242"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14,4</w:t>
            </w:r>
          </w:p>
        </w:tc>
      </w:tr>
      <w:tr w:rsidR="001844FB" w:rsidRPr="002B4030" w14:paraId="484B50A3" w14:textId="77777777" w:rsidTr="00EC6CB1">
        <w:trPr>
          <w:trHeight w:val="300"/>
        </w:trPr>
        <w:tc>
          <w:tcPr>
            <w:tcW w:w="6521" w:type="dxa"/>
            <w:tcBorders>
              <w:top w:val="nil"/>
              <w:left w:val="nil"/>
              <w:bottom w:val="nil"/>
              <w:right w:val="nil"/>
            </w:tcBorders>
            <w:shd w:val="clear" w:color="auto" w:fill="auto"/>
            <w:vAlign w:val="center"/>
            <w:hideMark/>
          </w:tcPr>
          <w:p w14:paraId="7E318155"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Увеличение на приходите от оперирането на ТОЛ системата</w:t>
            </w:r>
          </w:p>
        </w:tc>
        <w:tc>
          <w:tcPr>
            <w:tcW w:w="890" w:type="dxa"/>
            <w:tcBorders>
              <w:top w:val="nil"/>
              <w:left w:val="nil"/>
              <w:bottom w:val="nil"/>
              <w:right w:val="nil"/>
            </w:tcBorders>
            <w:shd w:val="clear" w:color="auto" w:fill="auto"/>
            <w:vAlign w:val="center"/>
            <w:hideMark/>
          </w:tcPr>
          <w:p w14:paraId="4C3B82B4"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28,7</w:t>
            </w:r>
          </w:p>
        </w:tc>
        <w:tc>
          <w:tcPr>
            <w:tcW w:w="880" w:type="dxa"/>
            <w:tcBorders>
              <w:top w:val="nil"/>
              <w:left w:val="nil"/>
              <w:bottom w:val="nil"/>
              <w:right w:val="nil"/>
            </w:tcBorders>
            <w:shd w:val="clear" w:color="auto" w:fill="auto"/>
            <w:vAlign w:val="center"/>
            <w:hideMark/>
          </w:tcPr>
          <w:p w14:paraId="221211BA" w14:textId="77777777" w:rsidR="001844FB" w:rsidRPr="002B4030" w:rsidRDefault="001844FB" w:rsidP="00EC6CB1">
            <w:pPr>
              <w:spacing w:after="0"/>
              <w:ind w:firstLineChars="100" w:firstLine="200"/>
              <w:jc w:val="right"/>
              <w:rPr>
                <w:rFonts w:eastAsia="Times New Roman" w:cs="Times New Roman"/>
                <w:sz w:val="20"/>
                <w:szCs w:val="20"/>
              </w:rPr>
            </w:pPr>
          </w:p>
        </w:tc>
        <w:tc>
          <w:tcPr>
            <w:tcW w:w="860" w:type="dxa"/>
            <w:tcBorders>
              <w:top w:val="nil"/>
              <w:left w:val="nil"/>
              <w:bottom w:val="nil"/>
              <w:right w:val="nil"/>
            </w:tcBorders>
            <w:shd w:val="clear" w:color="auto" w:fill="auto"/>
            <w:vAlign w:val="center"/>
            <w:hideMark/>
          </w:tcPr>
          <w:p w14:paraId="2A3EDA59" w14:textId="77777777" w:rsidR="001844FB" w:rsidRPr="002B4030" w:rsidRDefault="001844FB" w:rsidP="00EC6CB1">
            <w:pPr>
              <w:spacing w:after="0"/>
              <w:ind w:firstLineChars="100" w:firstLine="200"/>
              <w:jc w:val="right"/>
              <w:rPr>
                <w:rFonts w:eastAsia="Times New Roman" w:cs="Times New Roman"/>
                <w:sz w:val="20"/>
                <w:szCs w:val="20"/>
              </w:rPr>
            </w:pPr>
          </w:p>
        </w:tc>
      </w:tr>
      <w:tr w:rsidR="001844FB" w:rsidRPr="002B4030" w14:paraId="5FACFFA1" w14:textId="77777777" w:rsidTr="00EC6CB1">
        <w:trPr>
          <w:trHeight w:val="510"/>
        </w:trPr>
        <w:tc>
          <w:tcPr>
            <w:tcW w:w="6521" w:type="dxa"/>
            <w:tcBorders>
              <w:top w:val="nil"/>
              <w:left w:val="nil"/>
              <w:bottom w:val="nil"/>
              <w:right w:val="nil"/>
            </w:tcBorders>
            <w:shd w:val="clear" w:color="auto" w:fill="auto"/>
            <w:vAlign w:val="center"/>
            <w:hideMark/>
          </w:tcPr>
          <w:p w14:paraId="0C6161EC" w14:textId="77777777" w:rsidR="001844FB" w:rsidRPr="002B4030" w:rsidRDefault="001844FB" w:rsidP="00EC6CB1">
            <w:pPr>
              <w:spacing w:after="0"/>
              <w:rPr>
                <w:rFonts w:eastAsia="Times New Roman" w:cs="Times New Roman"/>
                <w:sz w:val="20"/>
                <w:szCs w:val="20"/>
              </w:rPr>
            </w:pPr>
            <w:r>
              <w:rPr>
                <w:rFonts w:eastAsia="Times New Roman" w:cs="Times New Roman"/>
                <w:sz w:val="20"/>
                <w:szCs w:val="20"/>
              </w:rPr>
              <w:t>Диференциране на ТОЛ</w:t>
            </w:r>
            <w:r w:rsidRPr="002B4030">
              <w:rPr>
                <w:rFonts w:eastAsia="Times New Roman" w:cs="Times New Roman"/>
                <w:sz w:val="20"/>
                <w:szCs w:val="20"/>
              </w:rPr>
              <w:t xml:space="preserve"> таксите в зависимост от въглеродните емисии на пътните превозни средства</w:t>
            </w:r>
          </w:p>
        </w:tc>
        <w:tc>
          <w:tcPr>
            <w:tcW w:w="890" w:type="dxa"/>
            <w:tcBorders>
              <w:top w:val="nil"/>
              <w:left w:val="nil"/>
              <w:bottom w:val="nil"/>
              <w:right w:val="nil"/>
            </w:tcBorders>
            <w:shd w:val="clear" w:color="auto" w:fill="auto"/>
            <w:vAlign w:val="center"/>
            <w:hideMark/>
          </w:tcPr>
          <w:p w14:paraId="0EF65302"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66,5</w:t>
            </w:r>
          </w:p>
        </w:tc>
        <w:tc>
          <w:tcPr>
            <w:tcW w:w="880" w:type="dxa"/>
            <w:tcBorders>
              <w:top w:val="nil"/>
              <w:left w:val="nil"/>
              <w:bottom w:val="nil"/>
              <w:right w:val="nil"/>
            </w:tcBorders>
            <w:shd w:val="clear" w:color="auto" w:fill="auto"/>
            <w:vAlign w:val="center"/>
            <w:hideMark/>
          </w:tcPr>
          <w:p w14:paraId="1ADB3704" w14:textId="77777777" w:rsidR="001844FB" w:rsidRPr="002B4030" w:rsidRDefault="001844FB" w:rsidP="00EC6CB1">
            <w:pPr>
              <w:spacing w:after="0"/>
              <w:ind w:firstLineChars="100" w:firstLine="200"/>
              <w:jc w:val="right"/>
              <w:rPr>
                <w:rFonts w:eastAsia="Times New Roman" w:cs="Times New Roman"/>
                <w:sz w:val="20"/>
                <w:szCs w:val="20"/>
              </w:rPr>
            </w:pPr>
          </w:p>
        </w:tc>
        <w:tc>
          <w:tcPr>
            <w:tcW w:w="860" w:type="dxa"/>
            <w:tcBorders>
              <w:top w:val="nil"/>
              <w:left w:val="nil"/>
              <w:bottom w:val="nil"/>
              <w:right w:val="nil"/>
            </w:tcBorders>
            <w:shd w:val="clear" w:color="auto" w:fill="auto"/>
            <w:vAlign w:val="center"/>
            <w:hideMark/>
          </w:tcPr>
          <w:p w14:paraId="66DA4C46" w14:textId="77777777" w:rsidR="001844FB" w:rsidRPr="002B4030" w:rsidRDefault="001844FB" w:rsidP="00EC6CB1">
            <w:pPr>
              <w:spacing w:after="0"/>
              <w:ind w:firstLineChars="100" w:firstLine="200"/>
              <w:jc w:val="right"/>
              <w:rPr>
                <w:rFonts w:eastAsia="Times New Roman" w:cs="Times New Roman"/>
                <w:sz w:val="20"/>
                <w:szCs w:val="20"/>
              </w:rPr>
            </w:pPr>
          </w:p>
        </w:tc>
      </w:tr>
      <w:tr w:rsidR="001844FB" w:rsidRPr="002B4030" w14:paraId="7AEEF771" w14:textId="77777777" w:rsidTr="00EC6CB1">
        <w:trPr>
          <w:trHeight w:val="510"/>
        </w:trPr>
        <w:tc>
          <w:tcPr>
            <w:tcW w:w="6521" w:type="dxa"/>
            <w:tcBorders>
              <w:top w:val="nil"/>
              <w:left w:val="nil"/>
              <w:bottom w:val="nil"/>
              <w:right w:val="nil"/>
            </w:tcBorders>
            <w:shd w:val="clear" w:color="auto" w:fill="auto"/>
            <w:vAlign w:val="center"/>
            <w:hideMark/>
          </w:tcPr>
          <w:p w14:paraId="0AD7BA67"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Увеличение на променливата компонента на таксите и комисионните от хазартна дейност от 20 на 2</w:t>
            </w:r>
            <w:r>
              <w:rPr>
                <w:rFonts w:eastAsia="Times New Roman" w:cs="Times New Roman"/>
                <w:sz w:val="20"/>
                <w:szCs w:val="20"/>
              </w:rPr>
              <w:t>2</w:t>
            </w:r>
            <w:r w:rsidRPr="002B4030">
              <w:rPr>
                <w:rFonts w:eastAsia="Times New Roman" w:cs="Times New Roman"/>
                <w:sz w:val="20"/>
                <w:szCs w:val="20"/>
              </w:rPr>
              <w:t xml:space="preserve">% </w:t>
            </w:r>
          </w:p>
        </w:tc>
        <w:tc>
          <w:tcPr>
            <w:tcW w:w="890" w:type="dxa"/>
            <w:tcBorders>
              <w:top w:val="nil"/>
              <w:left w:val="nil"/>
              <w:bottom w:val="nil"/>
              <w:right w:val="nil"/>
            </w:tcBorders>
            <w:shd w:val="clear" w:color="auto" w:fill="auto"/>
            <w:vAlign w:val="center"/>
            <w:hideMark/>
          </w:tcPr>
          <w:p w14:paraId="1116BF03" w14:textId="77777777" w:rsidR="001844FB" w:rsidRPr="002B4030" w:rsidRDefault="001844FB" w:rsidP="00EC6CB1">
            <w:pPr>
              <w:spacing w:after="0"/>
              <w:ind w:firstLineChars="100" w:firstLine="200"/>
              <w:jc w:val="right"/>
              <w:rPr>
                <w:rFonts w:eastAsia="Times New Roman" w:cs="Times New Roman"/>
                <w:sz w:val="20"/>
                <w:szCs w:val="20"/>
              </w:rPr>
            </w:pPr>
            <w:r>
              <w:rPr>
                <w:rFonts w:eastAsia="Times New Roman" w:cs="Times New Roman"/>
                <w:sz w:val="20"/>
                <w:szCs w:val="20"/>
              </w:rPr>
              <w:t>12,8</w:t>
            </w:r>
          </w:p>
        </w:tc>
        <w:tc>
          <w:tcPr>
            <w:tcW w:w="880" w:type="dxa"/>
            <w:tcBorders>
              <w:top w:val="nil"/>
              <w:left w:val="nil"/>
              <w:bottom w:val="nil"/>
              <w:right w:val="nil"/>
            </w:tcBorders>
            <w:shd w:val="clear" w:color="auto" w:fill="auto"/>
            <w:vAlign w:val="center"/>
            <w:hideMark/>
          </w:tcPr>
          <w:p w14:paraId="30AA9568" w14:textId="77777777" w:rsidR="001844FB" w:rsidRPr="002B4030" w:rsidRDefault="001844FB" w:rsidP="00EC6CB1">
            <w:pPr>
              <w:spacing w:after="0"/>
              <w:ind w:firstLineChars="100" w:firstLine="200"/>
              <w:jc w:val="right"/>
              <w:rPr>
                <w:rFonts w:eastAsia="Times New Roman" w:cs="Times New Roman"/>
                <w:sz w:val="20"/>
                <w:szCs w:val="20"/>
              </w:rPr>
            </w:pPr>
          </w:p>
        </w:tc>
        <w:tc>
          <w:tcPr>
            <w:tcW w:w="860" w:type="dxa"/>
            <w:tcBorders>
              <w:top w:val="nil"/>
              <w:left w:val="nil"/>
              <w:bottom w:val="nil"/>
              <w:right w:val="nil"/>
            </w:tcBorders>
            <w:shd w:val="clear" w:color="auto" w:fill="auto"/>
            <w:vAlign w:val="center"/>
            <w:hideMark/>
          </w:tcPr>
          <w:p w14:paraId="1B327CEB" w14:textId="77777777" w:rsidR="001844FB" w:rsidRPr="002B4030" w:rsidRDefault="001844FB" w:rsidP="00EC6CB1">
            <w:pPr>
              <w:spacing w:after="0"/>
              <w:ind w:firstLineChars="100" w:firstLine="200"/>
              <w:jc w:val="right"/>
              <w:rPr>
                <w:rFonts w:eastAsia="Times New Roman" w:cs="Times New Roman"/>
                <w:sz w:val="20"/>
                <w:szCs w:val="20"/>
              </w:rPr>
            </w:pPr>
          </w:p>
        </w:tc>
      </w:tr>
      <w:tr w:rsidR="001844FB" w:rsidRPr="002B4030" w14:paraId="54268F8E" w14:textId="77777777" w:rsidTr="00EC6CB1">
        <w:trPr>
          <w:trHeight w:val="300"/>
        </w:trPr>
        <w:tc>
          <w:tcPr>
            <w:tcW w:w="6521" w:type="dxa"/>
            <w:tcBorders>
              <w:top w:val="nil"/>
              <w:left w:val="nil"/>
              <w:bottom w:val="nil"/>
              <w:right w:val="nil"/>
            </w:tcBorders>
            <w:shd w:val="clear" w:color="auto" w:fill="auto"/>
            <w:vAlign w:val="center"/>
            <w:hideMark/>
          </w:tcPr>
          <w:p w14:paraId="3C97B378" w14:textId="77777777" w:rsidR="001844FB" w:rsidRPr="002B4030" w:rsidRDefault="001844FB" w:rsidP="00EC6CB1">
            <w:pPr>
              <w:spacing w:after="0"/>
              <w:rPr>
                <w:rFonts w:eastAsia="Times New Roman" w:cs="Times New Roman"/>
                <w:sz w:val="20"/>
                <w:szCs w:val="20"/>
              </w:rPr>
            </w:pPr>
            <w:r w:rsidRPr="002B4030">
              <w:rPr>
                <w:rFonts w:eastAsia="Times New Roman" w:cs="Times New Roman"/>
                <w:sz w:val="20"/>
                <w:szCs w:val="20"/>
              </w:rPr>
              <w:t xml:space="preserve">Приходи от целеви вноски от производители и търговци на </w:t>
            </w:r>
            <w:proofErr w:type="spellStart"/>
            <w:r w:rsidRPr="002B4030">
              <w:rPr>
                <w:rFonts w:eastAsia="Times New Roman" w:cs="Times New Roman"/>
                <w:sz w:val="20"/>
                <w:szCs w:val="20"/>
              </w:rPr>
              <w:t>ел.енергия</w:t>
            </w:r>
            <w:proofErr w:type="spellEnd"/>
          </w:p>
        </w:tc>
        <w:tc>
          <w:tcPr>
            <w:tcW w:w="890" w:type="dxa"/>
            <w:tcBorders>
              <w:top w:val="nil"/>
              <w:left w:val="nil"/>
              <w:bottom w:val="nil"/>
              <w:right w:val="nil"/>
            </w:tcBorders>
            <w:shd w:val="clear" w:color="auto" w:fill="auto"/>
            <w:vAlign w:val="center"/>
            <w:hideMark/>
          </w:tcPr>
          <w:p w14:paraId="22CCE188" w14:textId="77777777" w:rsidR="001844FB" w:rsidRPr="002B4030" w:rsidRDefault="001844FB" w:rsidP="00EC6CB1">
            <w:pPr>
              <w:spacing w:after="0"/>
              <w:ind w:firstLineChars="100" w:firstLine="200"/>
              <w:jc w:val="right"/>
              <w:rPr>
                <w:rFonts w:eastAsia="Times New Roman" w:cs="Times New Roman"/>
                <w:sz w:val="20"/>
                <w:szCs w:val="20"/>
              </w:rPr>
            </w:pPr>
            <w:r w:rsidRPr="002B4030">
              <w:rPr>
                <w:rFonts w:eastAsia="Times New Roman" w:cs="Times New Roman"/>
                <w:sz w:val="20"/>
                <w:szCs w:val="20"/>
              </w:rPr>
              <w:t>-19,8</w:t>
            </w:r>
          </w:p>
        </w:tc>
        <w:tc>
          <w:tcPr>
            <w:tcW w:w="880" w:type="dxa"/>
            <w:tcBorders>
              <w:top w:val="nil"/>
              <w:left w:val="nil"/>
              <w:bottom w:val="nil"/>
              <w:right w:val="nil"/>
            </w:tcBorders>
            <w:shd w:val="clear" w:color="auto" w:fill="auto"/>
            <w:vAlign w:val="center"/>
            <w:hideMark/>
          </w:tcPr>
          <w:p w14:paraId="28F4D734" w14:textId="77777777" w:rsidR="001844FB" w:rsidRPr="002B4030" w:rsidRDefault="001844FB" w:rsidP="00EC6CB1">
            <w:pPr>
              <w:spacing w:after="0"/>
              <w:ind w:firstLineChars="100" w:firstLine="200"/>
              <w:jc w:val="right"/>
              <w:rPr>
                <w:rFonts w:eastAsia="Times New Roman" w:cs="Times New Roman"/>
                <w:sz w:val="20"/>
                <w:szCs w:val="20"/>
              </w:rPr>
            </w:pPr>
          </w:p>
        </w:tc>
        <w:tc>
          <w:tcPr>
            <w:tcW w:w="860" w:type="dxa"/>
            <w:tcBorders>
              <w:top w:val="nil"/>
              <w:left w:val="nil"/>
              <w:bottom w:val="nil"/>
              <w:right w:val="nil"/>
            </w:tcBorders>
            <w:shd w:val="clear" w:color="auto" w:fill="auto"/>
            <w:vAlign w:val="center"/>
            <w:hideMark/>
          </w:tcPr>
          <w:p w14:paraId="53F0B397" w14:textId="77777777" w:rsidR="001844FB" w:rsidRPr="002B4030" w:rsidRDefault="001844FB" w:rsidP="00EC6CB1">
            <w:pPr>
              <w:spacing w:after="0"/>
              <w:ind w:firstLineChars="100" w:firstLine="200"/>
              <w:jc w:val="right"/>
              <w:rPr>
                <w:rFonts w:eastAsia="Times New Roman" w:cs="Times New Roman"/>
                <w:sz w:val="20"/>
                <w:szCs w:val="20"/>
              </w:rPr>
            </w:pPr>
          </w:p>
        </w:tc>
      </w:tr>
      <w:tr w:rsidR="001844FB" w:rsidRPr="002B4030" w14:paraId="3723187C" w14:textId="77777777" w:rsidTr="00EC6CB1">
        <w:trPr>
          <w:trHeight w:val="300"/>
        </w:trPr>
        <w:tc>
          <w:tcPr>
            <w:tcW w:w="6521" w:type="dxa"/>
            <w:tcBorders>
              <w:top w:val="nil"/>
              <w:left w:val="nil"/>
              <w:bottom w:val="single" w:sz="4" w:space="0" w:color="595959"/>
              <w:right w:val="nil"/>
            </w:tcBorders>
            <w:shd w:val="clear" w:color="auto" w:fill="auto"/>
            <w:vAlign w:val="center"/>
            <w:hideMark/>
          </w:tcPr>
          <w:p w14:paraId="665E2369" w14:textId="77777777" w:rsidR="001844FB" w:rsidRPr="002B4030" w:rsidRDefault="001844FB" w:rsidP="00EC6CB1">
            <w:pPr>
              <w:spacing w:after="0"/>
              <w:rPr>
                <w:rFonts w:eastAsia="Times New Roman" w:cs="Times New Roman"/>
                <w:b/>
                <w:bCs/>
                <w:color w:val="000000"/>
                <w:sz w:val="20"/>
                <w:szCs w:val="20"/>
              </w:rPr>
            </w:pPr>
            <w:r w:rsidRPr="002B4030">
              <w:rPr>
                <w:rFonts w:eastAsia="Times New Roman" w:cs="Times New Roman"/>
                <w:b/>
                <w:bCs/>
                <w:color w:val="000000"/>
                <w:sz w:val="20"/>
                <w:szCs w:val="20"/>
              </w:rPr>
              <w:t>Общо:</w:t>
            </w:r>
          </w:p>
        </w:tc>
        <w:tc>
          <w:tcPr>
            <w:tcW w:w="890" w:type="dxa"/>
            <w:tcBorders>
              <w:top w:val="nil"/>
              <w:left w:val="nil"/>
              <w:bottom w:val="single" w:sz="4" w:space="0" w:color="595959"/>
              <w:right w:val="nil"/>
            </w:tcBorders>
            <w:shd w:val="clear" w:color="auto" w:fill="auto"/>
            <w:noWrap/>
            <w:vAlign w:val="center"/>
            <w:hideMark/>
          </w:tcPr>
          <w:p w14:paraId="44815168" w14:textId="77777777" w:rsidR="001844FB" w:rsidRPr="002B4030" w:rsidRDefault="001844FB" w:rsidP="00EC6CB1">
            <w:pPr>
              <w:spacing w:after="0"/>
              <w:jc w:val="right"/>
              <w:rPr>
                <w:rFonts w:eastAsia="Times New Roman" w:cs="Times New Roman"/>
                <w:b/>
                <w:bCs/>
                <w:color w:val="000000"/>
                <w:sz w:val="20"/>
                <w:szCs w:val="20"/>
              </w:rPr>
            </w:pPr>
            <w:r w:rsidRPr="002B4030">
              <w:rPr>
                <w:rFonts w:eastAsia="Times New Roman" w:cs="Times New Roman"/>
                <w:b/>
                <w:bCs/>
                <w:color w:val="000000"/>
                <w:sz w:val="20"/>
                <w:szCs w:val="20"/>
              </w:rPr>
              <w:t>2 0</w:t>
            </w:r>
            <w:r>
              <w:rPr>
                <w:rFonts w:eastAsia="Times New Roman" w:cs="Times New Roman"/>
                <w:b/>
                <w:bCs/>
                <w:color w:val="000000"/>
                <w:sz w:val="20"/>
                <w:szCs w:val="20"/>
              </w:rPr>
              <w:t>63</w:t>
            </w:r>
            <w:r w:rsidRPr="002B4030">
              <w:rPr>
                <w:rFonts w:eastAsia="Times New Roman" w:cs="Times New Roman"/>
                <w:b/>
                <w:bCs/>
                <w:color w:val="000000"/>
                <w:sz w:val="20"/>
                <w:szCs w:val="20"/>
              </w:rPr>
              <w:t>,</w:t>
            </w:r>
            <w:r>
              <w:rPr>
                <w:rFonts w:eastAsia="Times New Roman" w:cs="Times New Roman"/>
                <w:b/>
                <w:bCs/>
                <w:color w:val="000000"/>
                <w:sz w:val="20"/>
                <w:szCs w:val="20"/>
              </w:rPr>
              <w:t>9</w:t>
            </w:r>
          </w:p>
        </w:tc>
        <w:tc>
          <w:tcPr>
            <w:tcW w:w="880" w:type="dxa"/>
            <w:tcBorders>
              <w:top w:val="nil"/>
              <w:left w:val="nil"/>
              <w:bottom w:val="single" w:sz="4" w:space="0" w:color="595959"/>
              <w:right w:val="nil"/>
            </w:tcBorders>
            <w:shd w:val="clear" w:color="auto" w:fill="auto"/>
            <w:noWrap/>
            <w:vAlign w:val="center"/>
            <w:hideMark/>
          </w:tcPr>
          <w:p w14:paraId="301CC997" w14:textId="77777777" w:rsidR="001844FB" w:rsidRPr="002B4030" w:rsidRDefault="001844FB" w:rsidP="00EC6CB1">
            <w:pPr>
              <w:spacing w:after="0"/>
              <w:jc w:val="right"/>
              <w:rPr>
                <w:rFonts w:eastAsia="Times New Roman" w:cs="Times New Roman"/>
                <w:b/>
                <w:bCs/>
                <w:color w:val="000000"/>
                <w:sz w:val="20"/>
                <w:szCs w:val="20"/>
              </w:rPr>
            </w:pPr>
            <w:r w:rsidRPr="002B4030">
              <w:rPr>
                <w:rFonts w:eastAsia="Times New Roman" w:cs="Times New Roman"/>
                <w:b/>
                <w:bCs/>
                <w:color w:val="000000"/>
                <w:sz w:val="20"/>
                <w:szCs w:val="20"/>
              </w:rPr>
              <w:t>506,7</w:t>
            </w:r>
          </w:p>
        </w:tc>
        <w:tc>
          <w:tcPr>
            <w:tcW w:w="860" w:type="dxa"/>
            <w:tcBorders>
              <w:top w:val="nil"/>
              <w:left w:val="nil"/>
              <w:bottom w:val="single" w:sz="4" w:space="0" w:color="595959"/>
              <w:right w:val="nil"/>
            </w:tcBorders>
            <w:shd w:val="clear" w:color="auto" w:fill="auto"/>
            <w:noWrap/>
            <w:vAlign w:val="center"/>
            <w:hideMark/>
          </w:tcPr>
          <w:p w14:paraId="5B6E7248" w14:textId="77777777" w:rsidR="001844FB" w:rsidRPr="002B4030" w:rsidRDefault="001844FB" w:rsidP="00EC6CB1">
            <w:pPr>
              <w:spacing w:after="0"/>
              <w:jc w:val="right"/>
              <w:rPr>
                <w:rFonts w:eastAsia="Times New Roman" w:cs="Times New Roman"/>
                <w:b/>
                <w:bCs/>
                <w:color w:val="000000"/>
                <w:sz w:val="20"/>
                <w:szCs w:val="20"/>
              </w:rPr>
            </w:pPr>
            <w:r w:rsidRPr="002B4030">
              <w:rPr>
                <w:rFonts w:eastAsia="Times New Roman" w:cs="Times New Roman"/>
                <w:b/>
                <w:bCs/>
                <w:color w:val="000000"/>
                <w:sz w:val="20"/>
                <w:szCs w:val="20"/>
              </w:rPr>
              <w:t>882,8</w:t>
            </w:r>
          </w:p>
        </w:tc>
      </w:tr>
    </w:tbl>
    <w:p w14:paraId="586F2F34" w14:textId="77777777" w:rsidR="00AA1D2F" w:rsidRPr="008660C9" w:rsidRDefault="00AA1D2F" w:rsidP="00AA1D2F">
      <w:pPr>
        <w:spacing w:before="120"/>
        <w:ind w:firstLine="850"/>
        <w:jc w:val="right"/>
        <w:rPr>
          <w:rFonts w:eastAsia="Times New Roman" w:cs="Times New Roman"/>
          <w:b/>
          <w:bCs/>
          <w:iCs/>
          <w:color w:val="C00000"/>
          <w:sz w:val="18"/>
          <w:szCs w:val="18"/>
        </w:rPr>
      </w:pPr>
      <w:r w:rsidRPr="008660C9">
        <w:rPr>
          <w:rFonts w:eastAsia="Batang" w:cs="Times New Roman"/>
          <w:sz w:val="18"/>
          <w:szCs w:val="18"/>
        </w:rPr>
        <w:t>Източник: МФ</w:t>
      </w:r>
    </w:p>
    <w:p w14:paraId="3C72B5C8" w14:textId="77777777" w:rsidR="00AA1D2F" w:rsidRPr="008660C9" w:rsidRDefault="00AA1D2F" w:rsidP="00AA1D2F">
      <w:pPr>
        <w:keepNext/>
        <w:rPr>
          <w:rFonts w:eastAsia="Times New Roman" w:cs="Times New Roman"/>
          <w:b/>
          <w:color w:val="852010"/>
        </w:rPr>
      </w:pPr>
      <w:r w:rsidRPr="008660C9">
        <w:rPr>
          <w:rFonts w:eastAsia="Times New Roman" w:cs="Times New Roman"/>
          <w:b/>
          <w:color w:val="852010"/>
        </w:rPr>
        <w:lastRenderedPageBreak/>
        <w:t xml:space="preserve">Разходни </w:t>
      </w:r>
      <w:proofErr w:type="spellStart"/>
      <w:r w:rsidRPr="008660C9">
        <w:rPr>
          <w:rFonts w:eastAsia="Times New Roman" w:cs="Times New Roman"/>
          <w:b/>
          <w:color w:val="852010"/>
        </w:rPr>
        <w:t>дискреционни</w:t>
      </w:r>
      <w:proofErr w:type="spellEnd"/>
      <w:r w:rsidRPr="008660C9">
        <w:rPr>
          <w:rFonts w:eastAsia="Times New Roman" w:cs="Times New Roman"/>
          <w:b/>
          <w:color w:val="852010"/>
        </w:rPr>
        <w:t xml:space="preserve"> мерки </w:t>
      </w:r>
    </w:p>
    <w:p w14:paraId="17B495F8" w14:textId="77777777" w:rsidR="001A551D" w:rsidRPr="001A551D" w:rsidRDefault="001A551D" w:rsidP="001A551D">
      <w:pPr>
        <w:spacing w:after="120"/>
      </w:pPr>
      <w:r w:rsidRPr="001A551D">
        <w:t xml:space="preserve">Разходните </w:t>
      </w:r>
      <w:proofErr w:type="spellStart"/>
      <w:r w:rsidRPr="001A551D">
        <w:t>дискреционни</w:t>
      </w:r>
      <w:proofErr w:type="spellEnd"/>
      <w:r w:rsidRPr="001A551D">
        <w:t xml:space="preserve"> мерки се очаква да доведат до общо нетно у</w:t>
      </w:r>
      <w:r w:rsidR="00CC047E">
        <w:t xml:space="preserve">величение на разходите с </w:t>
      </w:r>
      <w:r w:rsidR="00CC047E" w:rsidRPr="00CC047E">
        <w:t>1 071,4</w:t>
      </w:r>
      <w:r w:rsidRPr="001A551D">
        <w:t xml:space="preserve"> млн. евро за периода 2026-2028 г. През 2026 г. се очаква нетно</w:t>
      </w:r>
      <w:r w:rsidR="00CC047E">
        <w:t xml:space="preserve"> увеличение на разходите с </w:t>
      </w:r>
      <w:r w:rsidR="00CC047E" w:rsidRPr="00CC047E">
        <w:t>901,1</w:t>
      </w:r>
      <w:r w:rsidR="00CC047E">
        <w:t xml:space="preserve"> млн. евро или </w:t>
      </w:r>
      <w:r w:rsidR="00CC047E" w:rsidRPr="00CC047E">
        <w:t>0,75</w:t>
      </w:r>
      <w:r w:rsidRPr="001A551D">
        <w:t>% от БВП, през 2027 г. – нетно увеличение на разходите с 60,3 млн. евро или 0,05% от БВП., през 2028 г.</w:t>
      </w:r>
      <w:r w:rsidR="000D7D8F">
        <w:t xml:space="preserve"> - нетно увеличение на разходите</w:t>
      </w:r>
      <w:r w:rsidRPr="001A551D">
        <w:t xml:space="preserve"> със 110,0 млн. евро или 0,08% от БВП.</w:t>
      </w:r>
    </w:p>
    <w:p w14:paraId="05EA1C8B" w14:textId="77777777" w:rsidR="000D7D8F" w:rsidRPr="000D7D8F" w:rsidRDefault="001A551D" w:rsidP="000D7D8F">
      <w:pPr>
        <w:spacing w:after="120"/>
      </w:pPr>
      <w:r w:rsidRPr="001A551D">
        <w:t xml:space="preserve">С най-голям бюджетен ефект в разходната част на </w:t>
      </w:r>
      <w:proofErr w:type="spellStart"/>
      <w:r w:rsidRPr="001A551D">
        <w:t>дискреционните</w:t>
      </w:r>
      <w:proofErr w:type="spellEnd"/>
      <w:r w:rsidRPr="001A551D">
        <w:t xml:space="preserve"> мерки за 2026 г. е политиката по доходите - планираното увеличение на разходи</w:t>
      </w:r>
      <w:r w:rsidR="00167076">
        <w:t>те</w:t>
      </w:r>
      <w:r w:rsidRPr="001A551D">
        <w:t xml:space="preserve"> за персонал в бюджетната сфера с 10%, включително за заплати и осигуровки, се очаква да доведе до допълнителни разходи от 659,7 млн. евро през 2026 г.</w:t>
      </w:r>
      <w:r w:rsidR="000D7D8F" w:rsidRPr="000D7D8F">
        <w:t xml:space="preserve"> В този ефект е отразено компенсирането на възнагражденията в определени сектори в резултат на отпадането на автоматичните механизми за индексиране и определяне на размера на възнагражденията </w:t>
      </w:r>
      <w:r w:rsidR="002977C2">
        <w:t>спрямо динамика</w:t>
      </w:r>
      <w:r w:rsidR="000D7D8F" w:rsidRPr="000D7D8F">
        <w:t xml:space="preserve">та на средната работна заплата. </w:t>
      </w:r>
    </w:p>
    <w:p w14:paraId="0155C4FC" w14:textId="77777777" w:rsidR="00A5026A" w:rsidRDefault="00A5026A" w:rsidP="00A5026A">
      <w:pPr>
        <w:spacing w:after="120"/>
      </w:pPr>
      <w:r w:rsidRPr="00615B9C">
        <w:t xml:space="preserve">Разходите във връзка с мерките и програмите в областта на енергетиката за компенсиране на високите цени на електроенергията, изпълнявани през 2025 г., са в размер на 307,2 млн. евро, като се предвижда действието на тези мерки и програми да продължи и през 2026 г. Като </w:t>
      </w:r>
      <w:proofErr w:type="spellStart"/>
      <w:r w:rsidRPr="00615B9C">
        <w:t>дискреционна</w:t>
      </w:r>
      <w:proofErr w:type="spellEnd"/>
      <w:r w:rsidRPr="00615B9C">
        <w:t xml:space="preserve"> разходна мярка за 2026 г. е отразен ефектът от действието на програми и мерки за смекчаване на икономическите последици от нестабилността на цените на електрическата енергия и природния газ за небитови крайни клиенти, и за предоставяне на компенсации чрез крайния снабдител, покриващи част от разходите за електрическа енергия на битовите крайни клиенти. Като ефект в разходните </w:t>
      </w:r>
      <w:proofErr w:type="spellStart"/>
      <w:r w:rsidRPr="00615B9C">
        <w:t>дискреционни</w:t>
      </w:r>
      <w:proofErr w:type="spellEnd"/>
      <w:r w:rsidRPr="00615B9C">
        <w:t xml:space="preserve"> мерки е показана разликата от 204,6 млн. евро за 2026 г. спрямо 2025 г. </w:t>
      </w:r>
    </w:p>
    <w:p w14:paraId="5272ABC5" w14:textId="77777777" w:rsidR="001A551D" w:rsidRPr="001A551D" w:rsidRDefault="001A551D" w:rsidP="001A551D">
      <w:pPr>
        <w:spacing w:after="120"/>
      </w:pPr>
      <w:r w:rsidRPr="001A551D">
        <w:t>Ефектът от вдигането на осигурителните вноски за фонд „Пенсии“ с 1 процен</w:t>
      </w:r>
      <w:r w:rsidR="004C19CB">
        <w:t>т</w:t>
      </w:r>
      <w:r w:rsidRPr="001A551D">
        <w:t xml:space="preserve">ен пункт от 1 януари 2027 г. и с 2 процентни пункта от 1 януари 2028 г., без сектор </w:t>
      </w:r>
      <w:r w:rsidR="0098648A">
        <w:t>„О</w:t>
      </w:r>
      <w:r w:rsidRPr="001A551D">
        <w:t>тбрана</w:t>
      </w:r>
      <w:r w:rsidR="0098648A">
        <w:t>“</w:t>
      </w:r>
      <w:r w:rsidRPr="001A551D">
        <w:t xml:space="preserve">, е допълнителни разходи в размер на 43,3 млн. евро през 2027 г. и 89,5 млн. евро през 2028 г. </w:t>
      </w:r>
    </w:p>
    <w:p w14:paraId="14349590" w14:textId="77777777" w:rsidR="001A551D" w:rsidRPr="001A551D" w:rsidRDefault="001A551D" w:rsidP="001A551D">
      <w:pPr>
        <w:spacing w:after="120"/>
      </w:pPr>
      <w:r w:rsidRPr="001A551D">
        <w:t xml:space="preserve">Покачването на максималния осигурителен доход е свързано с допълнителни разходи за осигуровки в размер на </w:t>
      </w:r>
      <w:r w:rsidR="00CC047E">
        <w:t>24,2</w:t>
      </w:r>
      <w:r w:rsidRPr="001A551D">
        <w:t xml:space="preserve"> млн. евро през 2026 г. и общо </w:t>
      </w:r>
      <w:r w:rsidR="00CC047E" w:rsidRPr="00CC047E">
        <w:t>64,5</w:t>
      </w:r>
      <w:r w:rsidRPr="001A551D">
        <w:t xml:space="preserve"> млн. евро за тригодишния прогнозен период. </w:t>
      </w:r>
    </w:p>
    <w:p w14:paraId="405A70F5" w14:textId="77777777" w:rsidR="00A5026A" w:rsidRDefault="00A5026A" w:rsidP="00A5026A">
      <w:pPr>
        <w:spacing w:after="120"/>
      </w:pPr>
      <w:r w:rsidRPr="001D304A">
        <w:t xml:space="preserve">Повишаването на паричното обезщетение за отглеждане на дете до 2-годишна възраст и за отглеждане на дете до 8-годишна възраст от бащата </w:t>
      </w:r>
      <w:r>
        <w:t>(осиновителя) на 460,</w:t>
      </w:r>
      <w:r w:rsidRPr="001D304A">
        <w:t xml:space="preserve">17 евро от 01.01.2026 г. и повишаването на размера от 50 на сто на 75 на сто на паричното обезщетение при </w:t>
      </w:r>
      <w:proofErr w:type="spellStart"/>
      <w:r w:rsidRPr="001D304A">
        <w:t>неизползване</w:t>
      </w:r>
      <w:proofErr w:type="spellEnd"/>
      <w:r w:rsidRPr="001D304A">
        <w:t xml:space="preserve"> на отпуска за бременност и раждане, за отглеждане на дете до 2-годишна възраст и при осиновяване на дете до 5-годишна възраст се очаква да доведе до допълнителни разходи в размер на 12,6 млн. евро през 2026 г.</w:t>
      </w:r>
    </w:p>
    <w:p w14:paraId="68AC30F5" w14:textId="77777777" w:rsidR="00EA454B" w:rsidRPr="00615B9C" w:rsidRDefault="00EA454B" w:rsidP="00A5026A">
      <w:pPr>
        <w:spacing w:after="120"/>
      </w:pPr>
    </w:p>
    <w:p w14:paraId="30DF0B8F" w14:textId="77777777" w:rsidR="00CC047E" w:rsidRDefault="00AA1D2F" w:rsidP="00CC047E">
      <w:pPr>
        <w:pStyle w:val="Caption"/>
        <w:spacing w:after="200"/>
      </w:pPr>
      <w:bookmarkStart w:id="223" w:name="_Toc213229062"/>
      <w:r w:rsidRPr="00006A45">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Табл. \* ARABIC \s 1 </w:instrText>
      </w:r>
      <w:r w:rsidR="00974F02">
        <w:fldChar w:fldCharType="separate"/>
      </w:r>
      <w:r w:rsidR="00841DFA">
        <w:rPr>
          <w:noProof/>
        </w:rPr>
        <w:t>10</w:t>
      </w:r>
      <w:r w:rsidR="00974F02">
        <w:rPr>
          <w:noProof/>
        </w:rPr>
        <w:fldChar w:fldCharType="end"/>
      </w:r>
      <w:r w:rsidRPr="00006A45">
        <w:t>:</w:t>
      </w:r>
      <w:r w:rsidRPr="00006A45">
        <w:tab/>
      </w:r>
      <w:proofErr w:type="spellStart"/>
      <w:r w:rsidRPr="00006A45">
        <w:t>Дискреционни</w:t>
      </w:r>
      <w:proofErr w:type="spellEnd"/>
      <w:r w:rsidRPr="00006A45">
        <w:t xml:space="preserve"> разходни мерки на начислена основа, </w:t>
      </w:r>
      <w:r w:rsidRPr="00615B9C">
        <w:t xml:space="preserve">млн. </w:t>
      </w:r>
      <w:r w:rsidR="00615B9C" w:rsidRPr="00615B9C">
        <w:t>евро</w:t>
      </w:r>
      <w:bookmarkEnd w:id="223"/>
    </w:p>
    <w:tbl>
      <w:tblPr>
        <w:tblW w:w="9189" w:type="dxa"/>
        <w:tblCellMar>
          <w:left w:w="70" w:type="dxa"/>
          <w:right w:w="70" w:type="dxa"/>
        </w:tblCellMar>
        <w:tblLook w:val="04A0" w:firstRow="1" w:lastRow="0" w:firstColumn="1" w:lastColumn="0" w:noHBand="0" w:noVBand="1"/>
      </w:tblPr>
      <w:tblGrid>
        <w:gridCol w:w="6379"/>
        <w:gridCol w:w="890"/>
        <w:gridCol w:w="960"/>
        <w:gridCol w:w="960"/>
      </w:tblGrid>
      <w:tr w:rsidR="00CC047E" w:rsidRPr="00774D8C" w14:paraId="3C5DBC98" w14:textId="77777777" w:rsidTr="00EC6CB1">
        <w:trPr>
          <w:trHeight w:val="615"/>
        </w:trPr>
        <w:tc>
          <w:tcPr>
            <w:tcW w:w="6379" w:type="dxa"/>
            <w:tcBorders>
              <w:top w:val="single" w:sz="4" w:space="0" w:color="595959"/>
              <w:left w:val="nil"/>
              <w:bottom w:val="single" w:sz="4" w:space="0" w:color="auto"/>
              <w:right w:val="nil"/>
            </w:tcBorders>
            <w:shd w:val="clear" w:color="000000" w:fill="D9D9D9"/>
            <w:vAlign w:val="center"/>
            <w:hideMark/>
          </w:tcPr>
          <w:p w14:paraId="77CB3DA5" w14:textId="77777777" w:rsidR="00CC047E" w:rsidRPr="00774D8C" w:rsidRDefault="00CC047E" w:rsidP="00EC6CB1">
            <w:pPr>
              <w:spacing w:after="0"/>
              <w:rPr>
                <w:rFonts w:eastAsia="Times New Roman" w:cs="Times New Roman"/>
                <w:b/>
                <w:bCs/>
                <w:color w:val="000000"/>
                <w:sz w:val="20"/>
                <w:szCs w:val="20"/>
              </w:rPr>
            </w:pPr>
            <w:r w:rsidRPr="00774D8C">
              <w:rPr>
                <w:rFonts w:eastAsia="Times New Roman" w:cs="Times New Roman"/>
                <w:b/>
                <w:bCs/>
                <w:color w:val="000000"/>
                <w:sz w:val="20"/>
                <w:szCs w:val="20"/>
              </w:rPr>
              <w:t>Разходни мерки - изменение спрямо предходна година</w:t>
            </w:r>
          </w:p>
        </w:tc>
        <w:tc>
          <w:tcPr>
            <w:tcW w:w="890" w:type="dxa"/>
            <w:tcBorders>
              <w:top w:val="single" w:sz="4" w:space="0" w:color="595959"/>
              <w:left w:val="nil"/>
              <w:bottom w:val="single" w:sz="4" w:space="0" w:color="auto"/>
              <w:right w:val="nil"/>
            </w:tcBorders>
            <w:shd w:val="clear" w:color="000000" w:fill="D9D9D9"/>
            <w:noWrap/>
            <w:vAlign w:val="center"/>
            <w:hideMark/>
          </w:tcPr>
          <w:p w14:paraId="4B08D4D5" w14:textId="77777777" w:rsidR="00CC047E" w:rsidRPr="00774D8C" w:rsidRDefault="00CC047E" w:rsidP="00EC6CB1">
            <w:pPr>
              <w:spacing w:after="0"/>
              <w:jc w:val="center"/>
              <w:rPr>
                <w:rFonts w:eastAsia="Times New Roman" w:cs="Times New Roman"/>
                <w:b/>
                <w:bCs/>
                <w:color w:val="000000"/>
                <w:sz w:val="20"/>
                <w:szCs w:val="20"/>
              </w:rPr>
            </w:pPr>
            <w:r w:rsidRPr="00774D8C">
              <w:rPr>
                <w:rFonts w:eastAsia="Times New Roman" w:cs="Times New Roman"/>
                <w:b/>
                <w:bCs/>
                <w:color w:val="000000"/>
                <w:sz w:val="20"/>
                <w:szCs w:val="20"/>
              </w:rPr>
              <w:t>2026 г.</w:t>
            </w:r>
          </w:p>
        </w:tc>
        <w:tc>
          <w:tcPr>
            <w:tcW w:w="960" w:type="dxa"/>
            <w:tcBorders>
              <w:top w:val="single" w:sz="4" w:space="0" w:color="595959"/>
              <w:left w:val="nil"/>
              <w:bottom w:val="single" w:sz="4" w:space="0" w:color="auto"/>
              <w:right w:val="nil"/>
            </w:tcBorders>
            <w:shd w:val="clear" w:color="000000" w:fill="D9D9D9"/>
            <w:noWrap/>
            <w:vAlign w:val="center"/>
            <w:hideMark/>
          </w:tcPr>
          <w:p w14:paraId="2CD9CCD1" w14:textId="77777777" w:rsidR="00CC047E" w:rsidRPr="00774D8C" w:rsidRDefault="00CC047E" w:rsidP="00EC6CB1">
            <w:pPr>
              <w:spacing w:after="0"/>
              <w:jc w:val="center"/>
              <w:rPr>
                <w:rFonts w:eastAsia="Times New Roman" w:cs="Times New Roman"/>
                <w:b/>
                <w:bCs/>
                <w:color w:val="000000"/>
                <w:sz w:val="20"/>
                <w:szCs w:val="20"/>
              </w:rPr>
            </w:pPr>
            <w:r w:rsidRPr="00774D8C">
              <w:rPr>
                <w:rFonts w:eastAsia="Times New Roman" w:cs="Times New Roman"/>
                <w:b/>
                <w:bCs/>
                <w:color w:val="000000"/>
                <w:sz w:val="20"/>
                <w:szCs w:val="20"/>
              </w:rPr>
              <w:t>2027 г.</w:t>
            </w:r>
          </w:p>
        </w:tc>
        <w:tc>
          <w:tcPr>
            <w:tcW w:w="960" w:type="dxa"/>
            <w:tcBorders>
              <w:top w:val="single" w:sz="4" w:space="0" w:color="595959"/>
              <w:left w:val="nil"/>
              <w:bottom w:val="single" w:sz="4" w:space="0" w:color="auto"/>
              <w:right w:val="nil"/>
            </w:tcBorders>
            <w:shd w:val="clear" w:color="000000" w:fill="D9D9D9"/>
            <w:noWrap/>
            <w:vAlign w:val="center"/>
            <w:hideMark/>
          </w:tcPr>
          <w:p w14:paraId="3A9334CF" w14:textId="77777777" w:rsidR="00CC047E" w:rsidRPr="00774D8C" w:rsidRDefault="00CC047E" w:rsidP="00EC6CB1">
            <w:pPr>
              <w:spacing w:after="0"/>
              <w:jc w:val="center"/>
              <w:rPr>
                <w:rFonts w:eastAsia="Times New Roman" w:cs="Times New Roman"/>
                <w:b/>
                <w:bCs/>
                <w:color w:val="000000"/>
                <w:sz w:val="20"/>
                <w:szCs w:val="20"/>
              </w:rPr>
            </w:pPr>
            <w:r w:rsidRPr="00774D8C">
              <w:rPr>
                <w:rFonts w:eastAsia="Times New Roman" w:cs="Times New Roman"/>
                <w:b/>
                <w:bCs/>
                <w:color w:val="000000"/>
                <w:sz w:val="20"/>
                <w:szCs w:val="20"/>
              </w:rPr>
              <w:t>2028 г.</w:t>
            </w:r>
          </w:p>
        </w:tc>
      </w:tr>
      <w:tr w:rsidR="00CC047E" w:rsidRPr="00774D8C" w14:paraId="521CCD33" w14:textId="77777777" w:rsidTr="00EC6CB1">
        <w:trPr>
          <w:trHeight w:val="510"/>
        </w:trPr>
        <w:tc>
          <w:tcPr>
            <w:tcW w:w="6379" w:type="dxa"/>
            <w:tcBorders>
              <w:top w:val="single" w:sz="4" w:space="0" w:color="auto"/>
              <w:left w:val="nil"/>
              <w:bottom w:val="nil"/>
              <w:right w:val="nil"/>
            </w:tcBorders>
            <w:shd w:val="clear" w:color="auto" w:fill="auto"/>
            <w:vAlign w:val="center"/>
            <w:hideMark/>
          </w:tcPr>
          <w:p w14:paraId="7318F36D" w14:textId="77777777" w:rsidR="00CC047E" w:rsidRPr="00774D8C" w:rsidRDefault="00CC047E" w:rsidP="00EC6CB1">
            <w:pPr>
              <w:spacing w:after="0"/>
              <w:rPr>
                <w:rFonts w:eastAsia="Times New Roman" w:cs="Times New Roman"/>
                <w:sz w:val="20"/>
                <w:szCs w:val="20"/>
              </w:rPr>
            </w:pPr>
            <w:r w:rsidRPr="00774D8C">
              <w:rPr>
                <w:rFonts w:eastAsia="Times New Roman" w:cs="Times New Roman"/>
                <w:sz w:val="20"/>
                <w:szCs w:val="20"/>
              </w:rPr>
              <w:t>Политика по доходите. -  планирано увеличение на разходите за персонал в бюджетната сфера с 10%, вкл. заплати и осигуровки</w:t>
            </w:r>
          </w:p>
        </w:tc>
        <w:tc>
          <w:tcPr>
            <w:tcW w:w="890" w:type="dxa"/>
            <w:tcBorders>
              <w:top w:val="single" w:sz="4" w:space="0" w:color="auto"/>
              <w:left w:val="nil"/>
              <w:bottom w:val="nil"/>
              <w:right w:val="nil"/>
            </w:tcBorders>
            <w:shd w:val="clear" w:color="auto" w:fill="auto"/>
            <w:vAlign w:val="center"/>
            <w:hideMark/>
          </w:tcPr>
          <w:p w14:paraId="1F3F7F21"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659,7</w:t>
            </w:r>
          </w:p>
        </w:tc>
        <w:tc>
          <w:tcPr>
            <w:tcW w:w="960" w:type="dxa"/>
            <w:tcBorders>
              <w:top w:val="single" w:sz="4" w:space="0" w:color="auto"/>
              <w:left w:val="nil"/>
              <w:bottom w:val="nil"/>
              <w:right w:val="nil"/>
            </w:tcBorders>
            <w:shd w:val="clear" w:color="auto" w:fill="auto"/>
            <w:vAlign w:val="center"/>
            <w:hideMark/>
          </w:tcPr>
          <w:p w14:paraId="61FCE96E" w14:textId="77777777" w:rsidR="00CC047E" w:rsidRPr="00774D8C" w:rsidRDefault="00CC047E" w:rsidP="00EC6CB1">
            <w:pPr>
              <w:spacing w:after="0"/>
              <w:ind w:firstLineChars="100" w:firstLine="200"/>
              <w:jc w:val="right"/>
              <w:rPr>
                <w:rFonts w:eastAsia="Times New Roman" w:cs="Times New Roman"/>
                <w:sz w:val="20"/>
                <w:szCs w:val="20"/>
              </w:rPr>
            </w:pPr>
          </w:p>
        </w:tc>
        <w:tc>
          <w:tcPr>
            <w:tcW w:w="960" w:type="dxa"/>
            <w:tcBorders>
              <w:top w:val="single" w:sz="4" w:space="0" w:color="auto"/>
              <w:left w:val="nil"/>
              <w:bottom w:val="nil"/>
              <w:right w:val="nil"/>
            </w:tcBorders>
            <w:shd w:val="clear" w:color="auto" w:fill="auto"/>
            <w:vAlign w:val="center"/>
            <w:hideMark/>
          </w:tcPr>
          <w:p w14:paraId="3E941600" w14:textId="77777777" w:rsidR="00CC047E" w:rsidRPr="00774D8C" w:rsidRDefault="00CC047E" w:rsidP="00EC6CB1">
            <w:pPr>
              <w:spacing w:after="0"/>
              <w:ind w:firstLineChars="100" w:firstLine="200"/>
              <w:jc w:val="right"/>
              <w:rPr>
                <w:rFonts w:eastAsia="Times New Roman" w:cs="Times New Roman"/>
                <w:sz w:val="20"/>
                <w:szCs w:val="20"/>
              </w:rPr>
            </w:pPr>
          </w:p>
        </w:tc>
      </w:tr>
      <w:tr w:rsidR="00CC047E" w:rsidRPr="00774D8C" w14:paraId="32FA8E56" w14:textId="77777777" w:rsidTr="00EC6CB1">
        <w:trPr>
          <w:trHeight w:val="510"/>
        </w:trPr>
        <w:tc>
          <w:tcPr>
            <w:tcW w:w="6379" w:type="dxa"/>
            <w:tcBorders>
              <w:top w:val="nil"/>
              <w:left w:val="nil"/>
              <w:bottom w:val="nil"/>
              <w:right w:val="nil"/>
            </w:tcBorders>
            <w:shd w:val="clear" w:color="auto" w:fill="auto"/>
            <w:vAlign w:val="center"/>
            <w:hideMark/>
          </w:tcPr>
          <w:p w14:paraId="35F8F724" w14:textId="77777777" w:rsidR="00CC047E" w:rsidRPr="00774D8C" w:rsidRDefault="00CC047E" w:rsidP="00EC6CB1">
            <w:pPr>
              <w:spacing w:after="0"/>
              <w:rPr>
                <w:rFonts w:eastAsia="Times New Roman" w:cs="Times New Roman"/>
                <w:sz w:val="20"/>
                <w:szCs w:val="20"/>
              </w:rPr>
            </w:pPr>
            <w:r w:rsidRPr="00774D8C">
              <w:rPr>
                <w:rFonts w:eastAsia="Times New Roman" w:cs="Times New Roman"/>
                <w:sz w:val="20"/>
                <w:szCs w:val="20"/>
              </w:rPr>
              <w:t>Програми за смекчаване на икономическите последици от нестабилността на цените на електрическата енергия и природния газ</w:t>
            </w:r>
          </w:p>
        </w:tc>
        <w:tc>
          <w:tcPr>
            <w:tcW w:w="890" w:type="dxa"/>
            <w:tcBorders>
              <w:top w:val="nil"/>
              <w:left w:val="nil"/>
              <w:bottom w:val="nil"/>
              <w:right w:val="nil"/>
            </w:tcBorders>
            <w:shd w:val="clear" w:color="auto" w:fill="auto"/>
            <w:vAlign w:val="center"/>
            <w:hideMark/>
          </w:tcPr>
          <w:p w14:paraId="2B2E0336"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204,6</w:t>
            </w:r>
          </w:p>
        </w:tc>
        <w:tc>
          <w:tcPr>
            <w:tcW w:w="960" w:type="dxa"/>
            <w:tcBorders>
              <w:top w:val="nil"/>
              <w:left w:val="nil"/>
              <w:bottom w:val="nil"/>
              <w:right w:val="nil"/>
            </w:tcBorders>
            <w:shd w:val="clear" w:color="auto" w:fill="auto"/>
            <w:vAlign w:val="center"/>
            <w:hideMark/>
          </w:tcPr>
          <w:p w14:paraId="1F3DEE02" w14:textId="77777777" w:rsidR="00CC047E" w:rsidRPr="00774D8C" w:rsidRDefault="00CC047E" w:rsidP="00EC6CB1">
            <w:pPr>
              <w:spacing w:after="0"/>
              <w:ind w:firstLineChars="100" w:firstLine="200"/>
              <w:jc w:val="right"/>
              <w:rPr>
                <w:rFonts w:eastAsia="Times New Roman" w:cs="Times New Roman"/>
                <w:sz w:val="20"/>
                <w:szCs w:val="20"/>
              </w:rPr>
            </w:pPr>
          </w:p>
        </w:tc>
        <w:tc>
          <w:tcPr>
            <w:tcW w:w="960" w:type="dxa"/>
            <w:tcBorders>
              <w:top w:val="nil"/>
              <w:left w:val="nil"/>
              <w:bottom w:val="nil"/>
              <w:right w:val="nil"/>
            </w:tcBorders>
            <w:shd w:val="clear" w:color="auto" w:fill="auto"/>
            <w:vAlign w:val="center"/>
            <w:hideMark/>
          </w:tcPr>
          <w:p w14:paraId="25E08FD4" w14:textId="77777777" w:rsidR="00CC047E" w:rsidRPr="00774D8C" w:rsidRDefault="00CC047E" w:rsidP="00EC6CB1">
            <w:pPr>
              <w:spacing w:after="0"/>
              <w:ind w:firstLineChars="100" w:firstLine="200"/>
              <w:jc w:val="right"/>
              <w:rPr>
                <w:rFonts w:eastAsia="Times New Roman" w:cs="Times New Roman"/>
                <w:sz w:val="20"/>
                <w:szCs w:val="20"/>
              </w:rPr>
            </w:pPr>
          </w:p>
        </w:tc>
      </w:tr>
      <w:tr w:rsidR="00CC047E" w:rsidRPr="00774D8C" w14:paraId="05858827" w14:textId="77777777" w:rsidTr="00EC6CB1">
        <w:trPr>
          <w:trHeight w:val="510"/>
        </w:trPr>
        <w:tc>
          <w:tcPr>
            <w:tcW w:w="6379" w:type="dxa"/>
            <w:tcBorders>
              <w:top w:val="nil"/>
              <w:left w:val="nil"/>
              <w:bottom w:val="nil"/>
              <w:right w:val="nil"/>
            </w:tcBorders>
            <w:shd w:val="clear" w:color="auto" w:fill="auto"/>
            <w:vAlign w:val="center"/>
            <w:hideMark/>
          </w:tcPr>
          <w:p w14:paraId="5133364F" w14:textId="77777777" w:rsidR="00CC047E" w:rsidRPr="00774D8C" w:rsidRDefault="00CC047E" w:rsidP="00EC6CB1">
            <w:pPr>
              <w:spacing w:after="0"/>
              <w:rPr>
                <w:rFonts w:eastAsia="Times New Roman" w:cs="Times New Roman"/>
                <w:sz w:val="20"/>
                <w:szCs w:val="20"/>
              </w:rPr>
            </w:pPr>
            <w:r w:rsidRPr="00774D8C">
              <w:rPr>
                <w:rFonts w:eastAsia="Times New Roman" w:cs="Times New Roman"/>
                <w:sz w:val="20"/>
                <w:szCs w:val="20"/>
              </w:rPr>
              <w:t>Вдигане на</w:t>
            </w:r>
            <w:r>
              <w:rPr>
                <w:rFonts w:eastAsia="Times New Roman" w:cs="Times New Roman"/>
                <w:sz w:val="20"/>
                <w:szCs w:val="20"/>
              </w:rPr>
              <w:t xml:space="preserve"> осигурителните вноски за фонд „Пенсии“</w:t>
            </w:r>
            <w:r w:rsidRPr="00774D8C">
              <w:rPr>
                <w:rFonts w:eastAsia="Times New Roman" w:cs="Times New Roman"/>
                <w:sz w:val="20"/>
                <w:szCs w:val="20"/>
              </w:rPr>
              <w:t xml:space="preserve"> с 1 </w:t>
            </w:r>
            <w:proofErr w:type="spellStart"/>
            <w:r w:rsidRPr="00774D8C">
              <w:rPr>
                <w:rFonts w:eastAsia="Times New Roman" w:cs="Times New Roman"/>
                <w:sz w:val="20"/>
                <w:szCs w:val="20"/>
              </w:rPr>
              <w:t>п</w:t>
            </w:r>
            <w:r>
              <w:rPr>
                <w:rFonts w:eastAsia="Times New Roman" w:cs="Times New Roman"/>
                <w:sz w:val="20"/>
                <w:szCs w:val="20"/>
              </w:rPr>
              <w:t>р</w:t>
            </w:r>
            <w:r w:rsidRPr="00774D8C">
              <w:rPr>
                <w:rFonts w:eastAsia="Times New Roman" w:cs="Times New Roman"/>
                <w:sz w:val="20"/>
                <w:szCs w:val="20"/>
              </w:rPr>
              <w:t>.п</w:t>
            </w:r>
            <w:proofErr w:type="spellEnd"/>
            <w:r w:rsidRPr="00774D8C">
              <w:rPr>
                <w:rFonts w:eastAsia="Times New Roman" w:cs="Times New Roman"/>
                <w:sz w:val="20"/>
                <w:szCs w:val="20"/>
              </w:rPr>
              <w:t xml:space="preserve">. от 1 януари 2027 г. и с 2 </w:t>
            </w:r>
            <w:proofErr w:type="spellStart"/>
            <w:r w:rsidRPr="00774D8C">
              <w:rPr>
                <w:rFonts w:eastAsia="Times New Roman" w:cs="Times New Roman"/>
                <w:sz w:val="20"/>
                <w:szCs w:val="20"/>
              </w:rPr>
              <w:t>п</w:t>
            </w:r>
            <w:r>
              <w:rPr>
                <w:rFonts w:eastAsia="Times New Roman" w:cs="Times New Roman"/>
                <w:sz w:val="20"/>
                <w:szCs w:val="20"/>
              </w:rPr>
              <w:t>р</w:t>
            </w:r>
            <w:r w:rsidRPr="00774D8C">
              <w:rPr>
                <w:rFonts w:eastAsia="Times New Roman" w:cs="Times New Roman"/>
                <w:sz w:val="20"/>
                <w:szCs w:val="20"/>
              </w:rPr>
              <w:t>.п</w:t>
            </w:r>
            <w:proofErr w:type="spellEnd"/>
            <w:r w:rsidRPr="00774D8C">
              <w:rPr>
                <w:rFonts w:eastAsia="Times New Roman" w:cs="Times New Roman"/>
                <w:sz w:val="20"/>
                <w:szCs w:val="20"/>
              </w:rPr>
              <w:t xml:space="preserve">. от 1 януари 2028 г., без сектор </w:t>
            </w:r>
            <w:r>
              <w:rPr>
                <w:rFonts w:eastAsia="Times New Roman" w:cs="Times New Roman"/>
                <w:sz w:val="20"/>
                <w:szCs w:val="20"/>
              </w:rPr>
              <w:t>„Отбрана“</w:t>
            </w:r>
          </w:p>
        </w:tc>
        <w:tc>
          <w:tcPr>
            <w:tcW w:w="890" w:type="dxa"/>
            <w:tcBorders>
              <w:top w:val="nil"/>
              <w:left w:val="nil"/>
              <w:bottom w:val="nil"/>
              <w:right w:val="nil"/>
            </w:tcBorders>
            <w:shd w:val="clear" w:color="auto" w:fill="auto"/>
            <w:vAlign w:val="center"/>
            <w:hideMark/>
          </w:tcPr>
          <w:p w14:paraId="34B74FF7" w14:textId="77777777" w:rsidR="00CC047E" w:rsidRPr="00774D8C" w:rsidRDefault="00CC047E" w:rsidP="00EC6CB1">
            <w:pPr>
              <w:spacing w:after="0"/>
              <w:jc w:val="left"/>
              <w:rPr>
                <w:rFonts w:eastAsia="Times New Roman" w:cs="Times New Roman"/>
                <w:sz w:val="20"/>
                <w:szCs w:val="20"/>
              </w:rPr>
            </w:pPr>
          </w:p>
        </w:tc>
        <w:tc>
          <w:tcPr>
            <w:tcW w:w="960" w:type="dxa"/>
            <w:tcBorders>
              <w:top w:val="nil"/>
              <w:left w:val="nil"/>
              <w:bottom w:val="nil"/>
              <w:right w:val="nil"/>
            </w:tcBorders>
            <w:shd w:val="clear" w:color="auto" w:fill="auto"/>
            <w:vAlign w:val="center"/>
            <w:hideMark/>
          </w:tcPr>
          <w:p w14:paraId="77837358"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43,3</w:t>
            </w:r>
          </w:p>
        </w:tc>
        <w:tc>
          <w:tcPr>
            <w:tcW w:w="960" w:type="dxa"/>
            <w:tcBorders>
              <w:top w:val="nil"/>
              <w:left w:val="nil"/>
              <w:bottom w:val="nil"/>
              <w:right w:val="nil"/>
            </w:tcBorders>
            <w:shd w:val="clear" w:color="auto" w:fill="auto"/>
            <w:vAlign w:val="center"/>
            <w:hideMark/>
          </w:tcPr>
          <w:p w14:paraId="08ECF527"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89,5</w:t>
            </w:r>
          </w:p>
        </w:tc>
      </w:tr>
      <w:tr w:rsidR="00CC047E" w:rsidRPr="00774D8C" w14:paraId="00BD1144" w14:textId="77777777" w:rsidTr="00EC6CB1">
        <w:trPr>
          <w:trHeight w:val="510"/>
        </w:trPr>
        <w:tc>
          <w:tcPr>
            <w:tcW w:w="6379" w:type="dxa"/>
            <w:tcBorders>
              <w:top w:val="nil"/>
              <w:left w:val="nil"/>
              <w:bottom w:val="nil"/>
              <w:right w:val="nil"/>
            </w:tcBorders>
            <w:shd w:val="clear" w:color="auto" w:fill="auto"/>
            <w:vAlign w:val="center"/>
            <w:hideMark/>
          </w:tcPr>
          <w:p w14:paraId="6EC4EF5F" w14:textId="77777777" w:rsidR="00CC047E" w:rsidRPr="00774D8C" w:rsidRDefault="00CC047E" w:rsidP="00EC6CB1">
            <w:pPr>
              <w:spacing w:after="0"/>
              <w:rPr>
                <w:rFonts w:eastAsia="Times New Roman" w:cs="Times New Roman"/>
                <w:sz w:val="20"/>
                <w:szCs w:val="20"/>
              </w:rPr>
            </w:pPr>
            <w:r w:rsidRPr="00774D8C">
              <w:rPr>
                <w:rFonts w:eastAsia="Times New Roman" w:cs="Times New Roman"/>
                <w:sz w:val="20"/>
                <w:szCs w:val="20"/>
              </w:rPr>
              <w:t>Увеличение на разходите за осигурителни вноски поради покачването на максималния осигурителен доход</w:t>
            </w:r>
          </w:p>
        </w:tc>
        <w:tc>
          <w:tcPr>
            <w:tcW w:w="890" w:type="dxa"/>
            <w:tcBorders>
              <w:top w:val="nil"/>
              <w:left w:val="nil"/>
              <w:bottom w:val="nil"/>
              <w:right w:val="nil"/>
            </w:tcBorders>
            <w:shd w:val="clear" w:color="auto" w:fill="auto"/>
            <w:vAlign w:val="center"/>
            <w:hideMark/>
          </w:tcPr>
          <w:p w14:paraId="141FF9FD" w14:textId="77777777" w:rsidR="00CC047E" w:rsidRPr="00774D8C" w:rsidRDefault="00CC047E" w:rsidP="00EC6CB1">
            <w:pPr>
              <w:spacing w:after="0"/>
              <w:ind w:firstLineChars="100" w:firstLine="200"/>
              <w:jc w:val="right"/>
              <w:rPr>
                <w:rFonts w:eastAsia="Times New Roman" w:cs="Times New Roman"/>
                <w:sz w:val="20"/>
                <w:szCs w:val="20"/>
              </w:rPr>
            </w:pPr>
            <w:r w:rsidRPr="00CC047E">
              <w:rPr>
                <w:rFonts w:eastAsia="Times New Roman" w:cs="Times New Roman"/>
                <w:sz w:val="20"/>
                <w:szCs w:val="20"/>
              </w:rPr>
              <w:t>24,2</w:t>
            </w:r>
          </w:p>
        </w:tc>
        <w:tc>
          <w:tcPr>
            <w:tcW w:w="960" w:type="dxa"/>
            <w:tcBorders>
              <w:top w:val="nil"/>
              <w:left w:val="nil"/>
              <w:bottom w:val="nil"/>
              <w:right w:val="nil"/>
            </w:tcBorders>
            <w:shd w:val="clear" w:color="auto" w:fill="auto"/>
            <w:vAlign w:val="center"/>
            <w:hideMark/>
          </w:tcPr>
          <w:p w14:paraId="29C616BC"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19,8</w:t>
            </w:r>
          </w:p>
        </w:tc>
        <w:tc>
          <w:tcPr>
            <w:tcW w:w="960" w:type="dxa"/>
            <w:tcBorders>
              <w:top w:val="nil"/>
              <w:left w:val="nil"/>
              <w:bottom w:val="nil"/>
              <w:right w:val="nil"/>
            </w:tcBorders>
            <w:shd w:val="clear" w:color="auto" w:fill="auto"/>
            <w:vAlign w:val="center"/>
            <w:hideMark/>
          </w:tcPr>
          <w:p w14:paraId="2F62EA23"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20,5</w:t>
            </w:r>
          </w:p>
        </w:tc>
      </w:tr>
      <w:tr w:rsidR="00CC047E" w:rsidRPr="00774D8C" w14:paraId="398B871F" w14:textId="77777777" w:rsidTr="00EC6CB1">
        <w:trPr>
          <w:trHeight w:val="1530"/>
        </w:trPr>
        <w:tc>
          <w:tcPr>
            <w:tcW w:w="6379" w:type="dxa"/>
            <w:tcBorders>
              <w:top w:val="nil"/>
              <w:left w:val="nil"/>
              <w:bottom w:val="nil"/>
              <w:right w:val="nil"/>
            </w:tcBorders>
            <w:shd w:val="clear" w:color="auto" w:fill="auto"/>
            <w:vAlign w:val="center"/>
            <w:hideMark/>
          </w:tcPr>
          <w:p w14:paraId="704C1B4B" w14:textId="77777777" w:rsidR="00CC047E" w:rsidRPr="00774D8C" w:rsidRDefault="00CC047E" w:rsidP="00EC6CB1">
            <w:pPr>
              <w:spacing w:after="0"/>
              <w:rPr>
                <w:rFonts w:eastAsia="Times New Roman" w:cs="Times New Roman"/>
                <w:sz w:val="20"/>
                <w:szCs w:val="20"/>
              </w:rPr>
            </w:pPr>
            <w:r w:rsidRPr="00774D8C">
              <w:rPr>
                <w:rFonts w:eastAsia="Times New Roman" w:cs="Times New Roman"/>
                <w:sz w:val="20"/>
                <w:szCs w:val="20"/>
              </w:rPr>
              <w:lastRenderedPageBreak/>
              <w:t xml:space="preserve">Повишаване на паричното обезщетение за отглеждане на дете до 2-годишна възраст и за отглеждане на дете до 8-годишна възраст от бащата </w:t>
            </w:r>
            <w:r>
              <w:rPr>
                <w:rFonts w:eastAsia="Times New Roman" w:cs="Times New Roman"/>
                <w:sz w:val="20"/>
                <w:szCs w:val="20"/>
              </w:rPr>
              <w:t>(осиновителя) от 780 лв. на 460,</w:t>
            </w:r>
            <w:r w:rsidRPr="00774D8C">
              <w:rPr>
                <w:rFonts w:eastAsia="Times New Roman" w:cs="Times New Roman"/>
                <w:sz w:val="20"/>
                <w:szCs w:val="20"/>
              </w:rPr>
              <w:t xml:space="preserve">17евро от 01.01.2026 г. и повишаване размера от 50 на сто на 75 на сто на паричното обезщетение при </w:t>
            </w:r>
            <w:proofErr w:type="spellStart"/>
            <w:r w:rsidRPr="00774D8C">
              <w:rPr>
                <w:rFonts w:eastAsia="Times New Roman" w:cs="Times New Roman"/>
                <w:sz w:val="20"/>
                <w:szCs w:val="20"/>
              </w:rPr>
              <w:t>неизползване</w:t>
            </w:r>
            <w:proofErr w:type="spellEnd"/>
            <w:r w:rsidRPr="00774D8C">
              <w:rPr>
                <w:rFonts w:eastAsia="Times New Roman" w:cs="Times New Roman"/>
                <w:sz w:val="20"/>
                <w:szCs w:val="20"/>
              </w:rPr>
              <w:t xml:space="preserve"> на отпуска за бременност и раждане, за отглеждане на дете до 2-годишна възраст и при осиновяване на дете до 5-годишна възраст</w:t>
            </w:r>
          </w:p>
        </w:tc>
        <w:tc>
          <w:tcPr>
            <w:tcW w:w="890" w:type="dxa"/>
            <w:tcBorders>
              <w:top w:val="nil"/>
              <w:left w:val="nil"/>
              <w:bottom w:val="nil"/>
              <w:right w:val="nil"/>
            </w:tcBorders>
            <w:shd w:val="clear" w:color="auto" w:fill="auto"/>
            <w:vAlign w:val="center"/>
            <w:hideMark/>
          </w:tcPr>
          <w:p w14:paraId="32BFF1ED"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12,6</w:t>
            </w:r>
          </w:p>
        </w:tc>
        <w:tc>
          <w:tcPr>
            <w:tcW w:w="960" w:type="dxa"/>
            <w:tcBorders>
              <w:top w:val="nil"/>
              <w:left w:val="nil"/>
              <w:bottom w:val="nil"/>
              <w:right w:val="nil"/>
            </w:tcBorders>
            <w:shd w:val="clear" w:color="auto" w:fill="auto"/>
            <w:vAlign w:val="center"/>
            <w:hideMark/>
          </w:tcPr>
          <w:p w14:paraId="08B0E2D9" w14:textId="77777777" w:rsidR="00CC047E" w:rsidRPr="00774D8C" w:rsidRDefault="00CC047E" w:rsidP="00EC6CB1">
            <w:pPr>
              <w:spacing w:after="0"/>
              <w:ind w:firstLineChars="100" w:firstLine="200"/>
              <w:jc w:val="right"/>
              <w:rPr>
                <w:rFonts w:eastAsia="Times New Roman" w:cs="Times New Roman"/>
                <w:sz w:val="20"/>
                <w:szCs w:val="20"/>
              </w:rPr>
            </w:pPr>
          </w:p>
        </w:tc>
        <w:tc>
          <w:tcPr>
            <w:tcW w:w="960" w:type="dxa"/>
            <w:tcBorders>
              <w:top w:val="nil"/>
              <w:left w:val="nil"/>
              <w:bottom w:val="nil"/>
              <w:right w:val="nil"/>
            </w:tcBorders>
            <w:shd w:val="clear" w:color="auto" w:fill="auto"/>
            <w:vAlign w:val="center"/>
            <w:hideMark/>
          </w:tcPr>
          <w:p w14:paraId="04FB58D5" w14:textId="77777777" w:rsidR="00CC047E" w:rsidRPr="00774D8C" w:rsidRDefault="00CC047E" w:rsidP="00EC6CB1">
            <w:pPr>
              <w:spacing w:after="0"/>
              <w:ind w:firstLineChars="100" w:firstLine="200"/>
              <w:jc w:val="right"/>
              <w:rPr>
                <w:rFonts w:eastAsia="Times New Roman" w:cs="Times New Roman"/>
                <w:sz w:val="20"/>
                <w:szCs w:val="20"/>
              </w:rPr>
            </w:pPr>
          </w:p>
        </w:tc>
      </w:tr>
      <w:tr w:rsidR="00CC047E" w:rsidRPr="00774D8C" w14:paraId="665C4F23" w14:textId="77777777" w:rsidTr="00EC6CB1">
        <w:trPr>
          <w:trHeight w:val="510"/>
        </w:trPr>
        <w:tc>
          <w:tcPr>
            <w:tcW w:w="6379" w:type="dxa"/>
            <w:tcBorders>
              <w:top w:val="nil"/>
              <w:left w:val="nil"/>
              <w:bottom w:val="nil"/>
              <w:right w:val="nil"/>
            </w:tcBorders>
            <w:shd w:val="clear" w:color="auto" w:fill="auto"/>
            <w:vAlign w:val="center"/>
            <w:hideMark/>
          </w:tcPr>
          <w:p w14:paraId="38CB7C64" w14:textId="77777777" w:rsidR="00CC047E" w:rsidRPr="00774D8C" w:rsidRDefault="00CC047E" w:rsidP="00EC6CB1">
            <w:pPr>
              <w:spacing w:after="0"/>
              <w:rPr>
                <w:rFonts w:eastAsia="Times New Roman" w:cs="Times New Roman"/>
                <w:sz w:val="20"/>
                <w:szCs w:val="20"/>
              </w:rPr>
            </w:pPr>
            <w:r w:rsidRPr="00774D8C">
              <w:rPr>
                <w:rFonts w:eastAsia="Times New Roman" w:cs="Times New Roman"/>
                <w:sz w:val="20"/>
                <w:szCs w:val="20"/>
              </w:rPr>
              <w:t>Здравно осигуряване за сметка на държавния бюджет на разселени лица от Украйна</w:t>
            </w:r>
          </w:p>
        </w:tc>
        <w:tc>
          <w:tcPr>
            <w:tcW w:w="890" w:type="dxa"/>
            <w:tcBorders>
              <w:top w:val="nil"/>
              <w:left w:val="nil"/>
              <w:bottom w:val="nil"/>
              <w:right w:val="nil"/>
            </w:tcBorders>
            <w:shd w:val="clear" w:color="auto" w:fill="auto"/>
            <w:vAlign w:val="center"/>
            <w:hideMark/>
          </w:tcPr>
          <w:p w14:paraId="716FD0C8" w14:textId="77777777" w:rsidR="00CC047E" w:rsidRPr="00774D8C" w:rsidRDefault="00CC047E" w:rsidP="00EC6CB1">
            <w:pPr>
              <w:spacing w:after="0"/>
              <w:jc w:val="left"/>
              <w:rPr>
                <w:rFonts w:eastAsia="Times New Roman" w:cs="Times New Roman"/>
                <w:sz w:val="20"/>
                <w:szCs w:val="20"/>
              </w:rPr>
            </w:pPr>
          </w:p>
        </w:tc>
        <w:tc>
          <w:tcPr>
            <w:tcW w:w="960" w:type="dxa"/>
            <w:tcBorders>
              <w:top w:val="nil"/>
              <w:left w:val="nil"/>
              <w:bottom w:val="nil"/>
              <w:right w:val="nil"/>
            </w:tcBorders>
            <w:shd w:val="clear" w:color="auto" w:fill="auto"/>
            <w:vAlign w:val="center"/>
            <w:hideMark/>
          </w:tcPr>
          <w:p w14:paraId="69A97B4B" w14:textId="77777777" w:rsidR="00CC047E" w:rsidRPr="00774D8C" w:rsidRDefault="00CC047E" w:rsidP="00EC6CB1">
            <w:pPr>
              <w:spacing w:after="0"/>
              <w:ind w:firstLineChars="100" w:firstLine="200"/>
              <w:jc w:val="right"/>
              <w:rPr>
                <w:rFonts w:eastAsia="Times New Roman" w:cs="Times New Roman"/>
                <w:sz w:val="20"/>
                <w:szCs w:val="20"/>
              </w:rPr>
            </w:pPr>
            <w:r w:rsidRPr="00774D8C">
              <w:rPr>
                <w:rFonts w:eastAsia="Times New Roman" w:cs="Times New Roman"/>
                <w:sz w:val="20"/>
                <w:szCs w:val="20"/>
              </w:rPr>
              <w:t>-2,8</w:t>
            </w:r>
          </w:p>
        </w:tc>
        <w:tc>
          <w:tcPr>
            <w:tcW w:w="960" w:type="dxa"/>
            <w:tcBorders>
              <w:top w:val="nil"/>
              <w:left w:val="nil"/>
              <w:bottom w:val="nil"/>
              <w:right w:val="nil"/>
            </w:tcBorders>
            <w:shd w:val="clear" w:color="auto" w:fill="auto"/>
            <w:vAlign w:val="center"/>
            <w:hideMark/>
          </w:tcPr>
          <w:p w14:paraId="25EBE927" w14:textId="77777777" w:rsidR="00CC047E" w:rsidRPr="00774D8C" w:rsidRDefault="00CC047E" w:rsidP="00EC6CB1">
            <w:pPr>
              <w:spacing w:after="0"/>
              <w:ind w:firstLineChars="100" w:firstLine="200"/>
              <w:jc w:val="right"/>
              <w:rPr>
                <w:rFonts w:eastAsia="Times New Roman" w:cs="Times New Roman"/>
                <w:sz w:val="20"/>
                <w:szCs w:val="20"/>
              </w:rPr>
            </w:pPr>
          </w:p>
        </w:tc>
      </w:tr>
      <w:tr w:rsidR="00CC047E" w:rsidRPr="00774D8C" w14:paraId="642888D4" w14:textId="77777777" w:rsidTr="00EC6CB1">
        <w:trPr>
          <w:trHeight w:val="300"/>
        </w:trPr>
        <w:tc>
          <w:tcPr>
            <w:tcW w:w="6379" w:type="dxa"/>
            <w:tcBorders>
              <w:top w:val="nil"/>
              <w:left w:val="nil"/>
              <w:bottom w:val="single" w:sz="4" w:space="0" w:color="595959"/>
              <w:right w:val="nil"/>
            </w:tcBorders>
            <w:shd w:val="clear" w:color="auto" w:fill="auto"/>
            <w:vAlign w:val="center"/>
            <w:hideMark/>
          </w:tcPr>
          <w:p w14:paraId="7E54E6F9" w14:textId="77777777" w:rsidR="00CC047E" w:rsidRPr="00774D8C" w:rsidRDefault="00CC047E" w:rsidP="00EC6CB1">
            <w:pPr>
              <w:spacing w:after="0"/>
              <w:rPr>
                <w:rFonts w:eastAsia="Times New Roman" w:cs="Times New Roman"/>
                <w:b/>
                <w:bCs/>
                <w:color w:val="000000"/>
                <w:sz w:val="20"/>
                <w:szCs w:val="20"/>
              </w:rPr>
            </w:pPr>
            <w:r w:rsidRPr="00774D8C">
              <w:rPr>
                <w:rFonts w:eastAsia="Times New Roman" w:cs="Times New Roman"/>
                <w:b/>
                <w:bCs/>
                <w:color w:val="000000"/>
                <w:sz w:val="20"/>
                <w:szCs w:val="20"/>
              </w:rPr>
              <w:t>Общо:</w:t>
            </w:r>
          </w:p>
        </w:tc>
        <w:tc>
          <w:tcPr>
            <w:tcW w:w="890" w:type="dxa"/>
            <w:tcBorders>
              <w:top w:val="nil"/>
              <w:left w:val="nil"/>
              <w:bottom w:val="single" w:sz="4" w:space="0" w:color="595959"/>
              <w:right w:val="nil"/>
            </w:tcBorders>
            <w:shd w:val="clear" w:color="auto" w:fill="auto"/>
            <w:noWrap/>
            <w:vAlign w:val="center"/>
            <w:hideMark/>
          </w:tcPr>
          <w:p w14:paraId="1A2DE8ED" w14:textId="77777777" w:rsidR="00CC047E" w:rsidRPr="00CC047E" w:rsidRDefault="00CC047E" w:rsidP="00EC6CB1">
            <w:pPr>
              <w:spacing w:after="0"/>
              <w:jc w:val="right"/>
              <w:rPr>
                <w:rFonts w:eastAsia="Times New Roman" w:cs="Times New Roman"/>
                <w:b/>
                <w:bCs/>
                <w:color w:val="000000"/>
                <w:sz w:val="20"/>
                <w:szCs w:val="20"/>
              </w:rPr>
            </w:pPr>
            <w:r w:rsidRPr="00CC047E">
              <w:rPr>
                <w:rFonts w:eastAsia="Times New Roman" w:cs="Times New Roman"/>
                <w:b/>
                <w:bCs/>
                <w:color w:val="000000"/>
                <w:sz w:val="20"/>
                <w:szCs w:val="20"/>
              </w:rPr>
              <w:t>901,1</w:t>
            </w:r>
          </w:p>
        </w:tc>
        <w:tc>
          <w:tcPr>
            <w:tcW w:w="960" w:type="dxa"/>
            <w:tcBorders>
              <w:top w:val="nil"/>
              <w:left w:val="nil"/>
              <w:bottom w:val="single" w:sz="4" w:space="0" w:color="595959"/>
              <w:right w:val="nil"/>
            </w:tcBorders>
            <w:shd w:val="clear" w:color="auto" w:fill="auto"/>
            <w:noWrap/>
            <w:vAlign w:val="center"/>
            <w:hideMark/>
          </w:tcPr>
          <w:p w14:paraId="6E4D9959" w14:textId="77777777" w:rsidR="00CC047E" w:rsidRPr="00CC047E" w:rsidRDefault="00CC047E" w:rsidP="00EC6CB1">
            <w:pPr>
              <w:spacing w:after="0"/>
              <w:jc w:val="right"/>
              <w:rPr>
                <w:rFonts w:eastAsia="Times New Roman" w:cs="Times New Roman"/>
                <w:b/>
                <w:bCs/>
                <w:color w:val="000000"/>
                <w:sz w:val="20"/>
                <w:szCs w:val="20"/>
              </w:rPr>
            </w:pPr>
            <w:r w:rsidRPr="00CC047E">
              <w:rPr>
                <w:rFonts w:eastAsia="Times New Roman" w:cs="Times New Roman"/>
                <w:b/>
                <w:bCs/>
                <w:color w:val="000000"/>
                <w:sz w:val="20"/>
                <w:szCs w:val="20"/>
              </w:rPr>
              <w:t>60,3</w:t>
            </w:r>
          </w:p>
        </w:tc>
        <w:tc>
          <w:tcPr>
            <w:tcW w:w="960" w:type="dxa"/>
            <w:tcBorders>
              <w:top w:val="nil"/>
              <w:left w:val="nil"/>
              <w:bottom w:val="single" w:sz="4" w:space="0" w:color="595959"/>
              <w:right w:val="nil"/>
            </w:tcBorders>
            <w:shd w:val="clear" w:color="auto" w:fill="auto"/>
            <w:noWrap/>
            <w:vAlign w:val="center"/>
            <w:hideMark/>
          </w:tcPr>
          <w:p w14:paraId="3200CF96" w14:textId="77777777" w:rsidR="00CC047E" w:rsidRPr="00774D8C" w:rsidRDefault="00CC047E" w:rsidP="00EC6CB1">
            <w:pPr>
              <w:spacing w:after="0"/>
              <w:jc w:val="right"/>
              <w:rPr>
                <w:rFonts w:eastAsia="Times New Roman" w:cs="Times New Roman"/>
                <w:b/>
                <w:bCs/>
                <w:color w:val="000000"/>
                <w:sz w:val="20"/>
                <w:szCs w:val="20"/>
              </w:rPr>
            </w:pPr>
            <w:r w:rsidRPr="00774D8C">
              <w:rPr>
                <w:rFonts w:eastAsia="Times New Roman" w:cs="Times New Roman"/>
                <w:b/>
                <w:bCs/>
                <w:color w:val="000000"/>
                <w:sz w:val="20"/>
                <w:szCs w:val="20"/>
              </w:rPr>
              <w:t>110,0</w:t>
            </w:r>
          </w:p>
        </w:tc>
      </w:tr>
    </w:tbl>
    <w:p w14:paraId="021616F8" w14:textId="77777777" w:rsidR="00AA1D2F" w:rsidRPr="00B1311D" w:rsidRDefault="00AA1D2F" w:rsidP="00AA1D2F">
      <w:pPr>
        <w:spacing w:before="120"/>
        <w:ind w:firstLine="850"/>
        <w:jc w:val="right"/>
        <w:rPr>
          <w:rFonts w:eastAsia="Batang" w:cs="Times New Roman"/>
          <w:sz w:val="18"/>
          <w:szCs w:val="18"/>
        </w:rPr>
      </w:pPr>
      <w:r>
        <w:rPr>
          <w:rFonts w:eastAsia="Batang" w:cs="Times New Roman"/>
          <w:sz w:val="18"/>
          <w:szCs w:val="18"/>
        </w:rPr>
        <w:t>Източник: МФ</w:t>
      </w:r>
    </w:p>
    <w:p w14:paraId="247BD56D" w14:textId="77777777" w:rsidR="00083361" w:rsidRDefault="00531E97" w:rsidP="0047584C">
      <w:pPr>
        <w:pStyle w:val="Heading3"/>
        <w:ind w:left="0"/>
        <w:rPr>
          <w:rStyle w:val="Strong"/>
          <w:b/>
          <w:bCs/>
        </w:rPr>
      </w:pPr>
      <w:r>
        <w:rPr>
          <w:rStyle w:val="Strong"/>
          <w:b/>
          <w:bCs/>
        </w:rPr>
        <w:t>С</w:t>
      </w:r>
      <w:r w:rsidR="00464E7E" w:rsidRPr="00006A45">
        <w:rPr>
          <w:rStyle w:val="Strong"/>
          <w:b/>
          <w:bCs/>
        </w:rPr>
        <w:t>ъпос</w:t>
      </w:r>
      <w:r w:rsidR="00D427A3">
        <w:rPr>
          <w:rStyle w:val="Strong"/>
          <w:b/>
          <w:bCs/>
        </w:rPr>
        <w:t>тавка на прогнозата за сектор „Д</w:t>
      </w:r>
      <w:r w:rsidR="00464E7E" w:rsidRPr="00006A45">
        <w:rPr>
          <w:rStyle w:val="Strong"/>
          <w:b/>
          <w:bCs/>
        </w:rPr>
        <w:t>ържавно управление“ с тази на европейската комисия</w:t>
      </w:r>
    </w:p>
    <w:p w14:paraId="3DB78C52" w14:textId="77777777" w:rsidR="00493B3B" w:rsidRDefault="00493B3B" w:rsidP="00493B3B">
      <w:bookmarkStart w:id="224" w:name="_Toc464737643"/>
      <w:bookmarkStart w:id="225" w:name="_Toc465239625"/>
      <w:r>
        <w:t xml:space="preserve">В тази част се прави съпоставка на средносрочната прогноза за сектор „Държавно управление“ на Министерството на финансите спрямо последната фискална прогноза на Европейската комисия от пролетта на 2025 г. , която обхваща периода 2025-2026 г. Следва да се имат предвид различните бази и изменения в макроикономическите сценарии на двете институции, които обуславят различията по отношение на очакваните фискални резултати. </w:t>
      </w:r>
    </w:p>
    <w:p w14:paraId="458EE87A" w14:textId="77777777" w:rsidR="00493B3B" w:rsidRDefault="00493B3B" w:rsidP="00493B3B">
      <w:r>
        <w:t>Прогнозата на ЕК е за по-нисък дефицит на сектор „Държавно управление“ за периода 2025-2026 г. в сравнение с прогнозата на МФ – съответно -2,</w:t>
      </w:r>
      <w:r w:rsidR="008A52E2">
        <w:t>7</w:t>
      </w:r>
      <w:r>
        <w:t>% на Е</w:t>
      </w:r>
      <w:r w:rsidR="00203012">
        <w:t xml:space="preserve">К спрямо -3,0% на МФ за 2025 </w:t>
      </w:r>
      <w:r w:rsidR="00513F9B">
        <w:t xml:space="preserve">г. </w:t>
      </w:r>
      <w:r w:rsidR="00203012">
        <w:t xml:space="preserve">и </w:t>
      </w:r>
      <w:r>
        <w:t>2026 г.</w:t>
      </w:r>
    </w:p>
    <w:p w14:paraId="16795D20" w14:textId="77777777" w:rsidR="00EA454B" w:rsidRDefault="008A52E2" w:rsidP="00EA454B">
      <w:r w:rsidRPr="008A52E2">
        <w:t xml:space="preserve">Бюджетното салдо за 2025 г. в прогнозата на ЕК се постига при по-ниски приходи – с 0,9 </w:t>
      </w:r>
      <w:proofErr w:type="spellStart"/>
      <w:r w:rsidRPr="008A52E2">
        <w:t>пр.п</w:t>
      </w:r>
      <w:proofErr w:type="spellEnd"/>
      <w:r w:rsidRPr="008A52E2">
        <w:t xml:space="preserve">. и по-ниски разходи – с 0,9 </w:t>
      </w:r>
      <w:proofErr w:type="spellStart"/>
      <w:r w:rsidRPr="008A52E2">
        <w:t>пр.п</w:t>
      </w:r>
      <w:proofErr w:type="spellEnd"/>
      <w:r w:rsidRPr="008A52E2">
        <w:t xml:space="preserve">. в сравнение с прогнозата на МФ. За 2026 г. бюджетните приходи в прогнозата на ЕК са по-ниски с 1,1 </w:t>
      </w:r>
      <w:proofErr w:type="spellStart"/>
      <w:r w:rsidRPr="008A52E2">
        <w:t>пр.п</w:t>
      </w:r>
      <w:proofErr w:type="spellEnd"/>
      <w:r w:rsidRPr="008A52E2">
        <w:t xml:space="preserve">. в сравнение с прогнозата на МФ, а разходите съответно с 1,5 </w:t>
      </w:r>
      <w:proofErr w:type="spellStart"/>
      <w:r w:rsidRPr="008A52E2">
        <w:t>пр.п</w:t>
      </w:r>
      <w:proofErr w:type="spellEnd"/>
      <w:r w:rsidRPr="008A52E2">
        <w:t xml:space="preserve">. ЕК планира по-ниски лихвени разходи в сравнение с МФ – съответно с 0,0 </w:t>
      </w:r>
      <w:proofErr w:type="spellStart"/>
      <w:r w:rsidRPr="008A52E2">
        <w:t>пр.п</w:t>
      </w:r>
      <w:proofErr w:type="spellEnd"/>
      <w:r w:rsidRPr="008A52E2">
        <w:t xml:space="preserve">. за 2025 г. и с 0,1 </w:t>
      </w:r>
      <w:proofErr w:type="spellStart"/>
      <w:r w:rsidRPr="008A52E2">
        <w:t>пр.п</w:t>
      </w:r>
      <w:proofErr w:type="spellEnd"/>
      <w:r w:rsidRPr="008A52E2">
        <w:t>. за 2026 г.</w:t>
      </w:r>
    </w:p>
    <w:p w14:paraId="48F64F12" w14:textId="77777777" w:rsidR="00EA454B" w:rsidRPr="00EA454B" w:rsidRDefault="008A52E2" w:rsidP="00EA454B">
      <w:r w:rsidRPr="00EA454B">
        <w:t xml:space="preserve">Прогнозите на МФ за публичните инвестиции в </w:t>
      </w:r>
      <w:proofErr w:type="spellStart"/>
      <w:r w:rsidRPr="00EA454B">
        <w:t>брутообразуване</w:t>
      </w:r>
      <w:proofErr w:type="spellEnd"/>
      <w:r w:rsidRPr="00EA454B">
        <w:t xml:space="preserve"> на основен капитал за повечето години от прогнозния период са по-високи спрямо тези на ЕК. За 2025 г. МФ и ЕК прогнозират инвестиции в размер съответно на 4,6% и 4,2% от БВП. За 2026 г. се очаква намаление до 4,3% от БВП в прогнозата на МФ и намаление до 3,8% от БВП според прогнозата на ЕК.</w:t>
      </w:r>
      <w:bookmarkStart w:id="226" w:name="_Toc213229063"/>
    </w:p>
    <w:p w14:paraId="2C443317" w14:textId="77777777" w:rsidR="00F55E61" w:rsidRDefault="00604658" w:rsidP="00F55E61">
      <w:pPr>
        <w:pStyle w:val="Caption"/>
        <w:ind w:left="0" w:firstLine="0"/>
      </w:pPr>
      <w:r w:rsidRPr="00006A45">
        <w:t xml:space="preserve">Табл.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Табл. \* ARABIC \s 1 </w:instrText>
      </w:r>
      <w:r w:rsidR="00974F02">
        <w:fldChar w:fldCharType="separate"/>
      </w:r>
      <w:r w:rsidR="00841DFA">
        <w:rPr>
          <w:noProof/>
        </w:rPr>
        <w:t>11</w:t>
      </w:r>
      <w:r w:rsidR="00974F02">
        <w:rPr>
          <w:noProof/>
        </w:rPr>
        <w:fldChar w:fldCharType="end"/>
      </w:r>
      <w:r w:rsidRPr="00006A45">
        <w:t>:</w:t>
      </w:r>
      <w:bookmarkEnd w:id="224"/>
      <w:bookmarkEnd w:id="225"/>
      <w:r w:rsidR="00403073" w:rsidRPr="00006A45">
        <w:tab/>
      </w:r>
      <w:r w:rsidRPr="00006A45">
        <w:t>Сравнение на бюджетната прогноза на МФ с прогнозата на ЕК</w:t>
      </w:r>
      <w:bookmarkEnd w:id="226"/>
    </w:p>
    <w:tbl>
      <w:tblPr>
        <w:tblW w:w="4922" w:type="pct"/>
        <w:tblCellMar>
          <w:left w:w="70" w:type="dxa"/>
          <w:right w:w="70" w:type="dxa"/>
        </w:tblCellMar>
        <w:tblLook w:val="04A0" w:firstRow="1" w:lastRow="0" w:firstColumn="1" w:lastColumn="0" w:noHBand="0" w:noVBand="1"/>
      </w:tblPr>
      <w:tblGrid>
        <w:gridCol w:w="2885"/>
        <w:gridCol w:w="1102"/>
        <w:gridCol w:w="1234"/>
        <w:gridCol w:w="1236"/>
        <w:gridCol w:w="1234"/>
        <w:gridCol w:w="1238"/>
      </w:tblGrid>
      <w:tr w:rsidR="008A52E2" w:rsidRPr="00934D26" w14:paraId="4A810126" w14:textId="77777777" w:rsidTr="00EA454B">
        <w:trPr>
          <w:trHeight w:val="215"/>
        </w:trPr>
        <w:tc>
          <w:tcPr>
            <w:tcW w:w="1616" w:type="pct"/>
            <w:vMerge w:val="restart"/>
            <w:tcBorders>
              <w:top w:val="single" w:sz="4" w:space="0" w:color="auto"/>
            </w:tcBorders>
            <w:shd w:val="clear" w:color="auto" w:fill="auto"/>
            <w:vAlign w:val="center"/>
            <w:hideMark/>
          </w:tcPr>
          <w:p w14:paraId="4F68D31E"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Показатели,</w:t>
            </w:r>
            <w:r w:rsidRPr="00934D26">
              <w:rPr>
                <w:rFonts w:eastAsia="Times New Roman" w:cs="Times New Roman"/>
                <w:b/>
                <w:bCs/>
                <w:sz w:val="20"/>
                <w:szCs w:val="20"/>
              </w:rPr>
              <w:br/>
              <w:t>% от БВП</w:t>
            </w:r>
          </w:p>
        </w:tc>
        <w:tc>
          <w:tcPr>
            <w:tcW w:w="617" w:type="pct"/>
            <w:tcBorders>
              <w:top w:val="single" w:sz="4" w:space="0" w:color="auto"/>
            </w:tcBorders>
            <w:shd w:val="clear" w:color="auto" w:fill="auto"/>
            <w:vAlign w:val="center"/>
            <w:hideMark/>
          </w:tcPr>
          <w:p w14:paraId="037816F8"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2024</w:t>
            </w:r>
          </w:p>
        </w:tc>
        <w:tc>
          <w:tcPr>
            <w:tcW w:w="1383" w:type="pct"/>
            <w:gridSpan w:val="2"/>
            <w:tcBorders>
              <w:top w:val="single" w:sz="4" w:space="0" w:color="auto"/>
            </w:tcBorders>
            <w:shd w:val="clear" w:color="auto" w:fill="auto"/>
            <w:vAlign w:val="center"/>
            <w:hideMark/>
          </w:tcPr>
          <w:p w14:paraId="3115DF3E"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2025</w:t>
            </w:r>
          </w:p>
        </w:tc>
        <w:tc>
          <w:tcPr>
            <w:tcW w:w="1384" w:type="pct"/>
            <w:gridSpan w:val="2"/>
            <w:tcBorders>
              <w:top w:val="single" w:sz="4" w:space="0" w:color="auto"/>
            </w:tcBorders>
            <w:shd w:val="clear" w:color="auto" w:fill="auto"/>
            <w:vAlign w:val="center"/>
            <w:hideMark/>
          </w:tcPr>
          <w:p w14:paraId="2F221B60"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2026</w:t>
            </w:r>
          </w:p>
        </w:tc>
      </w:tr>
      <w:tr w:rsidR="008A52E2" w:rsidRPr="00934D26" w14:paraId="1C015E43" w14:textId="77777777" w:rsidTr="00EA454B">
        <w:trPr>
          <w:trHeight w:val="367"/>
        </w:trPr>
        <w:tc>
          <w:tcPr>
            <w:tcW w:w="1616" w:type="pct"/>
            <w:vMerge/>
            <w:tcBorders>
              <w:bottom w:val="single" w:sz="4" w:space="0" w:color="auto"/>
            </w:tcBorders>
            <w:vAlign w:val="center"/>
            <w:hideMark/>
          </w:tcPr>
          <w:p w14:paraId="5215EF63" w14:textId="77777777" w:rsidR="008A52E2" w:rsidRPr="00934D26" w:rsidRDefault="008A52E2" w:rsidP="002F7E7A">
            <w:pPr>
              <w:spacing w:after="0"/>
              <w:jc w:val="left"/>
              <w:rPr>
                <w:rFonts w:eastAsia="Times New Roman" w:cs="Times New Roman"/>
                <w:b/>
                <w:bCs/>
                <w:sz w:val="20"/>
                <w:szCs w:val="20"/>
              </w:rPr>
            </w:pPr>
          </w:p>
        </w:tc>
        <w:tc>
          <w:tcPr>
            <w:tcW w:w="617" w:type="pct"/>
            <w:tcBorders>
              <w:bottom w:val="single" w:sz="4" w:space="0" w:color="auto"/>
            </w:tcBorders>
            <w:shd w:val="clear" w:color="auto" w:fill="auto"/>
            <w:vAlign w:val="center"/>
            <w:hideMark/>
          </w:tcPr>
          <w:p w14:paraId="2E8D87FA"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МФ</w:t>
            </w:r>
            <w:r w:rsidRPr="00934D26">
              <w:rPr>
                <w:rFonts w:eastAsia="Times New Roman" w:cs="Times New Roman"/>
                <w:b/>
                <w:bCs/>
                <w:sz w:val="20"/>
                <w:szCs w:val="20"/>
              </w:rPr>
              <w:br/>
              <w:t>% от БВП</w:t>
            </w:r>
          </w:p>
        </w:tc>
        <w:tc>
          <w:tcPr>
            <w:tcW w:w="691" w:type="pct"/>
            <w:tcBorders>
              <w:bottom w:val="single" w:sz="4" w:space="0" w:color="auto"/>
            </w:tcBorders>
            <w:shd w:val="clear" w:color="auto" w:fill="auto"/>
            <w:vAlign w:val="center"/>
            <w:hideMark/>
          </w:tcPr>
          <w:p w14:paraId="06A64197"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МФ</w:t>
            </w:r>
            <w:r w:rsidRPr="00934D26">
              <w:rPr>
                <w:rFonts w:eastAsia="Times New Roman" w:cs="Times New Roman"/>
                <w:b/>
                <w:bCs/>
                <w:sz w:val="20"/>
                <w:szCs w:val="20"/>
              </w:rPr>
              <w:br/>
              <w:t>% от БВП</w:t>
            </w:r>
          </w:p>
        </w:tc>
        <w:tc>
          <w:tcPr>
            <w:tcW w:w="692" w:type="pct"/>
            <w:tcBorders>
              <w:bottom w:val="single" w:sz="4" w:space="0" w:color="auto"/>
            </w:tcBorders>
            <w:shd w:val="clear" w:color="auto" w:fill="auto"/>
            <w:vAlign w:val="center"/>
            <w:hideMark/>
          </w:tcPr>
          <w:p w14:paraId="332EE113"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ЕК</w:t>
            </w:r>
            <w:r w:rsidRPr="00934D26">
              <w:rPr>
                <w:rFonts w:eastAsia="Times New Roman" w:cs="Times New Roman"/>
                <w:b/>
                <w:bCs/>
                <w:sz w:val="20"/>
                <w:szCs w:val="20"/>
              </w:rPr>
              <w:br/>
              <w:t>% от БВП</w:t>
            </w:r>
          </w:p>
        </w:tc>
        <w:tc>
          <w:tcPr>
            <w:tcW w:w="691" w:type="pct"/>
            <w:tcBorders>
              <w:bottom w:val="single" w:sz="4" w:space="0" w:color="auto"/>
            </w:tcBorders>
            <w:shd w:val="clear" w:color="auto" w:fill="auto"/>
            <w:vAlign w:val="center"/>
            <w:hideMark/>
          </w:tcPr>
          <w:p w14:paraId="287D579E"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МФ</w:t>
            </w:r>
            <w:r w:rsidRPr="00934D26">
              <w:rPr>
                <w:rFonts w:eastAsia="Times New Roman" w:cs="Times New Roman"/>
                <w:b/>
                <w:bCs/>
                <w:sz w:val="20"/>
                <w:szCs w:val="20"/>
              </w:rPr>
              <w:br/>
              <w:t>% от БВП</w:t>
            </w:r>
          </w:p>
        </w:tc>
        <w:tc>
          <w:tcPr>
            <w:tcW w:w="693" w:type="pct"/>
            <w:tcBorders>
              <w:bottom w:val="single" w:sz="4" w:space="0" w:color="auto"/>
            </w:tcBorders>
            <w:shd w:val="clear" w:color="auto" w:fill="auto"/>
            <w:vAlign w:val="center"/>
            <w:hideMark/>
          </w:tcPr>
          <w:p w14:paraId="6B970756" w14:textId="77777777" w:rsidR="008A52E2" w:rsidRPr="00934D26" w:rsidRDefault="008A52E2" w:rsidP="002F7E7A">
            <w:pPr>
              <w:spacing w:after="0"/>
              <w:jc w:val="center"/>
              <w:rPr>
                <w:rFonts w:eastAsia="Times New Roman" w:cs="Times New Roman"/>
                <w:b/>
                <w:bCs/>
                <w:sz w:val="20"/>
                <w:szCs w:val="20"/>
              </w:rPr>
            </w:pPr>
            <w:r w:rsidRPr="00934D26">
              <w:rPr>
                <w:rFonts w:eastAsia="Times New Roman" w:cs="Times New Roman"/>
                <w:b/>
                <w:bCs/>
                <w:sz w:val="20"/>
                <w:szCs w:val="20"/>
              </w:rPr>
              <w:t>ЕК</w:t>
            </w:r>
            <w:r w:rsidRPr="00934D26">
              <w:rPr>
                <w:rFonts w:eastAsia="Times New Roman" w:cs="Times New Roman"/>
                <w:b/>
                <w:bCs/>
                <w:sz w:val="20"/>
                <w:szCs w:val="20"/>
              </w:rPr>
              <w:br/>
              <w:t>% от БВП</w:t>
            </w:r>
          </w:p>
        </w:tc>
      </w:tr>
      <w:tr w:rsidR="008A52E2" w:rsidRPr="00934D26" w14:paraId="488C4276" w14:textId="77777777" w:rsidTr="00EA454B">
        <w:trPr>
          <w:trHeight w:val="215"/>
        </w:trPr>
        <w:tc>
          <w:tcPr>
            <w:tcW w:w="1616" w:type="pct"/>
            <w:tcBorders>
              <w:top w:val="single" w:sz="4" w:space="0" w:color="auto"/>
            </w:tcBorders>
            <w:shd w:val="clear" w:color="auto" w:fill="auto"/>
            <w:vAlign w:val="bottom"/>
            <w:hideMark/>
          </w:tcPr>
          <w:p w14:paraId="7B89F918" w14:textId="77777777" w:rsidR="008A52E2" w:rsidRPr="00934D26" w:rsidRDefault="008A52E2" w:rsidP="002F7E7A">
            <w:pPr>
              <w:spacing w:after="0"/>
              <w:jc w:val="left"/>
              <w:rPr>
                <w:rFonts w:eastAsia="Times New Roman" w:cs="Times New Roman"/>
                <w:sz w:val="20"/>
                <w:szCs w:val="20"/>
              </w:rPr>
            </w:pPr>
            <w:r w:rsidRPr="00934D26">
              <w:rPr>
                <w:rFonts w:eastAsia="Times New Roman" w:cs="Times New Roman"/>
                <w:sz w:val="20"/>
                <w:szCs w:val="20"/>
              </w:rPr>
              <w:t>Лихвени разходи</w:t>
            </w:r>
          </w:p>
        </w:tc>
        <w:tc>
          <w:tcPr>
            <w:tcW w:w="617" w:type="pct"/>
            <w:tcBorders>
              <w:top w:val="single" w:sz="4" w:space="0" w:color="auto"/>
            </w:tcBorders>
            <w:shd w:val="clear" w:color="auto" w:fill="auto"/>
            <w:noWrap/>
            <w:vAlign w:val="bottom"/>
            <w:hideMark/>
          </w:tcPr>
          <w:p w14:paraId="7725F5DE"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0,5%</w:t>
            </w:r>
          </w:p>
        </w:tc>
        <w:tc>
          <w:tcPr>
            <w:tcW w:w="691" w:type="pct"/>
            <w:tcBorders>
              <w:top w:val="single" w:sz="4" w:space="0" w:color="auto"/>
            </w:tcBorders>
            <w:shd w:val="clear" w:color="auto" w:fill="auto"/>
            <w:noWrap/>
            <w:vAlign w:val="bottom"/>
            <w:hideMark/>
          </w:tcPr>
          <w:p w14:paraId="06563213"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0,9%</w:t>
            </w:r>
          </w:p>
        </w:tc>
        <w:tc>
          <w:tcPr>
            <w:tcW w:w="692" w:type="pct"/>
            <w:tcBorders>
              <w:top w:val="single" w:sz="4" w:space="0" w:color="auto"/>
            </w:tcBorders>
            <w:shd w:val="clear" w:color="auto" w:fill="auto"/>
            <w:noWrap/>
            <w:vAlign w:val="bottom"/>
            <w:hideMark/>
          </w:tcPr>
          <w:p w14:paraId="33CBB016"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0,9%</w:t>
            </w:r>
          </w:p>
        </w:tc>
        <w:tc>
          <w:tcPr>
            <w:tcW w:w="691" w:type="pct"/>
            <w:tcBorders>
              <w:top w:val="single" w:sz="4" w:space="0" w:color="auto"/>
            </w:tcBorders>
            <w:shd w:val="clear" w:color="auto" w:fill="auto"/>
            <w:noWrap/>
            <w:vAlign w:val="bottom"/>
            <w:hideMark/>
          </w:tcPr>
          <w:p w14:paraId="282F03C6"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1,0%</w:t>
            </w:r>
          </w:p>
        </w:tc>
        <w:tc>
          <w:tcPr>
            <w:tcW w:w="693" w:type="pct"/>
            <w:tcBorders>
              <w:top w:val="single" w:sz="4" w:space="0" w:color="auto"/>
            </w:tcBorders>
            <w:shd w:val="clear" w:color="auto" w:fill="auto"/>
            <w:noWrap/>
            <w:vAlign w:val="bottom"/>
            <w:hideMark/>
          </w:tcPr>
          <w:p w14:paraId="2EB09D38"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1,1%</w:t>
            </w:r>
          </w:p>
        </w:tc>
      </w:tr>
      <w:tr w:rsidR="008A52E2" w:rsidRPr="00934D26" w14:paraId="3D0DF71B" w14:textId="77777777" w:rsidTr="00EA454B">
        <w:trPr>
          <w:trHeight w:val="379"/>
        </w:trPr>
        <w:tc>
          <w:tcPr>
            <w:tcW w:w="1616" w:type="pct"/>
            <w:shd w:val="clear" w:color="auto" w:fill="auto"/>
            <w:vAlign w:val="bottom"/>
            <w:hideMark/>
          </w:tcPr>
          <w:p w14:paraId="47DE8FE5" w14:textId="77777777" w:rsidR="008A52E2" w:rsidRPr="00934D26" w:rsidRDefault="008A52E2" w:rsidP="002F7E7A">
            <w:pPr>
              <w:spacing w:after="0"/>
              <w:jc w:val="left"/>
              <w:rPr>
                <w:rFonts w:eastAsia="Times New Roman" w:cs="Times New Roman"/>
                <w:sz w:val="20"/>
                <w:szCs w:val="20"/>
              </w:rPr>
            </w:pPr>
            <w:r w:rsidRPr="00934D26">
              <w:rPr>
                <w:rFonts w:eastAsia="Times New Roman" w:cs="Times New Roman"/>
                <w:sz w:val="20"/>
                <w:szCs w:val="20"/>
              </w:rPr>
              <w:t>Бруто образуване на основен капитал/публични инвестиции/</w:t>
            </w:r>
          </w:p>
        </w:tc>
        <w:tc>
          <w:tcPr>
            <w:tcW w:w="617" w:type="pct"/>
            <w:shd w:val="clear" w:color="auto" w:fill="auto"/>
            <w:noWrap/>
            <w:vAlign w:val="bottom"/>
            <w:hideMark/>
          </w:tcPr>
          <w:p w14:paraId="404314AA"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3,2%</w:t>
            </w:r>
          </w:p>
        </w:tc>
        <w:tc>
          <w:tcPr>
            <w:tcW w:w="691" w:type="pct"/>
            <w:shd w:val="clear" w:color="auto" w:fill="auto"/>
            <w:noWrap/>
            <w:vAlign w:val="bottom"/>
            <w:hideMark/>
          </w:tcPr>
          <w:p w14:paraId="687C9ABE"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4,6%</w:t>
            </w:r>
          </w:p>
        </w:tc>
        <w:tc>
          <w:tcPr>
            <w:tcW w:w="692" w:type="pct"/>
            <w:shd w:val="clear" w:color="auto" w:fill="auto"/>
            <w:noWrap/>
            <w:vAlign w:val="bottom"/>
            <w:hideMark/>
          </w:tcPr>
          <w:p w14:paraId="0F4954D3"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4,2%</w:t>
            </w:r>
          </w:p>
        </w:tc>
        <w:tc>
          <w:tcPr>
            <w:tcW w:w="691" w:type="pct"/>
            <w:shd w:val="clear" w:color="auto" w:fill="auto"/>
            <w:noWrap/>
            <w:vAlign w:val="bottom"/>
            <w:hideMark/>
          </w:tcPr>
          <w:p w14:paraId="0B47E86A"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4,3%</w:t>
            </w:r>
          </w:p>
        </w:tc>
        <w:tc>
          <w:tcPr>
            <w:tcW w:w="693" w:type="pct"/>
            <w:shd w:val="clear" w:color="auto" w:fill="auto"/>
            <w:noWrap/>
            <w:vAlign w:val="bottom"/>
            <w:hideMark/>
          </w:tcPr>
          <w:p w14:paraId="60ABE21A"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3,8%</w:t>
            </w:r>
          </w:p>
        </w:tc>
      </w:tr>
      <w:tr w:rsidR="008A52E2" w:rsidRPr="00934D26" w14:paraId="1EE148F5" w14:textId="77777777" w:rsidTr="00EA454B">
        <w:trPr>
          <w:trHeight w:val="215"/>
        </w:trPr>
        <w:tc>
          <w:tcPr>
            <w:tcW w:w="1616" w:type="pct"/>
            <w:shd w:val="clear" w:color="auto" w:fill="auto"/>
            <w:vAlign w:val="bottom"/>
            <w:hideMark/>
          </w:tcPr>
          <w:p w14:paraId="5BCDA3B8" w14:textId="77777777" w:rsidR="008A52E2" w:rsidRPr="00934D26" w:rsidRDefault="008A52E2" w:rsidP="002F7E7A">
            <w:pPr>
              <w:spacing w:after="0"/>
              <w:jc w:val="left"/>
              <w:rPr>
                <w:rFonts w:eastAsia="Times New Roman" w:cs="Times New Roman"/>
                <w:b/>
                <w:bCs/>
                <w:sz w:val="20"/>
                <w:szCs w:val="20"/>
              </w:rPr>
            </w:pPr>
            <w:r w:rsidRPr="00934D26">
              <w:rPr>
                <w:rFonts w:eastAsia="Times New Roman" w:cs="Times New Roman"/>
                <w:b/>
                <w:bCs/>
                <w:sz w:val="20"/>
                <w:szCs w:val="20"/>
              </w:rPr>
              <w:t xml:space="preserve">Общо приходи </w:t>
            </w:r>
          </w:p>
        </w:tc>
        <w:tc>
          <w:tcPr>
            <w:tcW w:w="617" w:type="pct"/>
            <w:shd w:val="clear" w:color="auto" w:fill="auto"/>
            <w:noWrap/>
            <w:vAlign w:val="bottom"/>
            <w:hideMark/>
          </w:tcPr>
          <w:p w14:paraId="7B0EACAC"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36,1%</w:t>
            </w:r>
          </w:p>
        </w:tc>
        <w:tc>
          <w:tcPr>
            <w:tcW w:w="691" w:type="pct"/>
            <w:shd w:val="clear" w:color="auto" w:fill="auto"/>
            <w:noWrap/>
            <w:vAlign w:val="bottom"/>
            <w:hideMark/>
          </w:tcPr>
          <w:p w14:paraId="7D0332B9"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39,2%</w:t>
            </w:r>
          </w:p>
        </w:tc>
        <w:tc>
          <w:tcPr>
            <w:tcW w:w="692" w:type="pct"/>
            <w:shd w:val="clear" w:color="auto" w:fill="auto"/>
            <w:noWrap/>
            <w:vAlign w:val="bottom"/>
            <w:hideMark/>
          </w:tcPr>
          <w:p w14:paraId="7EBDE74D"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38,3%</w:t>
            </w:r>
          </w:p>
        </w:tc>
        <w:tc>
          <w:tcPr>
            <w:tcW w:w="691" w:type="pct"/>
            <w:shd w:val="clear" w:color="auto" w:fill="auto"/>
            <w:noWrap/>
            <w:vAlign w:val="bottom"/>
            <w:hideMark/>
          </w:tcPr>
          <w:p w14:paraId="565F7E2A"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41,2%</w:t>
            </w:r>
          </w:p>
        </w:tc>
        <w:tc>
          <w:tcPr>
            <w:tcW w:w="693" w:type="pct"/>
            <w:shd w:val="clear" w:color="auto" w:fill="auto"/>
            <w:noWrap/>
            <w:vAlign w:val="bottom"/>
            <w:hideMark/>
          </w:tcPr>
          <w:p w14:paraId="28780194"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40,1%</w:t>
            </w:r>
          </w:p>
        </w:tc>
      </w:tr>
      <w:tr w:rsidR="008A52E2" w:rsidRPr="00934D26" w14:paraId="3BEDD647" w14:textId="77777777" w:rsidTr="00EA454B">
        <w:trPr>
          <w:trHeight w:val="247"/>
        </w:trPr>
        <w:tc>
          <w:tcPr>
            <w:tcW w:w="1616" w:type="pct"/>
            <w:shd w:val="clear" w:color="auto" w:fill="auto"/>
            <w:vAlign w:val="bottom"/>
            <w:hideMark/>
          </w:tcPr>
          <w:p w14:paraId="43B8AFB4" w14:textId="77777777" w:rsidR="008A52E2" w:rsidRPr="00934D26" w:rsidRDefault="008A52E2" w:rsidP="002F7E7A">
            <w:pPr>
              <w:spacing w:after="0"/>
              <w:jc w:val="left"/>
              <w:rPr>
                <w:rFonts w:eastAsia="Times New Roman" w:cs="Times New Roman"/>
                <w:b/>
                <w:bCs/>
                <w:sz w:val="20"/>
                <w:szCs w:val="20"/>
              </w:rPr>
            </w:pPr>
            <w:r w:rsidRPr="00934D26">
              <w:rPr>
                <w:rFonts w:eastAsia="Times New Roman" w:cs="Times New Roman"/>
                <w:b/>
                <w:bCs/>
                <w:sz w:val="20"/>
                <w:szCs w:val="20"/>
              </w:rPr>
              <w:t xml:space="preserve">Общо разходи  </w:t>
            </w:r>
          </w:p>
        </w:tc>
        <w:tc>
          <w:tcPr>
            <w:tcW w:w="617" w:type="pct"/>
            <w:shd w:val="clear" w:color="auto" w:fill="auto"/>
            <w:noWrap/>
            <w:vAlign w:val="bottom"/>
            <w:hideMark/>
          </w:tcPr>
          <w:p w14:paraId="1F3957EC"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39,2%</w:t>
            </w:r>
          </w:p>
        </w:tc>
        <w:tc>
          <w:tcPr>
            <w:tcW w:w="691" w:type="pct"/>
            <w:shd w:val="clear" w:color="auto" w:fill="auto"/>
            <w:noWrap/>
            <w:vAlign w:val="bottom"/>
            <w:hideMark/>
          </w:tcPr>
          <w:p w14:paraId="75EEAFCE"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42,2%</w:t>
            </w:r>
          </w:p>
        </w:tc>
        <w:tc>
          <w:tcPr>
            <w:tcW w:w="692" w:type="pct"/>
            <w:shd w:val="clear" w:color="auto" w:fill="auto"/>
            <w:noWrap/>
            <w:vAlign w:val="bottom"/>
            <w:hideMark/>
          </w:tcPr>
          <w:p w14:paraId="60DB5F14"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41,3%</w:t>
            </w:r>
          </w:p>
        </w:tc>
        <w:tc>
          <w:tcPr>
            <w:tcW w:w="691" w:type="pct"/>
            <w:shd w:val="clear" w:color="auto" w:fill="auto"/>
            <w:noWrap/>
            <w:vAlign w:val="bottom"/>
            <w:hideMark/>
          </w:tcPr>
          <w:p w14:paraId="5ADB7C2C"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44,3%</w:t>
            </w:r>
          </w:p>
        </w:tc>
        <w:tc>
          <w:tcPr>
            <w:tcW w:w="693" w:type="pct"/>
            <w:shd w:val="clear" w:color="auto" w:fill="auto"/>
            <w:noWrap/>
            <w:vAlign w:val="bottom"/>
            <w:hideMark/>
          </w:tcPr>
          <w:p w14:paraId="31379221"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42,8%</w:t>
            </w:r>
          </w:p>
        </w:tc>
      </w:tr>
      <w:tr w:rsidR="008A52E2" w:rsidRPr="00934D26" w14:paraId="49CD3156" w14:textId="77777777" w:rsidTr="00EA454B">
        <w:trPr>
          <w:trHeight w:val="94"/>
        </w:trPr>
        <w:tc>
          <w:tcPr>
            <w:tcW w:w="1616" w:type="pct"/>
            <w:tcBorders>
              <w:bottom w:val="single" w:sz="4" w:space="0" w:color="auto"/>
            </w:tcBorders>
            <w:shd w:val="clear" w:color="auto" w:fill="auto"/>
            <w:vAlign w:val="bottom"/>
            <w:hideMark/>
          </w:tcPr>
          <w:p w14:paraId="2E4236EA" w14:textId="77777777" w:rsidR="008A52E2" w:rsidRPr="00934D26" w:rsidRDefault="008A52E2" w:rsidP="002F7E7A">
            <w:pPr>
              <w:spacing w:after="0"/>
              <w:jc w:val="left"/>
              <w:rPr>
                <w:rFonts w:eastAsia="Times New Roman" w:cs="Times New Roman"/>
                <w:b/>
                <w:bCs/>
                <w:sz w:val="20"/>
                <w:szCs w:val="20"/>
              </w:rPr>
            </w:pPr>
            <w:r w:rsidRPr="00934D26">
              <w:rPr>
                <w:rFonts w:eastAsia="Times New Roman" w:cs="Times New Roman"/>
                <w:b/>
                <w:bCs/>
                <w:sz w:val="20"/>
                <w:szCs w:val="20"/>
              </w:rPr>
              <w:t xml:space="preserve">Общ баланс </w:t>
            </w:r>
          </w:p>
        </w:tc>
        <w:tc>
          <w:tcPr>
            <w:tcW w:w="617" w:type="pct"/>
            <w:tcBorders>
              <w:bottom w:val="single" w:sz="4" w:space="0" w:color="auto"/>
            </w:tcBorders>
            <w:shd w:val="clear" w:color="auto" w:fill="auto"/>
            <w:noWrap/>
            <w:vAlign w:val="bottom"/>
            <w:hideMark/>
          </w:tcPr>
          <w:p w14:paraId="3D416FAC"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-3,0%</w:t>
            </w:r>
          </w:p>
        </w:tc>
        <w:tc>
          <w:tcPr>
            <w:tcW w:w="691" w:type="pct"/>
            <w:tcBorders>
              <w:bottom w:val="single" w:sz="4" w:space="0" w:color="auto"/>
            </w:tcBorders>
            <w:shd w:val="clear" w:color="auto" w:fill="auto"/>
            <w:noWrap/>
            <w:vAlign w:val="bottom"/>
            <w:hideMark/>
          </w:tcPr>
          <w:p w14:paraId="1265E9F6"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-3,0%</w:t>
            </w:r>
          </w:p>
        </w:tc>
        <w:tc>
          <w:tcPr>
            <w:tcW w:w="692" w:type="pct"/>
            <w:tcBorders>
              <w:bottom w:val="single" w:sz="4" w:space="0" w:color="auto"/>
            </w:tcBorders>
            <w:shd w:val="clear" w:color="auto" w:fill="auto"/>
            <w:noWrap/>
            <w:vAlign w:val="bottom"/>
            <w:hideMark/>
          </w:tcPr>
          <w:p w14:paraId="6ACD38FD"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-3,0%</w:t>
            </w:r>
          </w:p>
        </w:tc>
        <w:tc>
          <w:tcPr>
            <w:tcW w:w="691" w:type="pct"/>
            <w:tcBorders>
              <w:bottom w:val="single" w:sz="4" w:space="0" w:color="auto"/>
            </w:tcBorders>
            <w:shd w:val="clear" w:color="auto" w:fill="auto"/>
            <w:noWrap/>
            <w:vAlign w:val="bottom"/>
            <w:hideMark/>
          </w:tcPr>
          <w:p w14:paraId="5E102BB5"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-3,0%</w:t>
            </w:r>
          </w:p>
        </w:tc>
        <w:tc>
          <w:tcPr>
            <w:tcW w:w="693" w:type="pct"/>
            <w:tcBorders>
              <w:bottom w:val="single" w:sz="4" w:space="0" w:color="auto"/>
            </w:tcBorders>
            <w:shd w:val="clear" w:color="auto" w:fill="auto"/>
            <w:noWrap/>
            <w:vAlign w:val="bottom"/>
            <w:hideMark/>
          </w:tcPr>
          <w:p w14:paraId="2D69AAE0" w14:textId="77777777" w:rsidR="008A52E2" w:rsidRPr="00934D26" w:rsidRDefault="008A52E2" w:rsidP="002F7E7A">
            <w:pPr>
              <w:spacing w:after="0"/>
              <w:jc w:val="center"/>
              <w:rPr>
                <w:rFonts w:eastAsia="Times New Roman" w:cs="Times New Roman"/>
                <w:sz w:val="20"/>
                <w:szCs w:val="20"/>
              </w:rPr>
            </w:pPr>
            <w:r w:rsidRPr="00934D26">
              <w:rPr>
                <w:rFonts w:eastAsia="Times New Roman" w:cs="Times New Roman"/>
                <w:sz w:val="20"/>
                <w:szCs w:val="20"/>
              </w:rPr>
              <w:t>-2,7%</w:t>
            </w:r>
          </w:p>
        </w:tc>
      </w:tr>
    </w:tbl>
    <w:p w14:paraId="5FEA818A" w14:textId="77777777" w:rsidR="00E97396" w:rsidRPr="00F42E34" w:rsidRDefault="00BF37A9" w:rsidP="00F42E34">
      <w:pPr>
        <w:spacing w:before="120" w:after="120"/>
        <w:ind w:left="1411" w:hanging="1411"/>
        <w:jc w:val="right"/>
        <w:rPr>
          <w:sz w:val="18"/>
          <w:szCs w:val="18"/>
        </w:rPr>
      </w:pPr>
      <w:r w:rsidRPr="00F55E61">
        <w:rPr>
          <w:sz w:val="18"/>
          <w:szCs w:val="18"/>
        </w:rPr>
        <w:t>Източник: ЕК, МФ, НСИ</w:t>
      </w:r>
    </w:p>
    <w:p w14:paraId="4278680B" w14:textId="77777777" w:rsidR="00E1730E" w:rsidRPr="00006A45" w:rsidRDefault="00531E97" w:rsidP="0047584C">
      <w:pPr>
        <w:pStyle w:val="Heading3"/>
        <w:ind w:left="0"/>
        <w:rPr>
          <w:rStyle w:val="Strong"/>
          <w:b/>
          <w:bCs/>
        </w:rPr>
      </w:pPr>
      <w:r>
        <w:rPr>
          <w:rStyle w:val="Strong"/>
          <w:b/>
          <w:bCs/>
        </w:rPr>
        <w:lastRenderedPageBreak/>
        <w:t>К</w:t>
      </w:r>
      <w:r w:rsidR="00E1730E" w:rsidRPr="00006A45">
        <w:rPr>
          <w:rStyle w:val="Strong"/>
          <w:b/>
          <w:bCs/>
        </w:rPr>
        <w:t>онсолидиран дълг на сектор „държавно управление“</w:t>
      </w:r>
    </w:p>
    <w:p w14:paraId="203C50D4" w14:textId="77777777" w:rsidR="00F727FC" w:rsidRPr="00931C23" w:rsidRDefault="00F727FC" w:rsidP="00F727FC">
      <w:pPr>
        <w:rPr>
          <w:rFonts w:eastAsia="Times New Roman" w:cs="Times New Roman"/>
        </w:rPr>
      </w:pPr>
      <w:r w:rsidRPr="00931C23">
        <w:rPr>
          <w:rFonts w:eastAsia="Times New Roman" w:cs="Times New Roman"/>
        </w:rPr>
        <w:t xml:space="preserve">В края на 2024 г. дългът на сектор „Държавно управление“ отбелязва ръст в номинално изражение спрямо нивото от предходната година, като достига до 25,0 млрд. евро (21,7 млрд. евро в края на 2023 г.). Съотношението на дълга към БВП също нараства с 0,9 </w:t>
      </w:r>
      <w:proofErr w:type="spellStart"/>
      <w:r w:rsidRPr="00931C23">
        <w:rPr>
          <w:rFonts w:eastAsia="Times New Roman" w:cs="Times New Roman"/>
        </w:rPr>
        <w:t>пр.п</w:t>
      </w:r>
      <w:proofErr w:type="spellEnd"/>
      <w:r w:rsidRPr="00931C23">
        <w:rPr>
          <w:rFonts w:eastAsia="Times New Roman" w:cs="Times New Roman"/>
        </w:rPr>
        <w:t xml:space="preserve">. до ниво от 23,8% (22,9% към 31.12.2023 г.). За сравнение, средните нива за страните както в еврозоната, така и на ниво ЕС бележат леко увеличение съответно до 87,1% (87,0% в края на 2023 г.) и до 80,7% (80,5% в края на 2023 г.). </w:t>
      </w:r>
    </w:p>
    <w:p w14:paraId="44F59EE5" w14:textId="77777777" w:rsidR="00F727FC" w:rsidRPr="00931C23" w:rsidRDefault="00F727FC" w:rsidP="00F727FC">
      <w:pPr>
        <w:rPr>
          <w:rFonts w:eastAsia="Times New Roman" w:cs="Times New Roman"/>
        </w:rPr>
      </w:pPr>
      <w:r w:rsidRPr="00931C23">
        <w:rPr>
          <w:rFonts w:eastAsia="Times New Roman" w:cs="Times New Roman"/>
        </w:rPr>
        <w:t>През 2024 г. най-ниските нива на този показател са отчетени в Естония (23,5%), България (23,8%) и Люк</w:t>
      </w:r>
      <w:r w:rsidR="00A31895">
        <w:rPr>
          <w:rFonts w:eastAsia="Times New Roman" w:cs="Times New Roman"/>
        </w:rPr>
        <w:t>сембург (26,3%), като дванадесет</w:t>
      </w:r>
      <w:r w:rsidRPr="00931C23">
        <w:rPr>
          <w:rFonts w:eastAsia="Times New Roman" w:cs="Times New Roman"/>
        </w:rPr>
        <w:t xml:space="preserve"> държави членки имат коефициенти на държавен дълг над 60% от БВП, в т.ч. най-високите са регистрирани в Гърция (154,2%), Италия (134,9%) и Франция (113,2%) и пр. </w:t>
      </w:r>
    </w:p>
    <w:p w14:paraId="1DDD94C7" w14:textId="77777777" w:rsidR="00F727FC" w:rsidRPr="00056D4B" w:rsidRDefault="00F727FC" w:rsidP="003456AB">
      <w:pPr>
        <w:rPr>
          <w:rFonts w:eastAsia="Times New Roman" w:cs="Times New Roman"/>
        </w:rPr>
      </w:pPr>
      <w:r w:rsidRPr="00931C23">
        <w:rPr>
          <w:rFonts w:eastAsia="Times New Roman" w:cs="Times New Roman"/>
        </w:rPr>
        <w:t>Към края на второ тримесечие на 2025 г., съотношението на дълга на сектор „Държавно управление“ към БВП продължава да нараства до 26,3%, при средни нива в евро</w:t>
      </w:r>
      <w:r w:rsidR="00056D4B">
        <w:rPr>
          <w:rFonts w:eastAsia="Times New Roman" w:cs="Times New Roman"/>
        </w:rPr>
        <w:t xml:space="preserve">зоната - 88,2% и в ЕС – 81,9%. </w:t>
      </w:r>
    </w:p>
    <w:p w14:paraId="58A16B1C" w14:textId="77777777" w:rsidR="00F727FC" w:rsidRDefault="0087105F" w:rsidP="008B2AB1">
      <w:pPr>
        <w:pStyle w:val="Caption"/>
        <w:keepNext/>
        <w:spacing w:after="60"/>
      </w:pPr>
      <w:r w:rsidRPr="00006A45">
        <w:t xml:space="preserve">Граф.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Граф. \* ARABIC \s 1 </w:instrText>
      </w:r>
      <w:r w:rsidR="00974F02">
        <w:fldChar w:fldCharType="separate"/>
      </w:r>
      <w:r w:rsidR="00841DFA">
        <w:rPr>
          <w:noProof/>
        </w:rPr>
        <w:t>1</w:t>
      </w:r>
      <w:r w:rsidR="00974F02">
        <w:rPr>
          <w:noProof/>
        </w:rPr>
        <w:fldChar w:fldCharType="end"/>
      </w:r>
      <w:r w:rsidRPr="00006A45">
        <w:t>:</w:t>
      </w:r>
      <w:r w:rsidRPr="00006A45">
        <w:tab/>
      </w:r>
      <w:r w:rsidR="00F727FC" w:rsidRPr="00F727FC">
        <w:t>Консолидиран дълг на сектор „Държавно управление“/БВП на страните-членки на ЕС към второто тримесечие на 2025 г.</w:t>
      </w:r>
    </w:p>
    <w:p w14:paraId="439702B0" w14:textId="77777777" w:rsidR="00A31895" w:rsidRDefault="00A31895" w:rsidP="008E2AB5">
      <w:pPr>
        <w:rPr>
          <w:noProof/>
        </w:rPr>
      </w:pPr>
      <w:r>
        <w:rPr>
          <w:noProof/>
        </w:rPr>
        <w:drawing>
          <wp:inline distT="0" distB="0" distL="0" distR="0" wp14:anchorId="7D9AD029" wp14:editId="3730AD88">
            <wp:extent cx="5849620" cy="4309755"/>
            <wp:effectExtent l="0" t="0" r="1778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4EFAE6" w14:textId="77777777" w:rsidR="0087105F" w:rsidRDefault="00DC6E2B" w:rsidP="00DC6E2B">
      <w:pPr>
        <w:jc w:val="right"/>
        <w:rPr>
          <w:rFonts w:eastAsia="Batang" w:cs="Times New Roman"/>
          <w:sz w:val="16"/>
          <w:szCs w:val="16"/>
        </w:rPr>
      </w:pPr>
      <w:r>
        <w:rPr>
          <w:rFonts w:eastAsia="Batang" w:cs="Times New Roman"/>
          <w:sz w:val="18"/>
          <w:szCs w:val="18"/>
        </w:rPr>
        <w:t>Източник</w:t>
      </w:r>
      <w:r w:rsidRPr="005A07CB">
        <w:rPr>
          <w:rFonts w:eastAsia="Batang" w:cs="Times New Roman"/>
          <w:sz w:val="18"/>
          <w:szCs w:val="18"/>
        </w:rPr>
        <w:t>: Евростат, МФ</w:t>
      </w:r>
      <w:r w:rsidR="00802354">
        <w:rPr>
          <w:rFonts w:eastAsia="Batang" w:cs="Times New Roman"/>
          <w:sz w:val="16"/>
          <w:szCs w:val="16"/>
        </w:rPr>
        <w:t xml:space="preserve"> </w:t>
      </w:r>
    </w:p>
    <w:p w14:paraId="57FBFEAD" w14:textId="77777777" w:rsidR="005A07CB" w:rsidRDefault="005A07CB" w:rsidP="004A2A3B">
      <w:pPr>
        <w:rPr>
          <w:rFonts w:cs="Times New Roman"/>
          <w:szCs w:val="24"/>
          <w:highlight w:val="yellow"/>
        </w:rPr>
      </w:pPr>
    </w:p>
    <w:p w14:paraId="79662ABB" w14:textId="77777777" w:rsidR="00A31895" w:rsidRPr="00A31895" w:rsidRDefault="00A31895" w:rsidP="00A31895">
      <w:pPr>
        <w:rPr>
          <w:rFonts w:cs="Times New Roman"/>
          <w:szCs w:val="24"/>
        </w:rPr>
      </w:pPr>
      <w:r w:rsidRPr="00A31895">
        <w:rPr>
          <w:rFonts w:cs="Times New Roman"/>
          <w:szCs w:val="24"/>
        </w:rPr>
        <w:t xml:space="preserve">За 2025 г. се предвижда запазване на тенденцията за нарастване на дълга на сектор „Държавно управление“ както в абсолютна стойност, така и като дял от БВП, достигайки до ниво от 32,3 млрд. евро или 28,6%. </w:t>
      </w:r>
    </w:p>
    <w:p w14:paraId="5F8239C0" w14:textId="77777777" w:rsidR="00A31895" w:rsidRPr="00A31895" w:rsidRDefault="00A31895" w:rsidP="00A31895">
      <w:pPr>
        <w:rPr>
          <w:rFonts w:cs="Times New Roman"/>
          <w:szCs w:val="24"/>
        </w:rPr>
      </w:pPr>
      <w:r w:rsidRPr="00A31895">
        <w:rPr>
          <w:rFonts w:cs="Times New Roman"/>
          <w:szCs w:val="24"/>
        </w:rPr>
        <w:lastRenderedPageBreak/>
        <w:t xml:space="preserve">В средносрочен план се прогнозира увеличение в нивото на консолидирания дълг на сектор „Държавно управление“ както в номинално изражение, така и като дял от БВП, движено основно от влиянието на дълга на подсектор „Централно управление“ и в частност на държавния дълг, като негов основен компонент. Дълговата задлъжнялост на единиците, включени в обхвата на подсектора, продължават да заемат сравнително нисък дял и имат минимално влияние върху общия размер на дълга на сектора. Въздействието на дълга на другите два компонента, формиращи дълга на сектора: подсектор „Местно управление“ и подсектор „Социалноосигурителни фондове“ се запазва минимално. </w:t>
      </w:r>
    </w:p>
    <w:p w14:paraId="21EE514B" w14:textId="77777777" w:rsidR="00580843" w:rsidRPr="00207936" w:rsidRDefault="00A31895" w:rsidP="009F35B8">
      <w:pPr>
        <w:rPr>
          <w:rFonts w:cs="Times New Roman"/>
          <w:szCs w:val="24"/>
        </w:rPr>
      </w:pPr>
      <w:r w:rsidRPr="00A31895">
        <w:rPr>
          <w:rFonts w:cs="Times New Roman"/>
          <w:szCs w:val="24"/>
        </w:rPr>
        <w:t xml:space="preserve">Очаква се дългът на сектора, представен в абсолютна стойност, да достигне до 38,6 млрд. </w:t>
      </w:r>
      <w:r w:rsidRPr="005963D0">
        <w:rPr>
          <w:rFonts w:cs="Times New Roman"/>
          <w:szCs w:val="24"/>
        </w:rPr>
        <w:t>евро в края на 2026 г., 44,2 млрд. евро в края на 2027 г. и 49,6 млрд. евро в края на 2028</w:t>
      </w:r>
      <w:r w:rsidR="005963D0" w:rsidRPr="005963D0">
        <w:rPr>
          <w:rFonts w:cs="Times New Roman"/>
          <w:szCs w:val="24"/>
        </w:rPr>
        <w:t> </w:t>
      </w:r>
      <w:r w:rsidRPr="005963D0">
        <w:rPr>
          <w:rFonts w:cs="Times New Roman"/>
          <w:szCs w:val="24"/>
        </w:rPr>
        <w:t>г.</w:t>
      </w:r>
      <w:r w:rsidR="00B67C97" w:rsidRPr="005963D0">
        <w:rPr>
          <w:rFonts w:cs="Times New Roman"/>
          <w:szCs w:val="24"/>
        </w:rPr>
        <w:t xml:space="preserve"> </w:t>
      </w:r>
      <w:r w:rsidR="00B67C97" w:rsidRPr="00C9792F">
        <w:rPr>
          <w:rFonts w:cs="Times New Roman"/>
          <w:szCs w:val="24"/>
        </w:rPr>
        <w:t xml:space="preserve">(вкл. усвоявания по инструмента </w:t>
      </w:r>
      <w:r w:rsidR="00B67C97" w:rsidRPr="00C9792F">
        <w:rPr>
          <w:rFonts w:cs="Times New Roman"/>
          <w:szCs w:val="24"/>
          <w:lang w:val="en-US"/>
        </w:rPr>
        <w:t>SAFE</w:t>
      </w:r>
      <w:r w:rsidR="00B67C97" w:rsidRPr="00C9792F">
        <w:rPr>
          <w:rFonts w:cs="Times New Roman"/>
          <w:szCs w:val="24"/>
        </w:rPr>
        <w:t>).</w:t>
      </w:r>
      <w:r w:rsidRPr="00C9792F">
        <w:rPr>
          <w:rFonts w:cs="Times New Roman"/>
          <w:szCs w:val="24"/>
        </w:rPr>
        <w:t xml:space="preserve"> При тези допускания се предвижда ръст средно за прогнозния период 2026-2028 г. от около 5</w:t>
      </w:r>
      <w:r w:rsidRPr="005963D0">
        <w:rPr>
          <w:rFonts w:cs="Times New Roman"/>
          <w:szCs w:val="24"/>
        </w:rPr>
        <w:t>,8 млрд. евро годишно. Общата дългова</w:t>
      </w:r>
      <w:r w:rsidRPr="001B503E">
        <w:rPr>
          <w:rFonts w:cs="Times New Roman"/>
          <w:szCs w:val="24"/>
        </w:rPr>
        <w:t xml:space="preserve"> задлъжнялост на сектор „Държавно управление”, съотнесена спрямо БВП,</w:t>
      </w:r>
      <w:r w:rsidRPr="001B503E" w:rsidDel="003974C4">
        <w:rPr>
          <w:rFonts w:cs="Times New Roman"/>
          <w:szCs w:val="24"/>
        </w:rPr>
        <w:t xml:space="preserve"> </w:t>
      </w:r>
      <w:r w:rsidRPr="001B503E">
        <w:rPr>
          <w:rFonts w:cs="Times New Roman"/>
          <w:szCs w:val="24"/>
        </w:rPr>
        <w:t xml:space="preserve">също се очаква да се увеличи до 32,1% през 2026 г., 34,8% през 2027 г. и 37,1% през 2028 г., със средногодишен темп на нарастване за периода 2026-2028 г. от 2,8 </w:t>
      </w:r>
      <w:proofErr w:type="spellStart"/>
      <w:r w:rsidRPr="001B503E">
        <w:rPr>
          <w:rFonts w:cs="Times New Roman"/>
          <w:szCs w:val="24"/>
        </w:rPr>
        <w:t>пр.п</w:t>
      </w:r>
      <w:proofErr w:type="spellEnd"/>
      <w:r w:rsidRPr="001B503E">
        <w:rPr>
          <w:rFonts w:cs="Times New Roman"/>
          <w:szCs w:val="24"/>
        </w:rPr>
        <w:t xml:space="preserve">. Независимо от това, показателят ще остане </w:t>
      </w:r>
      <w:r w:rsidR="00B67C97">
        <w:rPr>
          <w:rFonts w:cs="Times New Roman"/>
          <w:szCs w:val="24"/>
        </w:rPr>
        <w:t>далеч п</w:t>
      </w:r>
      <w:r w:rsidRPr="001B503E">
        <w:rPr>
          <w:rFonts w:cs="Times New Roman"/>
          <w:szCs w:val="24"/>
        </w:rPr>
        <w:t>од референтната стойност от 60% от БВП в</w:t>
      </w:r>
      <w:r w:rsidRPr="00A31895">
        <w:rPr>
          <w:rFonts w:cs="Times New Roman"/>
          <w:szCs w:val="24"/>
        </w:rPr>
        <w:t xml:space="preserve"> средносрочен план.</w:t>
      </w:r>
    </w:p>
    <w:p w14:paraId="4EB17C38" w14:textId="77777777" w:rsidR="00836F21" w:rsidRDefault="004A2A3B" w:rsidP="00056D4B">
      <w:pPr>
        <w:pStyle w:val="Caption"/>
        <w:spacing w:after="60"/>
      </w:pPr>
      <w:r w:rsidRPr="00006A45">
        <w:t xml:space="preserve">Граф.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Граф. \* ARABIC \s 1 </w:instrText>
      </w:r>
      <w:r w:rsidR="00974F02">
        <w:fldChar w:fldCharType="separate"/>
      </w:r>
      <w:r w:rsidR="00841DFA">
        <w:rPr>
          <w:noProof/>
        </w:rPr>
        <w:t>2</w:t>
      </w:r>
      <w:r w:rsidR="00974F02">
        <w:rPr>
          <w:noProof/>
        </w:rPr>
        <w:fldChar w:fldCharType="end"/>
      </w:r>
      <w:r w:rsidRPr="00006A45">
        <w:t>:</w:t>
      </w:r>
      <w:r w:rsidRPr="00006A45">
        <w:tab/>
        <w:t>Консолидиран дълг на сектор „Държавно управление“</w:t>
      </w:r>
    </w:p>
    <w:p w14:paraId="09F73F3F" w14:textId="77777777" w:rsidR="00056D4B" w:rsidRPr="00056D4B" w:rsidRDefault="00056D4B" w:rsidP="00056D4B"/>
    <w:p w14:paraId="6D4211A0" w14:textId="77777777" w:rsidR="00777D7D" w:rsidRDefault="00056D4B" w:rsidP="00836F21">
      <w:pPr>
        <w:rPr>
          <w:noProof/>
        </w:rPr>
      </w:pPr>
      <w:r>
        <w:rPr>
          <w:noProof/>
        </w:rPr>
        <w:drawing>
          <wp:inline distT="0" distB="0" distL="0" distR="0" wp14:anchorId="617DFEF7" wp14:editId="39AB2B4A">
            <wp:extent cx="5791200" cy="4199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296" cy="4216002"/>
                    </a:xfrm>
                    <a:prstGeom prst="rect">
                      <a:avLst/>
                    </a:prstGeom>
                    <a:noFill/>
                  </pic:spPr>
                </pic:pic>
              </a:graphicData>
            </a:graphic>
          </wp:inline>
        </w:drawing>
      </w:r>
    </w:p>
    <w:p w14:paraId="1AAB1ABE" w14:textId="77777777" w:rsidR="00DD2CAA" w:rsidRDefault="00DD2CAA" w:rsidP="00DD2CAA">
      <w:pPr>
        <w:jc w:val="right"/>
        <w:rPr>
          <w:rFonts w:eastAsia="Batang" w:cs="Times New Roman"/>
          <w:sz w:val="16"/>
          <w:szCs w:val="16"/>
        </w:rPr>
      </w:pPr>
      <w:r w:rsidRPr="005A07CB">
        <w:rPr>
          <w:rFonts w:eastAsia="Batang" w:cs="Times New Roman"/>
          <w:sz w:val="18"/>
          <w:szCs w:val="18"/>
        </w:rPr>
        <w:t>Източник</w:t>
      </w:r>
      <w:r w:rsidRPr="00931C23">
        <w:rPr>
          <w:rFonts w:eastAsia="Batang" w:cs="Times New Roman"/>
          <w:sz w:val="18"/>
          <w:szCs w:val="18"/>
        </w:rPr>
        <w:t>: Евростат, МФ</w:t>
      </w:r>
      <w:r>
        <w:rPr>
          <w:rFonts w:eastAsia="Batang" w:cs="Times New Roman"/>
          <w:sz w:val="16"/>
          <w:szCs w:val="16"/>
        </w:rPr>
        <w:t xml:space="preserve"> </w:t>
      </w:r>
    </w:p>
    <w:p w14:paraId="312DA8FE" w14:textId="77777777" w:rsidR="005A07CB" w:rsidRDefault="005A07CB" w:rsidP="00606CCB">
      <w:pPr>
        <w:rPr>
          <w:rFonts w:eastAsia="Batang" w:cs="Times New Roman"/>
          <w:sz w:val="16"/>
          <w:szCs w:val="16"/>
        </w:rPr>
      </w:pPr>
    </w:p>
    <w:p w14:paraId="3FB8D411" w14:textId="77777777" w:rsidR="0087105F" w:rsidRPr="00006A45" w:rsidRDefault="0087105F" w:rsidP="0047584C">
      <w:pPr>
        <w:pStyle w:val="Heading3"/>
        <w:ind w:left="0"/>
        <w:rPr>
          <w:rStyle w:val="Strong"/>
          <w:b/>
          <w:bCs/>
        </w:rPr>
      </w:pPr>
      <w:r w:rsidRPr="00006A45">
        <w:rPr>
          <w:rStyle w:val="Strong"/>
          <w:b/>
          <w:bCs/>
        </w:rPr>
        <w:lastRenderedPageBreak/>
        <w:t>Условни задължения с потенциално значително въздействие върху сектор „Държавно управление“</w:t>
      </w:r>
    </w:p>
    <w:p w14:paraId="30AC6811" w14:textId="77777777" w:rsidR="00F55E61" w:rsidRPr="00AA4085" w:rsidRDefault="00F55E61" w:rsidP="00F55E61">
      <w:pPr>
        <w:rPr>
          <w:noProof/>
          <w:szCs w:val="24"/>
        </w:rPr>
      </w:pPr>
      <w:r w:rsidRPr="00AA4085">
        <w:rPr>
          <w:noProof/>
          <w:szCs w:val="24"/>
        </w:rPr>
        <w:t xml:space="preserve">Съгласно изискванията на чл. 73, т. 8 от Закона за публичните финанси, средносрочната бюджетна прогноза и нейната актуализация следва да съдържат информация за условните задължения с потенциално значително въздействие върху сектор „Държавно управление“, включително на равнище подсектори. Това се прави и в контекста на засиленото икономическо управление на ЕС, в съответствие с чл. 14, параграф 3 от </w:t>
      </w:r>
      <w:r w:rsidRPr="00402B2E">
        <w:rPr>
          <w:noProof/>
          <w:szCs w:val="24"/>
        </w:rPr>
        <w:t xml:space="preserve">Директива (ЕС) 2024/1265 на Съвета от 29 април 2024 година за изменение на </w:t>
      </w:r>
      <w:r w:rsidRPr="00AA4085">
        <w:rPr>
          <w:noProof/>
          <w:szCs w:val="24"/>
        </w:rPr>
        <w:t>Директива 2011/85/ЕС относно изискванията за бюджетните рамки на държавите членки</w:t>
      </w:r>
      <w:r w:rsidRPr="00AA4085">
        <w:rPr>
          <w:noProof/>
          <w:position w:val="2"/>
          <w:sz w:val="18"/>
          <w:szCs w:val="24"/>
          <w:vertAlign w:val="superscript"/>
        </w:rPr>
        <w:footnoteReference w:id="20"/>
      </w:r>
      <w:r w:rsidRPr="00AA4085">
        <w:rPr>
          <w:noProof/>
          <w:szCs w:val="24"/>
        </w:rPr>
        <w:t xml:space="preserve">. </w:t>
      </w:r>
    </w:p>
    <w:p w14:paraId="6121307C" w14:textId="77777777" w:rsidR="00F55E61" w:rsidRPr="00AA4085" w:rsidRDefault="00F55E61" w:rsidP="00F55E61">
      <w:pPr>
        <w:rPr>
          <w:noProof/>
          <w:szCs w:val="24"/>
        </w:rPr>
      </w:pPr>
      <w:r w:rsidRPr="00AA4085">
        <w:rPr>
          <w:noProof/>
          <w:szCs w:val="24"/>
        </w:rPr>
        <w:t xml:space="preserve">Високите стойности на условните задължения биха могли да бъдат индикатор за нежелано равнище на риск. Поради това наблюдението и оценката на условните задължения с потенциално значително въздействие върху сектор „Държавно управление“ е важно за поддържането на фискалната устойчивост и управлението на фискалните рискове. </w:t>
      </w:r>
    </w:p>
    <w:p w14:paraId="514DFCDB" w14:textId="77777777" w:rsidR="00F55E61" w:rsidRPr="00AA4085" w:rsidRDefault="00F55E61" w:rsidP="00F55E61">
      <w:pPr>
        <w:rPr>
          <w:noProof/>
          <w:szCs w:val="24"/>
        </w:rPr>
      </w:pPr>
      <w:r w:rsidRPr="00AA4085">
        <w:rPr>
          <w:noProof/>
          <w:szCs w:val="24"/>
        </w:rPr>
        <w:t>Задълженията се наричат условни, тъй като по своята същност те са само потенциални, а не действителни. Това са задължения, които зависят от настъпването на определено събитие в бъдеще или настоящи задължения, при които няма вероятност за извършване на плащането към държавата или сумата на възможното плащане не може да бъде изчислена по надежден начин.</w:t>
      </w:r>
    </w:p>
    <w:p w14:paraId="37EA4868" w14:textId="77777777" w:rsidR="00F55E61" w:rsidRPr="00AA4085" w:rsidRDefault="00F55E61" w:rsidP="00F55E61">
      <w:pPr>
        <w:rPr>
          <w:noProof/>
          <w:szCs w:val="24"/>
        </w:rPr>
      </w:pPr>
      <w:r w:rsidRPr="00AA4085">
        <w:rPr>
          <w:noProof/>
          <w:szCs w:val="24"/>
        </w:rPr>
        <w:t>Условните задължения включват:</w:t>
      </w:r>
    </w:p>
    <w:p w14:paraId="31E8985F" w14:textId="77777777" w:rsidR="00F55E61" w:rsidRPr="00AA4085" w:rsidRDefault="00F55E61" w:rsidP="00F55E61">
      <w:pPr>
        <w:numPr>
          <w:ilvl w:val="0"/>
          <w:numId w:val="9"/>
        </w:numPr>
        <w:rPr>
          <w:noProof/>
          <w:szCs w:val="24"/>
        </w:rPr>
      </w:pPr>
      <w:r w:rsidRPr="00AA4085">
        <w:rPr>
          <w:noProof/>
          <w:szCs w:val="24"/>
        </w:rPr>
        <w:t>задължения, произтичащи от дейността на публичните дружества;</w:t>
      </w:r>
    </w:p>
    <w:p w14:paraId="432A3F24" w14:textId="77777777" w:rsidR="00F55E61" w:rsidRPr="00AA4085" w:rsidRDefault="00F55E61" w:rsidP="00F55E61">
      <w:pPr>
        <w:numPr>
          <w:ilvl w:val="0"/>
          <w:numId w:val="9"/>
        </w:numPr>
        <w:rPr>
          <w:noProof/>
          <w:szCs w:val="24"/>
        </w:rPr>
      </w:pPr>
      <w:r w:rsidRPr="00AA4085">
        <w:rPr>
          <w:noProof/>
          <w:szCs w:val="24"/>
        </w:rPr>
        <w:t>гарантиран дълг на сектор „Държавно управление“;</w:t>
      </w:r>
    </w:p>
    <w:p w14:paraId="46C51E9F" w14:textId="77777777" w:rsidR="00F55E61" w:rsidRPr="00AA4085" w:rsidRDefault="00F55E61" w:rsidP="00F55E61">
      <w:pPr>
        <w:numPr>
          <w:ilvl w:val="0"/>
          <w:numId w:val="9"/>
        </w:numPr>
        <w:rPr>
          <w:noProof/>
          <w:szCs w:val="24"/>
        </w:rPr>
      </w:pPr>
      <w:r w:rsidRPr="00AA4085">
        <w:rPr>
          <w:noProof/>
          <w:szCs w:val="24"/>
        </w:rPr>
        <w:t>необслужвани кредити;</w:t>
      </w:r>
    </w:p>
    <w:p w14:paraId="13348BBD" w14:textId="77777777" w:rsidR="00F55E61" w:rsidRPr="00F55E61" w:rsidRDefault="00F55E61" w:rsidP="00F55E61">
      <w:pPr>
        <w:numPr>
          <w:ilvl w:val="0"/>
          <w:numId w:val="9"/>
        </w:numPr>
        <w:rPr>
          <w:noProof/>
          <w:szCs w:val="24"/>
        </w:rPr>
      </w:pPr>
      <w:r w:rsidRPr="00AA4085">
        <w:rPr>
          <w:noProof/>
          <w:szCs w:val="24"/>
        </w:rPr>
        <w:t>задължения, свързани с публично-частни партньорства.</w:t>
      </w:r>
    </w:p>
    <w:p w14:paraId="61E17A32" w14:textId="77777777" w:rsidR="00DD0DC1" w:rsidRPr="00DD0DC1" w:rsidRDefault="00DD0DC1" w:rsidP="00F55E61">
      <w:pPr>
        <w:rPr>
          <w:rFonts w:eastAsia="Calibri"/>
          <w:noProof/>
          <w:szCs w:val="24"/>
        </w:rPr>
      </w:pPr>
    </w:p>
    <w:p w14:paraId="2219B445" w14:textId="77777777" w:rsidR="00663C74" w:rsidRDefault="0087105F" w:rsidP="008B2AB1">
      <w:pPr>
        <w:pStyle w:val="Caption"/>
        <w:keepNext/>
      </w:pPr>
      <w:r w:rsidRPr="00006A45">
        <w:lastRenderedPageBreak/>
        <w:t xml:space="preserve">Граф.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Граф. \* ARABIC \s 1 </w:instrText>
      </w:r>
      <w:r w:rsidR="00974F02">
        <w:fldChar w:fldCharType="separate"/>
      </w:r>
      <w:r w:rsidR="00841DFA">
        <w:rPr>
          <w:noProof/>
        </w:rPr>
        <w:t>3</w:t>
      </w:r>
      <w:r w:rsidR="00974F02">
        <w:rPr>
          <w:noProof/>
        </w:rPr>
        <w:fldChar w:fldCharType="end"/>
      </w:r>
      <w:r w:rsidRPr="00006A45">
        <w:t>:</w:t>
      </w:r>
      <w:r w:rsidRPr="00006A45">
        <w:tab/>
        <w:t>Разпределение на условните задължения на сектор „</w:t>
      </w:r>
      <w:r w:rsidR="0005037E">
        <w:t xml:space="preserve">Държавно управление“, % от БВП </w:t>
      </w:r>
    </w:p>
    <w:p w14:paraId="4F258851" w14:textId="77777777" w:rsidR="00F55E61" w:rsidRDefault="00F55E61" w:rsidP="00663C74">
      <w:pPr>
        <w:rPr>
          <w:noProof/>
        </w:rPr>
      </w:pPr>
      <w:r>
        <w:rPr>
          <w:noProof/>
        </w:rPr>
        <w:drawing>
          <wp:inline distT="0" distB="0" distL="0" distR="0" wp14:anchorId="76A87C63" wp14:editId="38B8DF3F">
            <wp:extent cx="5742940" cy="387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940" cy="3877310"/>
                    </a:xfrm>
                    <a:prstGeom prst="rect">
                      <a:avLst/>
                    </a:prstGeom>
                    <a:noFill/>
                  </pic:spPr>
                </pic:pic>
              </a:graphicData>
            </a:graphic>
          </wp:inline>
        </w:drawing>
      </w:r>
    </w:p>
    <w:p w14:paraId="6DEB6FAD" w14:textId="77777777" w:rsidR="0087105F" w:rsidRPr="00006A45" w:rsidRDefault="0087105F" w:rsidP="0087105F">
      <w:pPr>
        <w:ind w:firstLine="7513"/>
        <w:jc w:val="right"/>
        <w:rPr>
          <w:rFonts w:eastAsia="Calibri"/>
          <w:noProof/>
          <w:sz w:val="18"/>
          <w:szCs w:val="18"/>
        </w:rPr>
      </w:pPr>
      <w:r w:rsidRPr="00006A45">
        <w:rPr>
          <w:rFonts w:eastAsia="Calibri"/>
          <w:noProof/>
          <w:sz w:val="18"/>
          <w:szCs w:val="18"/>
        </w:rPr>
        <w:t>Източник</w:t>
      </w:r>
      <w:r w:rsidRPr="00663C74">
        <w:rPr>
          <w:rFonts w:eastAsia="Calibri"/>
          <w:noProof/>
          <w:sz w:val="18"/>
          <w:szCs w:val="18"/>
        </w:rPr>
        <w:t>: НСИ</w:t>
      </w:r>
      <w:r w:rsidRPr="00006A45">
        <w:rPr>
          <w:rFonts w:eastAsia="Calibri"/>
          <w:noProof/>
          <w:sz w:val="18"/>
          <w:szCs w:val="18"/>
        </w:rPr>
        <w:t xml:space="preserve"> </w:t>
      </w:r>
    </w:p>
    <w:p w14:paraId="7C284165" w14:textId="77777777" w:rsidR="00C835A1" w:rsidRDefault="00C835A1" w:rsidP="00C835A1">
      <w:pPr>
        <w:rPr>
          <w:rFonts w:eastAsia="Calibri"/>
          <w:noProof/>
          <w:szCs w:val="24"/>
        </w:rPr>
      </w:pPr>
    </w:p>
    <w:p w14:paraId="2F61C225" w14:textId="77777777" w:rsidR="00F55E61" w:rsidRPr="00537514" w:rsidRDefault="00F55E61" w:rsidP="00F55E61">
      <w:pPr>
        <w:rPr>
          <w:rFonts w:eastAsia="Calibri"/>
          <w:noProof/>
          <w:szCs w:val="24"/>
        </w:rPr>
      </w:pPr>
      <w:r w:rsidRPr="00537514">
        <w:rPr>
          <w:rFonts w:eastAsia="Calibri"/>
          <w:noProof/>
          <w:szCs w:val="24"/>
        </w:rPr>
        <w:t>Общите условни задължения на сектор „Държавно управление“ за 2023 г. възлизат на 9,71% от БВП, като най-високо е нивото на задълженията, произтичащи от дейността на публичните дружества. Техният размер е 9,32% от БВП (8,8</w:t>
      </w:r>
      <w:r w:rsidRPr="008A5C40">
        <w:rPr>
          <w:rFonts w:eastAsia="Calibri"/>
          <w:noProof/>
          <w:szCs w:val="24"/>
        </w:rPr>
        <w:t>1</w:t>
      </w:r>
      <w:r w:rsidRPr="00537514">
        <w:rPr>
          <w:rFonts w:eastAsia="Calibri"/>
          <w:noProof/>
          <w:szCs w:val="24"/>
        </w:rPr>
        <w:t xml:space="preserve"> млрд. евро.), като задълженията на финансовите предприятия са</w:t>
      </w:r>
      <w:r w:rsidR="00B4119F">
        <w:rPr>
          <w:rFonts w:eastAsia="Calibri"/>
          <w:noProof/>
          <w:szCs w:val="24"/>
        </w:rPr>
        <w:t xml:space="preserve"> само 1,06%, а на нефинансовите</w:t>
      </w:r>
      <w:r w:rsidRPr="00537514">
        <w:rPr>
          <w:rFonts w:eastAsia="Calibri"/>
          <w:noProof/>
          <w:szCs w:val="24"/>
        </w:rPr>
        <w:t xml:space="preserve"> - 8,25% от БВП. </w:t>
      </w:r>
    </w:p>
    <w:p w14:paraId="5461C20F" w14:textId="77777777" w:rsidR="00F55E61" w:rsidRPr="00537514" w:rsidRDefault="00F55E61" w:rsidP="00F55E61">
      <w:pPr>
        <w:rPr>
          <w:rFonts w:eastAsia="Calibri"/>
          <w:noProof/>
          <w:szCs w:val="24"/>
        </w:rPr>
      </w:pPr>
      <w:r w:rsidRPr="00537514">
        <w:rPr>
          <w:rFonts w:eastAsia="Calibri"/>
          <w:noProof/>
          <w:szCs w:val="24"/>
        </w:rPr>
        <w:t>От тях под наблюдение, във връзка с потенциално значително влияние върху условните задължения на сектор „Държавно управление“, са всички държавни и общински дружества с общ размер на задълженията към 31.12.2024 г. над 0,1% от БВП, които не са част от консолидираната фискална програма и не попадат в обхвата на сектор „Държавно управление“. Тези предприятия представят информация и оценка на прогнозите за приходите и разходите и за активите и пасивите с отчетни данни за 2022 и 2023 г., разчет за 2024 г. и прогноза за периода 2025-2028 г. На база на получената информация за периода 202</w:t>
      </w:r>
      <w:r w:rsidRPr="008A5C40">
        <w:rPr>
          <w:rFonts w:eastAsia="Calibri"/>
          <w:noProof/>
          <w:szCs w:val="24"/>
        </w:rPr>
        <w:t>4</w:t>
      </w:r>
      <w:r w:rsidRPr="00537514">
        <w:rPr>
          <w:rFonts w:eastAsia="Calibri"/>
          <w:noProof/>
          <w:szCs w:val="24"/>
        </w:rPr>
        <w:t>-202</w:t>
      </w:r>
      <w:r w:rsidRPr="008A5C40">
        <w:rPr>
          <w:rFonts w:eastAsia="Calibri"/>
          <w:noProof/>
          <w:szCs w:val="24"/>
        </w:rPr>
        <w:t>8</w:t>
      </w:r>
      <w:r w:rsidRPr="00537514">
        <w:rPr>
          <w:rFonts w:eastAsia="Calibri"/>
          <w:noProof/>
          <w:szCs w:val="24"/>
        </w:rPr>
        <w:t xml:space="preserve"> г. се прогнозира увеличение с </w:t>
      </w:r>
      <w:r w:rsidRPr="00537514">
        <w:rPr>
          <w:rFonts w:eastAsia="Calibri"/>
          <w:bCs/>
          <w:noProof/>
          <w:szCs w:val="24"/>
        </w:rPr>
        <w:t>3,6</w:t>
      </w:r>
      <w:r w:rsidRPr="00537514">
        <w:rPr>
          <w:rFonts w:eastAsia="Calibri"/>
          <w:noProof/>
          <w:szCs w:val="24"/>
        </w:rPr>
        <w:t xml:space="preserve">% на задълженията на публичните предприятия от нефинансовия сектор, обект на наблюдение. Отчетеният към 31.12.2024 г. размер на дългосрочните и краткосрочните неконсолидирани задължения на тези дружества е общо </w:t>
      </w:r>
      <w:r w:rsidRPr="00537514">
        <w:rPr>
          <w:rFonts w:eastAsia="Calibri"/>
          <w:bCs/>
          <w:noProof/>
          <w:szCs w:val="24"/>
        </w:rPr>
        <w:t xml:space="preserve">7,5 </w:t>
      </w:r>
      <w:r w:rsidRPr="00537514">
        <w:rPr>
          <w:rFonts w:eastAsia="Calibri"/>
          <w:noProof/>
          <w:szCs w:val="24"/>
        </w:rPr>
        <w:t>млрд. евро., като към 31.12.202</w:t>
      </w:r>
      <w:r w:rsidRPr="008A5C40">
        <w:rPr>
          <w:rFonts w:eastAsia="Calibri"/>
          <w:noProof/>
          <w:szCs w:val="24"/>
        </w:rPr>
        <w:t>8</w:t>
      </w:r>
      <w:r w:rsidRPr="00537514">
        <w:rPr>
          <w:rFonts w:eastAsia="Calibri"/>
          <w:noProof/>
          <w:szCs w:val="24"/>
        </w:rPr>
        <w:t xml:space="preserve"> г. прогнозите са същите да са в размер на </w:t>
      </w:r>
      <w:r w:rsidRPr="00537514">
        <w:rPr>
          <w:rFonts w:eastAsia="Calibri"/>
          <w:bCs/>
          <w:noProof/>
          <w:szCs w:val="24"/>
        </w:rPr>
        <w:t xml:space="preserve">7,8 </w:t>
      </w:r>
      <w:r w:rsidRPr="00537514">
        <w:rPr>
          <w:rFonts w:eastAsia="Calibri"/>
          <w:noProof/>
          <w:szCs w:val="24"/>
        </w:rPr>
        <w:t>млрд. евро.</w:t>
      </w:r>
    </w:p>
    <w:p w14:paraId="455E9144" w14:textId="77777777" w:rsidR="00F55E61" w:rsidRPr="00537514" w:rsidRDefault="00F55E61" w:rsidP="00F55E61">
      <w:pPr>
        <w:rPr>
          <w:rFonts w:eastAsia="Calibri"/>
          <w:noProof/>
          <w:szCs w:val="24"/>
        </w:rPr>
      </w:pPr>
      <w:r w:rsidRPr="00537514">
        <w:rPr>
          <w:rFonts w:eastAsia="Calibri"/>
          <w:noProof/>
          <w:szCs w:val="24"/>
        </w:rPr>
        <w:t xml:space="preserve">Сумарният коефициент на задлъжнялост се понижава от </w:t>
      </w:r>
      <w:r w:rsidRPr="00537514">
        <w:rPr>
          <w:rFonts w:eastAsia="Calibri"/>
          <w:bCs/>
          <w:noProof/>
          <w:szCs w:val="24"/>
        </w:rPr>
        <w:t>0,7</w:t>
      </w:r>
      <w:r w:rsidRPr="008A5C40">
        <w:rPr>
          <w:rFonts w:eastAsia="Calibri"/>
          <w:bCs/>
          <w:noProof/>
          <w:szCs w:val="24"/>
        </w:rPr>
        <w:t>7</w:t>
      </w:r>
      <w:r w:rsidRPr="00537514">
        <w:rPr>
          <w:rFonts w:eastAsia="Calibri"/>
          <w:bCs/>
          <w:noProof/>
          <w:szCs w:val="24"/>
        </w:rPr>
        <w:t xml:space="preserve"> </w:t>
      </w:r>
      <w:r w:rsidRPr="00537514">
        <w:rPr>
          <w:rFonts w:eastAsia="Calibri"/>
          <w:noProof/>
          <w:szCs w:val="24"/>
        </w:rPr>
        <w:t>към 31.12.2024 г. до 0,68 в края на периода през 202</w:t>
      </w:r>
      <w:r w:rsidRPr="008A5C40">
        <w:rPr>
          <w:rFonts w:eastAsia="Calibri"/>
          <w:noProof/>
          <w:szCs w:val="24"/>
        </w:rPr>
        <w:t>8</w:t>
      </w:r>
      <w:r w:rsidRPr="00537514">
        <w:rPr>
          <w:rFonts w:eastAsia="Calibri"/>
          <w:noProof/>
          <w:szCs w:val="24"/>
        </w:rPr>
        <w:t xml:space="preserve"> г. Сумарното съотношение на дълга на тези дружества спрямо активите им намалява </w:t>
      </w:r>
      <w:r w:rsidRPr="00537514">
        <w:rPr>
          <w:rFonts w:eastAsia="Calibri"/>
          <w:bCs/>
          <w:noProof/>
          <w:szCs w:val="24"/>
        </w:rPr>
        <w:t>от 0,44 през 2024 г.</w:t>
      </w:r>
      <w:r w:rsidRPr="00537514">
        <w:rPr>
          <w:rFonts w:eastAsia="Calibri"/>
          <w:noProof/>
          <w:szCs w:val="24"/>
        </w:rPr>
        <w:t xml:space="preserve"> до 0,40 през 2028 г. Коефициентът на ликвидност нараства от </w:t>
      </w:r>
      <w:r w:rsidRPr="008A5C40">
        <w:rPr>
          <w:rFonts w:eastAsia="Calibri"/>
          <w:noProof/>
          <w:szCs w:val="24"/>
        </w:rPr>
        <w:t>1,</w:t>
      </w:r>
      <w:r w:rsidRPr="00537514">
        <w:rPr>
          <w:rFonts w:eastAsia="Calibri"/>
          <w:noProof/>
          <w:szCs w:val="24"/>
        </w:rPr>
        <w:t>15 през 2024 г. до 1,61 през 202</w:t>
      </w:r>
      <w:r w:rsidRPr="008A5C40">
        <w:rPr>
          <w:rFonts w:eastAsia="Calibri"/>
          <w:noProof/>
          <w:szCs w:val="24"/>
        </w:rPr>
        <w:t>8</w:t>
      </w:r>
      <w:r w:rsidR="00203012">
        <w:rPr>
          <w:rFonts w:eastAsia="Calibri"/>
          <w:noProof/>
          <w:szCs w:val="24"/>
        </w:rPr>
        <w:t xml:space="preserve"> г.</w:t>
      </w:r>
    </w:p>
    <w:p w14:paraId="57F7B30C" w14:textId="77777777" w:rsidR="00F55E61" w:rsidRDefault="00F55E61" w:rsidP="00F55E61">
      <w:pPr>
        <w:rPr>
          <w:b/>
          <w:bCs/>
          <w:szCs w:val="18"/>
        </w:rPr>
      </w:pPr>
      <w:r w:rsidRPr="00537514">
        <w:rPr>
          <w:rFonts w:eastAsia="Calibri"/>
          <w:noProof/>
          <w:szCs w:val="24"/>
        </w:rPr>
        <w:lastRenderedPageBreak/>
        <w:t xml:space="preserve">Нивото на задълженията на държавните предприятия с потенциално значително въздействие върху сектор „Държавно управление“ е по-ниско в сравнение със средното ниво на задлъжнялост в ЕС, което е </w:t>
      </w:r>
      <w:r w:rsidRPr="008A5C40">
        <w:rPr>
          <w:rFonts w:eastAsia="Calibri"/>
          <w:noProof/>
          <w:szCs w:val="24"/>
        </w:rPr>
        <w:t>29</w:t>
      </w:r>
      <w:r w:rsidRPr="00537514">
        <w:rPr>
          <w:rFonts w:eastAsia="Calibri"/>
          <w:noProof/>
          <w:szCs w:val="24"/>
        </w:rPr>
        <w:t>,</w:t>
      </w:r>
      <w:r w:rsidRPr="008A5C40">
        <w:rPr>
          <w:rFonts w:eastAsia="Calibri"/>
          <w:noProof/>
          <w:szCs w:val="24"/>
        </w:rPr>
        <w:t>38</w:t>
      </w:r>
      <w:r w:rsidRPr="00537514">
        <w:rPr>
          <w:rFonts w:eastAsia="Calibri"/>
          <w:noProof/>
          <w:szCs w:val="24"/>
        </w:rPr>
        <w:t>% за 2023 г.</w:t>
      </w:r>
      <w:r w:rsidRPr="00537514">
        <w:rPr>
          <w:rFonts w:eastAsia="Calibri"/>
          <w:noProof/>
          <w:szCs w:val="24"/>
          <w:vertAlign w:val="superscript"/>
        </w:rPr>
        <w:footnoteReference w:id="21"/>
      </w:r>
      <w:r w:rsidRPr="00AA4085">
        <w:rPr>
          <w:b/>
          <w:bCs/>
          <w:szCs w:val="18"/>
        </w:rPr>
        <w:t xml:space="preserve"> </w:t>
      </w:r>
    </w:p>
    <w:p w14:paraId="549CA8ED" w14:textId="77777777" w:rsidR="00125A5B" w:rsidRDefault="0087105F" w:rsidP="00F17001">
      <w:pPr>
        <w:pStyle w:val="Caption"/>
        <w:spacing w:before="240" w:after="240"/>
      </w:pPr>
      <w:r w:rsidRPr="00006A45">
        <w:t xml:space="preserve">Граф. </w:t>
      </w:r>
      <w:r w:rsidR="00974F02">
        <w:fldChar w:fldCharType="begin"/>
      </w:r>
      <w:r w:rsidR="00974F02">
        <w:instrText xml:space="preserve"> STYLEREF 1 \s </w:instrText>
      </w:r>
      <w:r w:rsidR="00974F02">
        <w:fldChar w:fldCharType="separate"/>
      </w:r>
      <w:r w:rsidR="00841DFA">
        <w:rPr>
          <w:noProof/>
        </w:rPr>
        <w:t>II</w:t>
      </w:r>
      <w:r w:rsidR="00974F02">
        <w:rPr>
          <w:noProof/>
        </w:rPr>
        <w:fldChar w:fldCharType="end"/>
      </w:r>
      <w:r w:rsidRPr="00006A45">
        <w:noBreakHyphen/>
      </w:r>
      <w:r w:rsidR="00974F02">
        <w:fldChar w:fldCharType="begin"/>
      </w:r>
      <w:r w:rsidR="00974F02">
        <w:instrText xml:space="preserve"> SEQ Граф. \* ARABIC \s 1 </w:instrText>
      </w:r>
      <w:r w:rsidR="00974F02">
        <w:fldChar w:fldCharType="separate"/>
      </w:r>
      <w:r w:rsidR="00841DFA">
        <w:rPr>
          <w:noProof/>
        </w:rPr>
        <w:t>4</w:t>
      </w:r>
      <w:r w:rsidR="00974F02">
        <w:rPr>
          <w:noProof/>
        </w:rPr>
        <w:fldChar w:fldCharType="end"/>
      </w:r>
      <w:r w:rsidRPr="00006A45">
        <w:t>:</w:t>
      </w:r>
      <w:r w:rsidRPr="00006A45">
        <w:tab/>
        <w:t xml:space="preserve">Задължения на държавно контролирани предприятия, класифицирани извън сектор „Държавно управление“, % от БВП </w:t>
      </w:r>
    </w:p>
    <w:p w14:paraId="19097693" w14:textId="77777777" w:rsidR="00F803B2" w:rsidRPr="00F803B2" w:rsidRDefault="00F55E61" w:rsidP="00F803B2">
      <w:r>
        <w:rPr>
          <w:noProof/>
        </w:rPr>
        <w:drawing>
          <wp:inline distT="0" distB="0" distL="0" distR="0" wp14:anchorId="27594257" wp14:editId="2652BDE7">
            <wp:extent cx="5773420" cy="3615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14:paraId="1B169D27" w14:textId="77777777" w:rsidR="0087105F" w:rsidRPr="00006A45" w:rsidRDefault="0087105F" w:rsidP="0087105F">
      <w:pPr>
        <w:ind w:firstLine="7513"/>
        <w:rPr>
          <w:rFonts w:eastAsia="Calibri"/>
          <w:noProof/>
          <w:sz w:val="18"/>
          <w:szCs w:val="18"/>
        </w:rPr>
      </w:pPr>
      <w:r w:rsidRPr="00F17001">
        <w:rPr>
          <w:rFonts w:eastAsia="Calibri"/>
          <w:noProof/>
          <w:sz w:val="18"/>
          <w:szCs w:val="18"/>
        </w:rPr>
        <w:t xml:space="preserve">Източник: </w:t>
      </w:r>
      <w:r w:rsidRPr="00663C74">
        <w:rPr>
          <w:rFonts w:eastAsia="Calibri"/>
          <w:noProof/>
          <w:sz w:val="18"/>
          <w:szCs w:val="18"/>
        </w:rPr>
        <w:t>НСИ</w:t>
      </w:r>
      <w:r w:rsidRPr="00006A45">
        <w:rPr>
          <w:rFonts w:eastAsia="Calibri"/>
          <w:noProof/>
          <w:sz w:val="18"/>
          <w:szCs w:val="18"/>
        </w:rPr>
        <w:t xml:space="preserve"> </w:t>
      </w:r>
    </w:p>
    <w:p w14:paraId="4D979A0A" w14:textId="77777777" w:rsidR="006F3F96" w:rsidRDefault="006F3F96" w:rsidP="00D65ACB">
      <w:pPr>
        <w:rPr>
          <w:rFonts w:cs="Times New Roman"/>
          <w:b/>
          <w:bCs/>
          <w:highlight w:val="yellow"/>
        </w:rPr>
      </w:pPr>
    </w:p>
    <w:p w14:paraId="4BFD464D" w14:textId="77777777" w:rsidR="00A31895" w:rsidRPr="00A31895" w:rsidRDefault="00B4119F" w:rsidP="00A31895">
      <w:pPr>
        <w:rPr>
          <w:rFonts w:cs="Times New Roman"/>
          <w:bCs/>
        </w:rPr>
      </w:pPr>
      <w:r>
        <w:rPr>
          <w:rFonts w:cs="Times New Roman"/>
          <w:b/>
          <w:bCs/>
        </w:rPr>
        <w:t>Гарантираният дълг на сектор „</w:t>
      </w:r>
      <w:r w:rsidR="00A31895" w:rsidRPr="00A31895">
        <w:rPr>
          <w:rFonts w:cs="Times New Roman"/>
          <w:b/>
          <w:bCs/>
        </w:rPr>
        <w:t>Държавно управление</w:t>
      </w:r>
      <w:r>
        <w:rPr>
          <w:rFonts w:cs="Times New Roman"/>
          <w:b/>
          <w:bCs/>
        </w:rPr>
        <w:t>“</w:t>
      </w:r>
      <w:r w:rsidR="00A31895" w:rsidRPr="00A31895">
        <w:rPr>
          <w:rFonts w:cs="Times New Roman"/>
          <w:bCs/>
        </w:rPr>
        <w:t xml:space="preserve"> през 2024 г. се формира основно от издадените гаранции от подсектор „Централно управление“ с дял от 99,9%. Подсектор „Местно управление“ заема около 0,1%, а съгласно разпоредбите на Закона за публичните финанси социалноосигурителните фондове не могат да издават гаранции. </w:t>
      </w:r>
    </w:p>
    <w:p w14:paraId="4E7EDB8D" w14:textId="77777777" w:rsidR="00A31895" w:rsidRPr="00A31895" w:rsidRDefault="00A31895" w:rsidP="00A31895">
      <w:pPr>
        <w:rPr>
          <w:rFonts w:cs="Times New Roman"/>
          <w:bCs/>
        </w:rPr>
      </w:pPr>
      <w:r w:rsidRPr="00A31895">
        <w:rPr>
          <w:rFonts w:cs="Times New Roman"/>
          <w:bCs/>
        </w:rPr>
        <w:t>Към края на 2024 г. дългът</w:t>
      </w:r>
      <w:r w:rsidRPr="008A5C40">
        <w:rPr>
          <w:rFonts w:cs="Times New Roman"/>
          <w:bCs/>
        </w:rPr>
        <w:t xml:space="preserve"> </w:t>
      </w:r>
      <w:r w:rsidRPr="00A31895">
        <w:rPr>
          <w:rFonts w:cs="Times New Roman"/>
          <w:bCs/>
        </w:rPr>
        <w:t>на сектора възлиза на 545,8 млн. евро или 0,5% от БВП, като спрямо предходната годи</w:t>
      </w:r>
      <w:r w:rsidR="00731D6E">
        <w:rPr>
          <w:rFonts w:cs="Times New Roman"/>
          <w:bCs/>
        </w:rPr>
        <w:t xml:space="preserve">на отбелязва лек ръст с 0,1 </w:t>
      </w:r>
      <w:proofErr w:type="spellStart"/>
      <w:r w:rsidR="00731D6E">
        <w:rPr>
          <w:rFonts w:cs="Times New Roman"/>
          <w:bCs/>
        </w:rPr>
        <w:t>пр.</w:t>
      </w:r>
      <w:r w:rsidRPr="00A31895">
        <w:rPr>
          <w:rFonts w:cs="Times New Roman"/>
          <w:bCs/>
        </w:rPr>
        <w:t>п</w:t>
      </w:r>
      <w:proofErr w:type="spellEnd"/>
      <w:r w:rsidRPr="00A31895">
        <w:rPr>
          <w:rFonts w:cs="Times New Roman"/>
          <w:bCs/>
        </w:rPr>
        <w:t>. или с около 190,0 млн. евро в номинално изражение. Външният гарантиран дълг е 421,2 млн. евро (или 77,2% от общия гарантиран дълг на сектора), а вътрешният - 124,6 млн. евро (22,8% от общия гарантиран дълг на сектора). Вследствие на реализираните през годината усвоявания на средства от държавногарантирани заеми на „Българската банка за развитие“ ЕАД и на „Булгаргаз“ ЕАД в структурата на гарантирания дълг се отчита значително нарастване на дела на гаранциите, класифицирани в сектор „Финансов“ от 1,0% през 2023 г. до около 19,6% през 2024 г. и на дела на гаранциите, класифицирани в сектор „Енергетика“ от 44,6% до 45,6</w:t>
      </w:r>
      <w:r w:rsidR="00203012">
        <w:rPr>
          <w:rFonts w:cs="Times New Roman"/>
          <w:bCs/>
        </w:rPr>
        <w:t xml:space="preserve">%. Обратна тенденция се отчита </w:t>
      </w:r>
      <w:r w:rsidRPr="00A31895">
        <w:rPr>
          <w:rFonts w:cs="Times New Roman"/>
          <w:bCs/>
        </w:rPr>
        <w:t xml:space="preserve">при дела на гаранциите, издадени по линия на </w:t>
      </w:r>
      <w:r w:rsidRPr="00A31895">
        <w:rPr>
          <w:rFonts w:cs="Times New Roman"/>
          <w:bCs/>
        </w:rPr>
        <w:lastRenderedPageBreak/>
        <w:t xml:space="preserve">инструменти на ЕС, който намалява от 45,1% през 2023 г. до 29,3% и при сектор „Образование“ от 8,3% до 4,9%. </w:t>
      </w:r>
    </w:p>
    <w:p w14:paraId="73B9996B" w14:textId="77777777" w:rsidR="00A31895" w:rsidRPr="00A31895" w:rsidRDefault="00A31895" w:rsidP="00A31895">
      <w:pPr>
        <w:rPr>
          <w:rFonts w:cs="Times New Roman"/>
          <w:bCs/>
        </w:rPr>
      </w:pPr>
      <w:r w:rsidRPr="00A31895">
        <w:rPr>
          <w:rFonts w:cs="Times New Roman"/>
          <w:bCs/>
        </w:rPr>
        <w:t xml:space="preserve">През 2025 г. се очаква гарантираният дълг на сектора да продължи да нараства, достигайки до 732,6 млн. евро, основно в резултат от усвояване на заемни средства, предназначени за финансиране на енергийни проекти. </w:t>
      </w:r>
    </w:p>
    <w:p w14:paraId="323F9EF9" w14:textId="77777777" w:rsidR="00A31895" w:rsidRPr="00A31895" w:rsidRDefault="00A31895" w:rsidP="00A31895">
      <w:pPr>
        <w:rPr>
          <w:rFonts w:cs="Times New Roman"/>
          <w:bCs/>
        </w:rPr>
      </w:pPr>
      <w:r w:rsidRPr="00A31895">
        <w:rPr>
          <w:rFonts w:cs="Times New Roman"/>
          <w:bCs/>
        </w:rPr>
        <w:t>Изпълнението на голяма част от предвидените в Закона за държавния бюджет на Република България за 2025 г. проекти за финансиране с държавногарантирани заеми се предвижда да бъде отложено за 2026 г., като през текущата година в рамките на ограничението за максимален размер</w:t>
      </w:r>
      <w:r w:rsidR="00203012">
        <w:rPr>
          <w:rFonts w:cs="Times New Roman"/>
          <w:bCs/>
        </w:rPr>
        <w:t xml:space="preserve"> на държавните гаранции, които </w:t>
      </w:r>
      <w:r w:rsidRPr="00A31895">
        <w:rPr>
          <w:rFonts w:cs="Times New Roman"/>
          <w:bCs/>
        </w:rPr>
        <w:t xml:space="preserve">могат </w:t>
      </w:r>
      <w:r w:rsidR="00203012">
        <w:rPr>
          <w:rFonts w:cs="Times New Roman"/>
          <w:bCs/>
        </w:rPr>
        <w:t>да бъдат издадени през годината</w:t>
      </w:r>
      <w:r w:rsidRPr="00A31895">
        <w:rPr>
          <w:rFonts w:cs="Times New Roman"/>
          <w:bCs/>
        </w:rPr>
        <w:t xml:space="preserve"> </w:t>
      </w:r>
      <w:r w:rsidRPr="008A5C40">
        <w:rPr>
          <w:rFonts w:cs="Times New Roman"/>
          <w:bCs/>
        </w:rPr>
        <w:t>(</w:t>
      </w:r>
      <w:r w:rsidRPr="00A31895">
        <w:rPr>
          <w:rFonts w:cs="Times New Roman"/>
          <w:bCs/>
        </w:rPr>
        <w:t>до 3 800 млн. евро</w:t>
      </w:r>
      <w:r w:rsidRPr="008A5C40">
        <w:rPr>
          <w:rFonts w:cs="Times New Roman"/>
          <w:bCs/>
        </w:rPr>
        <w:t>)</w:t>
      </w:r>
      <w:r w:rsidRPr="00A31895">
        <w:rPr>
          <w:rFonts w:cs="Times New Roman"/>
          <w:bCs/>
        </w:rPr>
        <w:t xml:space="preserve"> са договорени заеми в размер на 127,6 млн. евро във връзка с частично финансиране на изпълняваните от „</w:t>
      </w:r>
      <w:proofErr w:type="spellStart"/>
      <w:r w:rsidRPr="00A31895">
        <w:rPr>
          <w:rFonts w:cs="Times New Roman"/>
          <w:bCs/>
        </w:rPr>
        <w:t>Булгатрангаз</w:t>
      </w:r>
      <w:proofErr w:type="spellEnd"/>
      <w:r w:rsidRPr="00A31895">
        <w:rPr>
          <w:rFonts w:cs="Times New Roman"/>
          <w:bCs/>
        </w:rPr>
        <w:t xml:space="preserve">“ ЕАД проекти за реализация на инициативата Вертикален коридор на газопреносните оператори на България, Гърция, Румъния, Унгария, Словакия, Украйна и Молдова. </w:t>
      </w:r>
    </w:p>
    <w:p w14:paraId="4DC28F19" w14:textId="77777777" w:rsidR="00A31895" w:rsidRDefault="00A31895" w:rsidP="006F3F96">
      <w:pPr>
        <w:rPr>
          <w:rFonts w:cs="Times New Roman"/>
          <w:bCs/>
        </w:rPr>
      </w:pPr>
      <w:r w:rsidRPr="00A31895">
        <w:rPr>
          <w:rFonts w:cs="Times New Roman"/>
          <w:bCs/>
        </w:rPr>
        <w:t xml:space="preserve">В края на прогнозния период 2026-2028 г. се прогнозира гарантираният дълг на сектора да достигне до 3,8 млрд. евро или 2,9% от БВП, предимно в резултат на планираните усвоявания на средства от гарантирани заеми и при допускания за издаване на предвидените в проекта на закон за държавния бюджет за 2026 г. държавни гаранции, респ. пълното </w:t>
      </w:r>
      <w:r w:rsidR="00035BD3">
        <w:rPr>
          <w:rFonts w:cs="Times New Roman"/>
          <w:bCs/>
        </w:rPr>
        <w:t>усвояване на заемните средства.</w:t>
      </w:r>
    </w:p>
    <w:p w14:paraId="3BF8875A" w14:textId="77777777" w:rsidR="00F55E61" w:rsidRPr="00F55E61" w:rsidRDefault="00F55E61" w:rsidP="00F55E61">
      <w:pPr>
        <w:rPr>
          <w:rFonts w:eastAsia="Calibri" w:cs="Times New Roman"/>
          <w:b/>
          <w:szCs w:val="24"/>
          <w:lang w:eastAsia="en-US"/>
        </w:rPr>
      </w:pPr>
      <w:r w:rsidRPr="00F55E61">
        <w:rPr>
          <w:rFonts w:eastAsia="Calibri" w:cs="Times New Roman"/>
          <w:szCs w:val="24"/>
          <w:lang w:eastAsia="en-US"/>
        </w:rPr>
        <w:t>Необслужваните заеми към сектор „Държавно управление“ са само в сектор „Централно управление“ и се запазват на ниво под 0,1% от БВП през последните пет години. Размерът им за 2022 г. е 0,02% от БВП, което е под средното за ЕС ниво от 0,62% от БВП.</w:t>
      </w:r>
    </w:p>
    <w:p w14:paraId="486D564B" w14:textId="77777777" w:rsidR="00F55E61" w:rsidRPr="00F55E61" w:rsidRDefault="00F55E61" w:rsidP="00F55E61">
      <w:pPr>
        <w:rPr>
          <w:rFonts w:eastAsia="Calibri" w:cs="Times New Roman"/>
          <w:szCs w:val="24"/>
          <w:lang w:eastAsia="en-US"/>
        </w:rPr>
      </w:pPr>
      <w:r w:rsidRPr="00F55E61">
        <w:rPr>
          <w:rFonts w:eastAsia="Calibri" w:cs="Times New Roman"/>
          <w:szCs w:val="24"/>
          <w:lang w:eastAsia="en-US"/>
        </w:rPr>
        <w:t xml:space="preserve">Коригирана капиталова стойност на извънбалансовите </w:t>
      </w:r>
      <w:r w:rsidRPr="00F55E61">
        <w:rPr>
          <w:rFonts w:eastAsia="Calibri" w:cs="Times New Roman"/>
          <w:b/>
          <w:szCs w:val="24"/>
          <w:lang w:eastAsia="en-US"/>
        </w:rPr>
        <w:t>публично-частни партньорства</w:t>
      </w:r>
      <w:r w:rsidRPr="00F55E61">
        <w:rPr>
          <w:rFonts w:eastAsia="Calibri" w:cs="Times New Roman"/>
          <w:szCs w:val="24"/>
          <w:lang w:eastAsia="en-US"/>
        </w:rPr>
        <w:t xml:space="preserve"> (ПЧП) не се докладва, тъй като към момента в България няма ПЧП, които да отговарят на дефиницията на ЕСС 2010 за ПЧП. Методологията ЕСС 2010 препоръчва да се използва терминът ПЧП само за тези договори, където правителството е основният купувач на услугата.</w:t>
      </w:r>
    </w:p>
    <w:p w14:paraId="259469D8" w14:textId="77777777" w:rsidR="001C6BEC" w:rsidRPr="00006A45" w:rsidRDefault="003A06A0" w:rsidP="0047584C">
      <w:pPr>
        <w:pStyle w:val="Heading3"/>
        <w:ind w:left="0"/>
        <w:rPr>
          <w:rStyle w:val="Strong"/>
          <w:b/>
          <w:bCs/>
        </w:rPr>
      </w:pPr>
      <w:r>
        <w:rPr>
          <w:rStyle w:val="Strong"/>
          <w:b/>
          <w:bCs/>
        </w:rPr>
        <w:t>О</w:t>
      </w:r>
      <w:r w:rsidR="001C6BEC" w:rsidRPr="00006A45">
        <w:rPr>
          <w:rStyle w:val="Strong"/>
          <w:b/>
          <w:bCs/>
        </w:rPr>
        <w:t>ценка на международни организации и рейтингови агенции за икономическите и финансови перспективи на българия</w:t>
      </w:r>
    </w:p>
    <w:p w14:paraId="49AD3AD7" w14:textId="77777777" w:rsidR="0047584C" w:rsidRPr="009F650A" w:rsidRDefault="0047584C" w:rsidP="00EF3798">
      <w:pPr>
        <w:rPr>
          <w:rFonts w:eastAsia="Calibri" w:cs="Times New Roman"/>
          <w:szCs w:val="24"/>
          <w:lang w:eastAsia="en-US"/>
        </w:rPr>
      </w:pPr>
      <w:r w:rsidRPr="009F650A">
        <w:rPr>
          <w:rFonts w:eastAsia="Calibri" w:cs="Times New Roman"/>
          <w:szCs w:val="24"/>
          <w:lang w:eastAsia="en-US"/>
        </w:rPr>
        <w:t xml:space="preserve">Министерството на финансите успешно изпълнява ангажиментите на страната по договорите за предоставяне на суверенен кредитен рейтинг от водещите международни рейтингови агенции - </w:t>
      </w:r>
      <w:proofErr w:type="spellStart"/>
      <w:r w:rsidRPr="009F650A">
        <w:rPr>
          <w:rFonts w:eastAsia="Calibri" w:cs="Times New Roman"/>
          <w:szCs w:val="24"/>
          <w:lang w:eastAsia="en-US"/>
        </w:rPr>
        <w:t>Moody’s</w:t>
      </w:r>
      <w:proofErr w:type="spellEnd"/>
      <w:r w:rsidRPr="009F650A">
        <w:rPr>
          <w:rFonts w:eastAsia="Calibri" w:cs="Times New Roman"/>
          <w:szCs w:val="24"/>
          <w:lang w:eastAsia="en-US"/>
        </w:rPr>
        <w:t xml:space="preserve">, </w:t>
      </w:r>
      <w:proofErr w:type="spellStart"/>
      <w:r w:rsidRPr="009F650A">
        <w:rPr>
          <w:rFonts w:eastAsia="Calibri" w:cs="Times New Roman"/>
          <w:szCs w:val="24"/>
          <w:lang w:eastAsia="en-US"/>
        </w:rPr>
        <w:t>Standard&amp;Poor’s</w:t>
      </w:r>
      <w:proofErr w:type="spellEnd"/>
      <w:r w:rsidRPr="009F650A">
        <w:rPr>
          <w:rFonts w:eastAsia="Calibri" w:cs="Times New Roman"/>
          <w:szCs w:val="24"/>
          <w:lang w:eastAsia="en-US"/>
        </w:rPr>
        <w:t xml:space="preserve"> и </w:t>
      </w:r>
      <w:proofErr w:type="spellStart"/>
      <w:r w:rsidRPr="009F650A">
        <w:rPr>
          <w:rFonts w:eastAsia="Calibri" w:cs="Times New Roman"/>
          <w:szCs w:val="24"/>
          <w:lang w:eastAsia="en-US"/>
        </w:rPr>
        <w:t>Fitch</w:t>
      </w:r>
      <w:proofErr w:type="spellEnd"/>
      <w:r w:rsidRPr="009F650A">
        <w:rPr>
          <w:rFonts w:eastAsia="Calibri" w:cs="Times New Roman"/>
          <w:szCs w:val="24"/>
          <w:lang w:eastAsia="en-US"/>
        </w:rPr>
        <w:t xml:space="preserve">. Освен това, </w:t>
      </w:r>
      <w:proofErr w:type="spellStart"/>
      <w:r w:rsidRPr="009F650A">
        <w:rPr>
          <w:rFonts w:eastAsia="Calibri" w:cs="Times New Roman"/>
          <w:szCs w:val="24"/>
          <w:lang w:eastAsia="en-US"/>
        </w:rPr>
        <w:t>Scope</w:t>
      </w:r>
      <w:proofErr w:type="spellEnd"/>
      <w:r w:rsidRPr="009F650A">
        <w:rPr>
          <w:rFonts w:eastAsia="Calibri" w:cs="Times New Roman"/>
          <w:szCs w:val="24"/>
          <w:lang w:eastAsia="en-US"/>
        </w:rPr>
        <w:t xml:space="preserve"> </w:t>
      </w:r>
      <w:proofErr w:type="spellStart"/>
      <w:r w:rsidRPr="009F650A">
        <w:rPr>
          <w:rFonts w:eastAsia="Calibri" w:cs="Times New Roman"/>
          <w:szCs w:val="24"/>
          <w:lang w:eastAsia="en-US"/>
        </w:rPr>
        <w:t>Ratings</w:t>
      </w:r>
      <w:proofErr w:type="spellEnd"/>
      <w:r w:rsidRPr="009F650A">
        <w:rPr>
          <w:rFonts w:eastAsia="Calibri" w:cs="Times New Roman"/>
          <w:szCs w:val="24"/>
          <w:lang w:eastAsia="en-US"/>
        </w:rPr>
        <w:t xml:space="preserve"> също предоставя непоискан държавен кредитен рейтинг</w:t>
      </w:r>
      <w:r w:rsidR="009D558E" w:rsidRPr="009F650A">
        <w:rPr>
          <w:rFonts w:eastAsia="Calibri" w:cs="Times New Roman"/>
          <w:szCs w:val="24"/>
          <w:lang w:eastAsia="en-US"/>
        </w:rPr>
        <w:t xml:space="preserve"> </w:t>
      </w:r>
      <w:r w:rsidRPr="009F650A">
        <w:rPr>
          <w:rFonts w:eastAsia="Calibri" w:cs="Times New Roman"/>
          <w:szCs w:val="24"/>
          <w:lang w:eastAsia="en-US"/>
        </w:rPr>
        <w:t>за България.</w:t>
      </w:r>
    </w:p>
    <w:p w14:paraId="15B72CDD" w14:textId="77777777" w:rsidR="0047584C" w:rsidRPr="00ED612C" w:rsidRDefault="0047584C" w:rsidP="00EF3798">
      <w:pPr>
        <w:rPr>
          <w:rFonts w:cs="Times New Roman"/>
          <w:szCs w:val="24"/>
        </w:rPr>
      </w:pPr>
      <w:r w:rsidRPr="00ED612C">
        <w:rPr>
          <w:rFonts w:cs="Times New Roman"/>
          <w:szCs w:val="24"/>
        </w:rPr>
        <w:t xml:space="preserve">През м. юли т.г. с извънредни рейтингови действия международните рейтингови агенции </w:t>
      </w:r>
      <w:proofErr w:type="spellStart"/>
      <w:r w:rsidRPr="00ED612C">
        <w:rPr>
          <w:rFonts w:cs="Times New Roman"/>
          <w:szCs w:val="24"/>
        </w:rPr>
        <w:t>Fitch</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и S&amp;P </w:t>
      </w:r>
      <w:proofErr w:type="spellStart"/>
      <w:r w:rsidRPr="00ED612C">
        <w:rPr>
          <w:rFonts w:cs="Times New Roman"/>
          <w:szCs w:val="24"/>
        </w:rPr>
        <w:t>Global</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повишиха дългосрочния кредитен рейтинг на България в чуждестранна валута на „BBB+“ със стабилна перспектива, което е най-високата степен от инвестиционните рейтинги от средния клас. Преди това през м. май т.г. S&amp;P </w:t>
      </w:r>
      <w:proofErr w:type="spellStart"/>
      <w:r w:rsidRPr="00ED612C">
        <w:rPr>
          <w:rFonts w:cs="Times New Roman"/>
          <w:szCs w:val="24"/>
        </w:rPr>
        <w:t>Global</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и през м. април т.г. </w:t>
      </w:r>
      <w:proofErr w:type="spellStart"/>
      <w:r w:rsidRPr="00ED612C">
        <w:rPr>
          <w:rFonts w:cs="Times New Roman"/>
          <w:szCs w:val="24"/>
        </w:rPr>
        <w:t>Fitch</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бяха потвърдили кредитния рейтинг на страната и положителната перспектива. Официалното решение на Съвета на Европейския съюз за присъединяването на България към еврозоната, считано от 1 януари 2026 г., е водещият фактор за повишението на рейтинга на страната.</w:t>
      </w:r>
    </w:p>
    <w:p w14:paraId="2F40DD33" w14:textId="77777777" w:rsidR="0047584C" w:rsidRPr="00ED612C" w:rsidRDefault="0047584C" w:rsidP="00EF3798">
      <w:pPr>
        <w:rPr>
          <w:rFonts w:cs="Times New Roman"/>
          <w:szCs w:val="24"/>
        </w:rPr>
      </w:pPr>
      <w:r w:rsidRPr="00ED612C">
        <w:rPr>
          <w:rFonts w:cs="Times New Roman"/>
          <w:szCs w:val="24"/>
        </w:rPr>
        <w:t xml:space="preserve">В обосновката за рейтинговото действие агенция </w:t>
      </w:r>
      <w:r w:rsidRPr="00ED612C">
        <w:rPr>
          <w:rFonts w:cs="Times New Roman"/>
          <w:b/>
          <w:szCs w:val="24"/>
        </w:rPr>
        <w:t xml:space="preserve">S&amp;P </w:t>
      </w:r>
      <w:proofErr w:type="spellStart"/>
      <w:r w:rsidRPr="00ED612C">
        <w:rPr>
          <w:rFonts w:cs="Times New Roman"/>
          <w:b/>
          <w:szCs w:val="24"/>
        </w:rPr>
        <w:t>Global</w:t>
      </w:r>
      <w:proofErr w:type="spellEnd"/>
      <w:r w:rsidRPr="00ED612C">
        <w:rPr>
          <w:rFonts w:cs="Times New Roman"/>
          <w:b/>
          <w:szCs w:val="24"/>
        </w:rPr>
        <w:t xml:space="preserve"> </w:t>
      </w:r>
      <w:proofErr w:type="spellStart"/>
      <w:r w:rsidRPr="00ED612C">
        <w:rPr>
          <w:rFonts w:cs="Times New Roman"/>
          <w:b/>
          <w:szCs w:val="24"/>
        </w:rPr>
        <w:t>Ratings</w:t>
      </w:r>
      <w:proofErr w:type="spellEnd"/>
      <w:r w:rsidRPr="00ED612C">
        <w:rPr>
          <w:rFonts w:cs="Times New Roman"/>
          <w:szCs w:val="24"/>
        </w:rPr>
        <w:t xml:space="preserve"> отбелязва, че България ще бъде облагодетелствана от надеждната парична политика на ЕЦБ и развитите капиталови пазари на паричния съюз, а валутният риск ще намалее </w:t>
      </w:r>
      <w:r w:rsidRPr="00ED612C">
        <w:rPr>
          <w:rFonts w:cs="Times New Roman"/>
          <w:szCs w:val="24"/>
        </w:rPr>
        <w:lastRenderedPageBreak/>
        <w:t>значително. Счита, че членството на България в ЕС и предстоящото присъединяване към еврозоната продължават да осигуряват на страната осъществяването на важни политики. Краткосрочните перспективи за растеж на България са оценени като стабилни. Прогнозата е, че икономиката ще нарасне с 2,4% в реално изражение през 2025 г. и средно с 2,8% до 2028 г. Частното потребление ще бъде основният двигател на растежа, подкрепено от високия ръст на реалните заплати поради затегнатия пазар на труда.</w:t>
      </w:r>
    </w:p>
    <w:p w14:paraId="6672A8DE" w14:textId="77777777" w:rsidR="0047584C" w:rsidRPr="00ED612C" w:rsidRDefault="0047584C" w:rsidP="00EF3798">
      <w:pPr>
        <w:rPr>
          <w:rFonts w:cs="Times New Roman"/>
          <w:szCs w:val="24"/>
        </w:rPr>
      </w:pPr>
      <w:r w:rsidRPr="00ED612C">
        <w:rPr>
          <w:rFonts w:cs="Times New Roman"/>
          <w:szCs w:val="24"/>
        </w:rPr>
        <w:t xml:space="preserve">Рейтинговата агенция </w:t>
      </w:r>
      <w:proofErr w:type="spellStart"/>
      <w:r w:rsidRPr="00ED612C">
        <w:rPr>
          <w:rFonts w:cs="Times New Roman"/>
          <w:b/>
          <w:szCs w:val="24"/>
        </w:rPr>
        <w:t>Fitch</w:t>
      </w:r>
      <w:proofErr w:type="spellEnd"/>
      <w:r w:rsidRPr="00ED612C">
        <w:rPr>
          <w:rFonts w:cs="Times New Roman"/>
          <w:b/>
          <w:szCs w:val="24"/>
        </w:rPr>
        <w:t xml:space="preserve"> </w:t>
      </w:r>
      <w:proofErr w:type="spellStart"/>
      <w:r w:rsidRPr="00ED612C">
        <w:rPr>
          <w:rFonts w:cs="Times New Roman"/>
          <w:b/>
          <w:szCs w:val="24"/>
        </w:rPr>
        <w:t>Ratings</w:t>
      </w:r>
      <w:proofErr w:type="spellEnd"/>
      <w:r w:rsidRPr="00ED612C">
        <w:rPr>
          <w:rFonts w:cs="Times New Roman"/>
          <w:szCs w:val="24"/>
        </w:rPr>
        <w:t xml:space="preserve"> разглежда приемането на еврото като положително за рейтинга, като приемането в еврозоната ще предостави на държавния дълг статут на резервна валута, ще укрепи рамката на паричната политика, ще намали транзакционните разходи, ще елиминира валутно-курсовия риск за фирмите и домакинствата и ще открие допълнителни възможности за външно финансиране. Българските банки също ще имат достъп до ликвидните улеснения на ЕЦБ.</w:t>
      </w:r>
    </w:p>
    <w:p w14:paraId="57C54774" w14:textId="77777777" w:rsidR="0047584C" w:rsidRPr="00ED612C" w:rsidRDefault="0047584C" w:rsidP="00EF3798">
      <w:pPr>
        <w:rPr>
          <w:rFonts w:cs="Times New Roman"/>
          <w:szCs w:val="24"/>
        </w:rPr>
      </w:pPr>
      <w:proofErr w:type="spellStart"/>
      <w:r w:rsidRPr="00ED612C">
        <w:rPr>
          <w:rFonts w:cs="Times New Roman"/>
          <w:szCs w:val="24"/>
        </w:rPr>
        <w:t>Fitch</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очаква реален растеж на БВП от 2,8% през 2025 г., непроменен спрямо 2024 г., тъй като несигурността около световната търговия се компенсира от подобрената вътрешнополитическа ситуация. Силният растеж на номиналните заплати, съчетани с увеличение на потреблението преди влизането в еврозоната, ще подкрепят стабилните разходи на домакинствата. </w:t>
      </w:r>
      <w:proofErr w:type="spellStart"/>
      <w:r w:rsidRPr="00ED612C">
        <w:rPr>
          <w:rFonts w:cs="Times New Roman"/>
          <w:szCs w:val="24"/>
        </w:rPr>
        <w:t>Fitch</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прогнозира реален растеж на БВП от 2,5% през 2026 г., с възможности за допълнително нарастване, свързани с приемането на еврото.</w:t>
      </w:r>
    </w:p>
    <w:p w14:paraId="4653222E" w14:textId="77777777" w:rsidR="0047584C" w:rsidRPr="00ED612C" w:rsidRDefault="0047584C" w:rsidP="00EF3798">
      <w:pPr>
        <w:rPr>
          <w:rFonts w:cs="Times New Roman"/>
          <w:szCs w:val="24"/>
        </w:rPr>
      </w:pPr>
      <w:r w:rsidRPr="00ED612C">
        <w:rPr>
          <w:rFonts w:cs="Times New Roman"/>
          <w:szCs w:val="24"/>
        </w:rPr>
        <w:t xml:space="preserve">През м. януари т.г. рейтинговата агенция </w:t>
      </w:r>
      <w:proofErr w:type="spellStart"/>
      <w:r w:rsidRPr="00ED612C">
        <w:rPr>
          <w:rFonts w:cs="Times New Roman"/>
          <w:b/>
          <w:szCs w:val="24"/>
        </w:rPr>
        <w:t>Moody’s</w:t>
      </w:r>
      <w:proofErr w:type="spellEnd"/>
      <w:r w:rsidRPr="00ED612C">
        <w:rPr>
          <w:rFonts w:cs="Times New Roman"/>
          <w:b/>
          <w:szCs w:val="24"/>
        </w:rPr>
        <w:t xml:space="preserve"> </w:t>
      </w:r>
      <w:proofErr w:type="spellStart"/>
      <w:r w:rsidRPr="00ED612C">
        <w:rPr>
          <w:rFonts w:cs="Times New Roman"/>
          <w:b/>
          <w:szCs w:val="24"/>
        </w:rPr>
        <w:t>Ratings</w:t>
      </w:r>
      <w:proofErr w:type="spellEnd"/>
      <w:r w:rsidRPr="00ED612C">
        <w:rPr>
          <w:rFonts w:cs="Times New Roman"/>
          <w:szCs w:val="24"/>
        </w:rPr>
        <w:t xml:space="preserve"> потвърди дългосрочния и краткосрочния рейтинг на България „Baa1“ със стабилна перспектива. Потвърждаването на рейтинга на България „Baa1“ се основава на следните положителни очаквания: показателите за дълга и кредитоспособността на България ще останат значително по-силни от тези на страните със същия рейтинг; българската икономика ще продължи да расте със стабилен темп през 2025 г. и през следващите години, което ще доведе до по-нататъшно сближаване на доходите със страните от същата рейтингова група; кредитният профил на България ще бъде подкрепен и от очакваното скорошно приемане на еврото. Отчитат се и предизвикателствата, свързани с отслабналата институционална ефективност, и </w:t>
      </w:r>
      <w:r w:rsidR="009F650A" w:rsidRPr="00ED612C">
        <w:rPr>
          <w:rFonts w:cs="Times New Roman"/>
          <w:szCs w:val="24"/>
        </w:rPr>
        <w:t xml:space="preserve">като риск </w:t>
      </w:r>
      <w:r w:rsidRPr="00ED612C">
        <w:rPr>
          <w:rFonts w:cs="Times New Roman"/>
          <w:szCs w:val="24"/>
        </w:rPr>
        <w:t>се отбелязва отслабването на фискалната позиция.</w:t>
      </w:r>
    </w:p>
    <w:p w14:paraId="7E530DE8" w14:textId="77777777" w:rsidR="0047584C" w:rsidRPr="00ED612C" w:rsidRDefault="0047584C" w:rsidP="00EF3798">
      <w:pPr>
        <w:rPr>
          <w:rFonts w:cs="Times New Roman"/>
          <w:szCs w:val="24"/>
        </w:rPr>
      </w:pPr>
      <w:proofErr w:type="spellStart"/>
      <w:r w:rsidRPr="00ED612C">
        <w:rPr>
          <w:rFonts w:cs="Times New Roman"/>
          <w:szCs w:val="24"/>
        </w:rPr>
        <w:t>Moody’s</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очакват държавният дълг на България да нарасне умерено през следващите години, достигайки 27% от БВП в края на 2025 г. и около 29% </w:t>
      </w:r>
      <w:r w:rsidR="009F650A">
        <w:rPr>
          <w:rFonts w:cs="Times New Roman"/>
          <w:szCs w:val="24"/>
        </w:rPr>
        <w:t xml:space="preserve">от БВП </w:t>
      </w:r>
      <w:r w:rsidRPr="00ED612C">
        <w:rPr>
          <w:rFonts w:cs="Times New Roman"/>
          <w:szCs w:val="24"/>
        </w:rPr>
        <w:t xml:space="preserve">в края на 2026 г. спрямо очакваните 24,8% </w:t>
      </w:r>
      <w:r w:rsidR="009F650A">
        <w:rPr>
          <w:rFonts w:cs="Times New Roman"/>
          <w:szCs w:val="24"/>
        </w:rPr>
        <w:t xml:space="preserve">от БВП </w:t>
      </w:r>
      <w:r w:rsidRPr="00ED612C">
        <w:rPr>
          <w:rFonts w:cs="Times New Roman"/>
          <w:szCs w:val="24"/>
        </w:rPr>
        <w:t>в края на 2024 г., а дефицитът да остане близо 3% от БВП през 2025 г. и 2026 г. В съчетание със забавяне на номиналния ръст на БВП, рейтинговата агенция очаква инфлацията да се нормализира средно до около 2,6% през 2025-2026 г., което ще движи постепенното увеличение на дълга през следващите години. Въпреки това</w:t>
      </w:r>
      <w:r w:rsidR="009F650A">
        <w:rPr>
          <w:rFonts w:cs="Times New Roman"/>
          <w:szCs w:val="24"/>
        </w:rPr>
        <w:t>,</w:t>
      </w:r>
      <w:r w:rsidRPr="00ED612C">
        <w:rPr>
          <w:rFonts w:cs="Times New Roman"/>
          <w:szCs w:val="24"/>
        </w:rPr>
        <w:t xml:space="preserve"> дългът на България ще остане около половината от този на страните от групата с рейтинг „Baa1“. Рейтинговата агенция очаква реалният БВП на България да нараства с темпове от 2,5% през 2025 г. и 2,7% през 2026 г. Растежът на икономиката ще продължи да бъде движен основно от частното потребление, тъй като нарастването на реалните заплати остава високо в среда на значителен недостиг на работна сила и ниска инфлация.</w:t>
      </w:r>
    </w:p>
    <w:p w14:paraId="53497D42" w14:textId="77777777" w:rsidR="0047584C" w:rsidRPr="00ED612C" w:rsidRDefault="0047584C" w:rsidP="00EF3798">
      <w:pPr>
        <w:rPr>
          <w:rFonts w:cs="Times New Roman"/>
          <w:szCs w:val="24"/>
        </w:rPr>
      </w:pPr>
      <w:r w:rsidRPr="00ED612C">
        <w:rPr>
          <w:rFonts w:cs="Times New Roman"/>
          <w:szCs w:val="24"/>
        </w:rPr>
        <w:t>Рейтинговата агенция очаква, че пълноправното членство на България в Шенгенското пространство от началото на 2025 г. ще подпомогне секторите на туризма и транспортните услуги, като същевременно ще подобри условията за бизнес за износителите на стоки. Перспективата за приемане на еврото през 2026 г. също би подпомогнала по-нататъшната интеграция с икономиките на еврозоната и укрепването на българската икономика във времето.</w:t>
      </w:r>
    </w:p>
    <w:p w14:paraId="4557301B" w14:textId="77777777" w:rsidR="0047584C" w:rsidRPr="00ED612C" w:rsidRDefault="0047584C" w:rsidP="00EF3798">
      <w:pPr>
        <w:rPr>
          <w:rFonts w:cs="Times New Roman"/>
          <w:szCs w:val="24"/>
        </w:rPr>
      </w:pPr>
      <w:r w:rsidRPr="00ED612C">
        <w:rPr>
          <w:rFonts w:cs="Times New Roman"/>
          <w:szCs w:val="24"/>
        </w:rPr>
        <w:lastRenderedPageBreak/>
        <w:t xml:space="preserve">През м. юли т.г. </w:t>
      </w:r>
      <w:proofErr w:type="spellStart"/>
      <w:r w:rsidRPr="00ED612C">
        <w:rPr>
          <w:rFonts w:cs="Times New Roman"/>
          <w:b/>
          <w:szCs w:val="24"/>
        </w:rPr>
        <w:t>Scope</w:t>
      </w:r>
      <w:proofErr w:type="spellEnd"/>
      <w:r w:rsidRPr="00ED612C">
        <w:rPr>
          <w:rFonts w:cs="Times New Roman"/>
          <w:b/>
          <w:szCs w:val="24"/>
        </w:rPr>
        <w:t xml:space="preserve"> </w:t>
      </w:r>
      <w:proofErr w:type="spellStart"/>
      <w:r w:rsidRPr="00ED612C">
        <w:rPr>
          <w:rFonts w:cs="Times New Roman"/>
          <w:b/>
          <w:szCs w:val="24"/>
        </w:rPr>
        <w:t>Ratings</w:t>
      </w:r>
      <w:proofErr w:type="spellEnd"/>
      <w:r w:rsidRPr="00ED612C">
        <w:rPr>
          <w:rFonts w:cs="Times New Roman"/>
          <w:szCs w:val="24"/>
        </w:rPr>
        <w:t xml:space="preserve"> повиши дългосрочния к</w:t>
      </w:r>
      <w:r w:rsidR="00EF3798" w:rsidRPr="00ED612C">
        <w:rPr>
          <w:rFonts w:cs="Times New Roman"/>
          <w:szCs w:val="24"/>
        </w:rPr>
        <w:t>ред</w:t>
      </w:r>
      <w:r w:rsidR="00F65A96" w:rsidRPr="00ED612C">
        <w:rPr>
          <w:rFonts w:cs="Times New Roman"/>
          <w:szCs w:val="24"/>
        </w:rPr>
        <w:t xml:space="preserve">итен рейтинг на България на </w:t>
      </w:r>
      <w:r w:rsidR="00ED612C" w:rsidRPr="00ED612C">
        <w:rPr>
          <w:rFonts w:cs="Times New Roman"/>
          <w:szCs w:val="24"/>
        </w:rPr>
        <w:t>„</w:t>
      </w:r>
      <w:r w:rsidR="00F65A96" w:rsidRPr="00ED612C">
        <w:rPr>
          <w:rFonts w:cs="Times New Roman"/>
          <w:szCs w:val="24"/>
        </w:rPr>
        <w:t>A-</w:t>
      </w:r>
      <w:r w:rsidR="000F1138" w:rsidRPr="000F1138">
        <w:rPr>
          <w:rFonts w:cs="Times New Roman"/>
          <w:szCs w:val="24"/>
        </w:rPr>
        <w:t>“</w:t>
      </w:r>
      <w:r w:rsidR="000F1138">
        <w:rPr>
          <w:rFonts w:cs="Times New Roman"/>
          <w:szCs w:val="24"/>
        </w:rPr>
        <w:t xml:space="preserve"> от </w:t>
      </w:r>
      <w:r w:rsidR="000F1138" w:rsidRPr="000F1138">
        <w:rPr>
          <w:rFonts w:cs="Times New Roman"/>
          <w:szCs w:val="24"/>
        </w:rPr>
        <w:t>„</w:t>
      </w:r>
      <w:r w:rsidR="000F1138">
        <w:rPr>
          <w:rFonts w:cs="Times New Roman"/>
          <w:szCs w:val="24"/>
        </w:rPr>
        <w:t>BBB+</w:t>
      </w:r>
      <w:r w:rsidR="000F1138" w:rsidRPr="000F1138">
        <w:rPr>
          <w:rFonts w:cs="Times New Roman"/>
          <w:szCs w:val="24"/>
        </w:rPr>
        <w:t>“</w:t>
      </w:r>
      <w:r w:rsidRPr="00ED612C">
        <w:rPr>
          <w:rFonts w:cs="Times New Roman"/>
          <w:szCs w:val="24"/>
        </w:rPr>
        <w:t xml:space="preserve"> в местна и чуждестранна валута. С тази оценка България за първи път получава рейтинг, който е от високия инвестиционен клас</w:t>
      </w:r>
      <w:r w:rsidR="00203012" w:rsidRPr="00ED612C">
        <w:rPr>
          <w:rFonts w:cs="Times New Roman"/>
          <w:szCs w:val="24"/>
        </w:rPr>
        <w:t xml:space="preserve">. Перспективата пред </w:t>
      </w:r>
      <w:r w:rsidRPr="00ED612C">
        <w:rPr>
          <w:rFonts w:cs="Times New Roman"/>
          <w:szCs w:val="24"/>
        </w:rPr>
        <w:t>рейтинга е стабилна.</w:t>
      </w:r>
    </w:p>
    <w:p w14:paraId="3CDD6190" w14:textId="77777777" w:rsidR="0047584C" w:rsidRPr="00ED612C" w:rsidRDefault="0047584C" w:rsidP="00EF3798">
      <w:pPr>
        <w:rPr>
          <w:rFonts w:cs="Times New Roman"/>
          <w:szCs w:val="24"/>
        </w:rPr>
      </w:pPr>
      <w:r w:rsidRPr="00ED612C">
        <w:rPr>
          <w:rFonts w:cs="Times New Roman"/>
          <w:szCs w:val="24"/>
        </w:rPr>
        <w:t>Според агенцията присъединяването към еврозоната ще укрепи кредитния профил на България чрез подобрения на множество области, свързани с рейтинга, включително чрез елиминирането на валутния риск, подобрение на гъвкавостта на паричната политика и улеснявайки достъпа до развитите капиталови пазари на еврозоната. Допълнително, присъединяването ще осигури достъп на местните банки до улесненията на ЕЦБ, което ще подпомогне финансовата стабилност и ще намали разходите за финансиране, както за публичн</w:t>
      </w:r>
      <w:r w:rsidR="00203012" w:rsidRPr="00ED612C">
        <w:rPr>
          <w:rFonts w:cs="Times New Roman"/>
          <w:szCs w:val="24"/>
        </w:rPr>
        <w:t>ия, така и за частния сектор.</w:t>
      </w:r>
    </w:p>
    <w:p w14:paraId="13F49E6B" w14:textId="77777777" w:rsidR="0047584C" w:rsidRPr="00ED612C" w:rsidRDefault="0047584C" w:rsidP="00EF3798">
      <w:pPr>
        <w:rPr>
          <w:rFonts w:cs="Times New Roman"/>
          <w:szCs w:val="24"/>
        </w:rPr>
      </w:pPr>
      <w:proofErr w:type="spellStart"/>
      <w:r w:rsidRPr="00ED612C">
        <w:rPr>
          <w:rFonts w:cs="Times New Roman"/>
          <w:szCs w:val="24"/>
        </w:rPr>
        <w:t>Scope</w:t>
      </w:r>
      <w:proofErr w:type="spellEnd"/>
      <w:r w:rsidRPr="00ED612C">
        <w:rPr>
          <w:rFonts w:cs="Times New Roman"/>
          <w:szCs w:val="24"/>
        </w:rPr>
        <w:t xml:space="preserve"> </w:t>
      </w:r>
      <w:proofErr w:type="spellStart"/>
      <w:r w:rsidRPr="00ED612C">
        <w:rPr>
          <w:rFonts w:cs="Times New Roman"/>
          <w:szCs w:val="24"/>
        </w:rPr>
        <w:t>Ratings</w:t>
      </w:r>
      <w:proofErr w:type="spellEnd"/>
      <w:r w:rsidRPr="00ED612C">
        <w:rPr>
          <w:rFonts w:cs="Times New Roman"/>
          <w:szCs w:val="24"/>
        </w:rPr>
        <w:t xml:space="preserve"> очакват в средносрочен план икономическата перспектива на България да бъде подкрепена от продължаващия приток на европейски фондове и членството в еврозоната. БВП прогнозират да нарасне с 2,</w:t>
      </w:r>
      <w:r w:rsidR="00EF3798" w:rsidRPr="00ED612C">
        <w:rPr>
          <w:rFonts w:cs="Times New Roman"/>
          <w:szCs w:val="24"/>
        </w:rPr>
        <w:t>6</w:t>
      </w:r>
      <w:r w:rsidRPr="00ED612C">
        <w:rPr>
          <w:rFonts w:cs="Times New Roman"/>
          <w:szCs w:val="24"/>
        </w:rPr>
        <w:t>% през 2025 г. и с 2,</w:t>
      </w:r>
      <w:r w:rsidR="00EF3798" w:rsidRPr="00ED612C">
        <w:rPr>
          <w:rFonts w:cs="Times New Roman"/>
          <w:szCs w:val="24"/>
        </w:rPr>
        <w:t>9</w:t>
      </w:r>
      <w:r w:rsidRPr="00ED612C">
        <w:rPr>
          <w:rFonts w:cs="Times New Roman"/>
          <w:szCs w:val="24"/>
        </w:rPr>
        <w:t>% през 2026 г. в реално изражение, след растеж от 2,</w:t>
      </w:r>
      <w:r w:rsidR="00EF3798" w:rsidRPr="00ED612C">
        <w:rPr>
          <w:rFonts w:cs="Times New Roman"/>
          <w:szCs w:val="24"/>
        </w:rPr>
        <w:t>8</w:t>
      </w:r>
      <w:r w:rsidRPr="00ED612C">
        <w:rPr>
          <w:rFonts w:cs="Times New Roman"/>
          <w:szCs w:val="24"/>
        </w:rPr>
        <w:t>% през 2024 г. Траекторията на растежа е подкрепена от съществени европейски средства.</w:t>
      </w:r>
    </w:p>
    <w:p w14:paraId="2A6E1ED4" w14:textId="77777777" w:rsidR="0047584C" w:rsidRPr="00ED612C" w:rsidRDefault="0047584C" w:rsidP="00EF3798">
      <w:pPr>
        <w:rPr>
          <w:rFonts w:cs="Times New Roman"/>
          <w:szCs w:val="24"/>
        </w:rPr>
      </w:pPr>
      <w:r w:rsidRPr="00ED612C">
        <w:rPr>
          <w:rFonts w:cs="Times New Roman"/>
          <w:szCs w:val="24"/>
        </w:rPr>
        <w:t xml:space="preserve">В </w:t>
      </w:r>
      <w:proofErr w:type="spellStart"/>
      <w:r w:rsidRPr="00ED612C">
        <w:rPr>
          <w:rFonts w:cs="Times New Roman"/>
          <w:szCs w:val="24"/>
        </w:rPr>
        <w:t>средносрочeн</w:t>
      </w:r>
      <w:proofErr w:type="spellEnd"/>
      <w:r w:rsidRPr="00ED612C">
        <w:rPr>
          <w:rFonts w:cs="Times New Roman"/>
          <w:szCs w:val="24"/>
        </w:rPr>
        <w:t xml:space="preserve"> период присъединяването към еврозоната се очаква да насърчи преките чуждестранни инвестиции и да задълбочи търговската интеграция с други държави членки на еврозоната, което допълнително ще засили благоприятните макроикономически перспективи.</w:t>
      </w:r>
    </w:p>
    <w:p w14:paraId="5DA16815" w14:textId="77777777" w:rsidR="0047584C" w:rsidRDefault="0047584C" w:rsidP="00EF3798">
      <w:pPr>
        <w:rPr>
          <w:rFonts w:cs="Times New Roman"/>
          <w:szCs w:val="24"/>
        </w:rPr>
      </w:pPr>
    </w:p>
    <w:p w14:paraId="1422C8E5" w14:textId="77777777" w:rsidR="0047584C" w:rsidRDefault="0047584C" w:rsidP="00EF3798">
      <w:pPr>
        <w:rPr>
          <w:rFonts w:cs="Times New Roman"/>
          <w:szCs w:val="24"/>
        </w:rPr>
      </w:pPr>
    </w:p>
    <w:p w14:paraId="1581B5D0" w14:textId="77777777" w:rsidR="008B2AB1" w:rsidRDefault="008B2AB1" w:rsidP="005B790D">
      <w:pPr>
        <w:pStyle w:val="Heading1"/>
        <w:numPr>
          <w:ilvl w:val="0"/>
          <w:numId w:val="38"/>
        </w:numPr>
        <w:rPr>
          <w:color w:val="auto"/>
        </w:rPr>
        <w:sectPr w:rsidR="008B2AB1" w:rsidSect="00C3380E">
          <w:headerReference w:type="default" r:id="rId20"/>
          <w:footerReference w:type="even" r:id="rId21"/>
          <w:headerReference w:type="first" r:id="rId22"/>
          <w:pgSz w:w="11906" w:h="16838" w:code="9"/>
          <w:pgMar w:top="1418" w:right="1418" w:bottom="851" w:left="1418" w:header="708" w:footer="708" w:gutter="0"/>
          <w:cols w:space="708"/>
          <w:titlePg/>
          <w:docGrid w:linePitch="360"/>
        </w:sectPr>
      </w:pPr>
      <w:bookmarkStart w:id="227" w:name="_Toc464459725"/>
      <w:bookmarkStart w:id="228" w:name="_Toc464460680"/>
      <w:bookmarkStart w:id="229" w:name="_Toc464463079"/>
      <w:bookmarkStart w:id="230" w:name="_Toc464464906"/>
      <w:bookmarkStart w:id="231" w:name="_Toc464465412"/>
      <w:bookmarkStart w:id="232" w:name="_Toc464465600"/>
      <w:bookmarkStart w:id="233" w:name="_Toc464466425"/>
      <w:bookmarkStart w:id="234" w:name="_Toc464466669"/>
      <w:bookmarkStart w:id="235" w:name="_Toc464466727"/>
      <w:bookmarkStart w:id="236" w:name="_Toc464470231"/>
      <w:bookmarkStart w:id="237" w:name="_Toc464644981"/>
      <w:bookmarkStart w:id="238" w:name="_Toc464646363"/>
    </w:p>
    <w:bookmarkStart w:id="239" w:name="_Toc216029351"/>
    <w:p w14:paraId="2C289E04" w14:textId="77777777" w:rsidR="00DC3B68" w:rsidRPr="0047584C" w:rsidRDefault="00C3380E" w:rsidP="0047584C">
      <w:pPr>
        <w:pStyle w:val="Heading1"/>
        <w:rPr>
          <w:color w:val="auto"/>
        </w:rPr>
      </w:pPr>
      <w:r w:rsidRPr="00710C44">
        <w:rPr>
          <w:noProof/>
        </w:rPr>
        <w:lastRenderedPageBreak/>
        <mc:AlternateContent>
          <mc:Choice Requires="wps">
            <w:drawing>
              <wp:anchor distT="0" distB="0" distL="114300" distR="114300" simplePos="0" relativeHeight="251652608" behindDoc="1" locked="0" layoutInCell="1" allowOverlap="1" wp14:anchorId="4F4C0688" wp14:editId="32A3716A">
                <wp:simplePos x="0" y="0"/>
                <wp:positionH relativeFrom="column">
                  <wp:posOffset>-909955</wp:posOffset>
                </wp:positionH>
                <wp:positionV relativeFrom="paragraph">
                  <wp:posOffset>-938530</wp:posOffset>
                </wp:positionV>
                <wp:extent cx="7604201" cy="2152650"/>
                <wp:effectExtent l="0" t="0" r="0" b="0"/>
                <wp:wrapNone/>
                <wp:docPr id="676" name="Rectangle 676"/>
                <wp:cNvGraphicFramePr/>
                <a:graphic xmlns:a="http://schemas.openxmlformats.org/drawingml/2006/main">
                  <a:graphicData uri="http://schemas.microsoft.com/office/word/2010/wordprocessingShape">
                    <wps:wsp>
                      <wps:cNvSpPr/>
                      <wps:spPr>
                        <a:xfrm>
                          <a:off x="0" y="0"/>
                          <a:ext cx="7604201" cy="215265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6E4AA" id="Rectangle 676" o:spid="_x0000_s1026" style="position:absolute;margin-left:-71.65pt;margin-top:-73.9pt;width:598.75pt;height:1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" fillcolor="#f8cec7 [662]" stroked="f" strokeweight="1pt"/>
            </w:pict>
          </mc:Fallback>
        </mc:AlternateContent>
      </w:r>
      <w:r w:rsidR="00710C44" w:rsidRPr="00710C44">
        <w:rPr>
          <w:noProof/>
        </w:rPr>
        <mc:AlternateContent>
          <mc:Choice Requires="wps">
            <w:drawing>
              <wp:anchor distT="0" distB="0" distL="114300" distR="114300" simplePos="0" relativeHeight="251655680" behindDoc="0" locked="0" layoutInCell="1" allowOverlap="1" wp14:anchorId="4342B976" wp14:editId="71D1C86B">
                <wp:simplePos x="0" y="0"/>
                <wp:positionH relativeFrom="column">
                  <wp:posOffset>-861695</wp:posOffset>
                </wp:positionH>
                <wp:positionV relativeFrom="paragraph">
                  <wp:posOffset>1215314</wp:posOffset>
                </wp:positionV>
                <wp:extent cx="7560310" cy="0"/>
                <wp:effectExtent l="0" t="0" r="21590" b="19050"/>
                <wp:wrapNone/>
                <wp:docPr id="687" name="Straight Connector 687"/>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DC6B8" id="Straight Connector 687"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67.85pt,95.7pt" to="527.4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" strokecolor="#b32c16 [3206]"/>
            </w:pict>
          </mc:Fallback>
        </mc:AlternateContent>
      </w:r>
      <w:bookmarkStart w:id="240" w:name="_Toc465205512"/>
      <w:r w:rsidR="007B7BDC">
        <w:br/>
      </w:r>
      <w:r w:rsidR="00886C3C" w:rsidRPr="0047584C">
        <w:rPr>
          <w:color w:val="auto"/>
        </w:rPr>
        <w:t>Приоритети на п</w:t>
      </w:r>
      <w:r w:rsidR="007B7BDC" w:rsidRPr="0047584C">
        <w:rPr>
          <w:color w:val="auto"/>
        </w:rPr>
        <w:t>олитики</w:t>
      </w:r>
      <w:r w:rsidR="00886C3C" w:rsidRPr="0047584C">
        <w:rPr>
          <w:color w:val="auto"/>
        </w:rPr>
        <w:t>те</w:t>
      </w:r>
      <w:r w:rsidR="007B7BDC" w:rsidRPr="0047584C">
        <w:rPr>
          <w:color w:val="auto"/>
        </w:rPr>
        <w:t xml:space="preserve"> и о</w:t>
      </w:r>
      <w:r w:rsidR="002A37C0" w:rsidRPr="0047584C">
        <w:rPr>
          <w:color w:val="auto"/>
        </w:rPr>
        <w:t>с</w:t>
      </w:r>
      <w:r w:rsidR="007C16B3" w:rsidRPr="0047584C">
        <w:rPr>
          <w:color w:val="auto"/>
        </w:rPr>
        <w:t>новни допускания за периода 2026</w:t>
      </w:r>
      <w:r w:rsidR="007B7BDC" w:rsidRPr="0047584C">
        <w:rPr>
          <w:color w:val="auto"/>
        </w:rPr>
        <w:t>-202</w:t>
      </w:r>
      <w:r w:rsidR="00B50DD4" w:rsidRPr="0047584C">
        <w:rPr>
          <w:color w:val="auto"/>
        </w:rPr>
        <w:t>8</w:t>
      </w:r>
      <w:r w:rsidR="007B7BDC" w:rsidRPr="0047584C">
        <w:rPr>
          <w:color w:val="auto"/>
        </w:rPr>
        <w:t> г</w:t>
      </w:r>
      <w:r w:rsidR="002B1A92" w:rsidRPr="0047584C">
        <w:rPr>
          <w:color w:val="auto"/>
        </w:rPr>
        <w:t>.</w:t>
      </w:r>
      <w:bookmarkEnd w:id="239"/>
    </w:p>
    <w:p w14:paraId="2D42D4CC" w14:textId="77777777" w:rsidR="00742244" w:rsidRDefault="00083361" w:rsidP="000B315F">
      <w:pPr>
        <w:pStyle w:val="Heading2"/>
        <w:numPr>
          <w:ilvl w:val="1"/>
          <w:numId w:val="3"/>
        </w:numPr>
        <w:ind w:hanging="270"/>
      </w:pPr>
      <w:bookmarkStart w:id="241" w:name="_Toc216029352"/>
      <w:bookmarkStart w:id="242" w:name="_Toc464224783"/>
      <w:bookmarkStart w:id="243" w:name="_Toc464225433"/>
      <w:bookmarkStart w:id="244" w:name="_Toc464458980"/>
      <w:bookmarkStart w:id="245" w:name="_Toc464463080"/>
      <w:bookmarkStart w:id="246" w:name="_Toc464464907"/>
      <w:bookmarkStart w:id="247" w:name="_Toc464465413"/>
      <w:bookmarkStart w:id="248" w:name="_Toc464465601"/>
      <w:bookmarkStart w:id="249" w:name="_Toc464466426"/>
      <w:bookmarkStart w:id="250" w:name="_Toc464466670"/>
      <w:bookmarkStart w:id="251" w:name="_Toc464644982"/>
      <w:bookmarkStart w:id="252" w:name="_Toc465205513"/>
      <w:bookmarkEnd w:id="227"/>
      <w:bookmarkEnd w:id="228"/>
      <w:bookmarkEnd w:id="229"/>
      <w:bookmarkEnd w:id="230"/>
      <w:bookmarkEnd w:id="231"/>
      <w:bookmarkEnd w:id="232"/>
      <w:bookmarkEnd w:id="233"/>
      <w:bookmarkEnd w:id="234"/>
      <w:bookmarkEnd w:id="235"/>
      <w:bookmarkEnd w:id="236"/>
      <w:bookmarkEnd w:id="237"/>
      <w:bookmarkEnd w:id="238"/>
      <w:bookmarkEnd w:id="240"/>
      <w:r w:rsidRPr="00AA3F66">
        <w:t>П</w:t>
      </w:r>
      <w:r w:rsidR="00742244">
        <w:t>оли</w:t>
      </w:r>
      <w:r w:rsidR="007C16B3">
        <w:t>тики в приходите за периода 2026</w:t>
      </w:r>
      <w:r w:rsidR="00742244">
        <w:t>-2028 г.</w:t>
      </w:r>
      <w:bookmarkEnd w:id="241"/>
    </w:p>
    <w:bookmarkEnd w:id="242"/>
    <w:bookmarkEnd w:id="243"/>
    <w:bookmarkEnd w:id="244"/>
    <w:bookmarkEnd w:id="245"/>
    <w:bookmarkEnd w:id="246"/>
    <w:bookmarkEnd w:id="247"/>
    <w:bookmarkEnd w:id="248"/>
    <w:bookmarkEnd w:id="249"/>
    <w:bookmarkEnd w:id="250"/>
    <w:bookmarkEnd w:id="251"/>
    <w:bookmarkEnd w:id="252"/>
    <w:p w14:paraId="77EA6BAD" w14:textId="77777777" w:rsidR="00523C36" w:rsidRPr="00523C36" w:rsidRDefault="00523C36" w:rsidP="00523C36">
      <w:pPr>
        <w:rPr>
          <w:szCs w:val="24"/>
        </w:rPr>
      </w:pPr>
      <w:r w:rsidRPr="00523C36">
        <w:rPr>
          <w:szCs w:val="24"/>
        </w:rPr>
        <w:t xml:space="preserve">През периода 2026-2028 г. данъчната политика ще е ориентирана към постигане на макроикономическа и бюджетна стабилност в средносрочен и дългосрочен план и осигуряване на необходимия финансов ресурс за изпълнение на разходните политики на правителството. Основните цели на данъчната политика за периода отново са насочени към поддържане на икономическия растеж, подобряване на бизнес средата, борбата с данъчните злоупотреби и повишаване на фискалната устойчивост в дългосрочен план. Запазват се основните приоритети, свързани с подобряване на събираемостта на приходите, предотвратяване на възможностите за укриване и невнасяне на данъци и осигуровки и намаляване на административната тежест и разходите за бизнеса и гражданите. В международен аспект данъчната политика на страната е насочена в подкрепа на функционирането на единния пазар на ЕС, успешното осъществяване на цифровата трансформация на обществото и икономиката в Европа и на дейностите по справяне с климатичните промени и опазване на околната среда. През прогнозния период </w:t>
      </w:r>
      <w:r w:rsidR="00B66613">
        <w:rPr>
          <w:szCs w:val="24"/>
        </w:rPr>
        <w:t>Министерството на финансите</w:t>
      </w:r>
      <w:r w:rsidRPr="00523C36">
        <w:rPr>
          <w:szCs w:val="24"/>
        </w:rPr>
        <w:t xml:space="preserve"> ще продължи активно да участва в дейностите, свързани с обсъждането, анализа и оценката на въздействие от планираните от ОИСР</w:t>
      </w:r>
      <w:r w:rsidRPr="00523C36">
        <w:rPr>
          <w:szCs w:val="24"/>
          <w:vertAlign w:val="superscript"/>
        </w:rPr>
        <w:footnoteReference w:id="22"/>
      </w:r>
      <w:r w:rsidRPr="00523C36">
        <w:rPr>
          <w:szCs w:val="24"/>
        </w:rPr>
        <w:t xml:space="preserve"> мерки в различни области на данъчната политика.</w:t>
      </w:r>
    </w:p>
    <w:p w14:paraId="7731B651" w14:textId="77777777" w:rsidR="005528E7" w:rsidRPr="005528E7" w:rsidRDefault="00523C36" w:rsidP="004C2405">
      <w:pPr>
        <w:rPr>
          <w:szCs w:val="24"/>
        </w:rPr>
      </w:pPr>
      <w:r w:rsidRPr="00523C36">
        <w:rPr>
          <w:szCs w:val="24"/>
        </w:rPr>
        <w:t>За изпълнение на приоритетните цели на данъчната политика се извършват нормативни промени и действия на приходните администрации в областта на събирането и контрола. Постигането на по-добра ефективност при изпълнение на мерките е в пряка връзка със засилването на междуинституционалното сътрудничество, координация и ефективен обмен на информация както на национално ниво, така и на ниво ЕС и трети страни.</w:t>
      </w:r>
    </w:p>
    <w:p w14:paraId="492C45F9" w14:textId="77777777" w:rsidR="00C32A62" w:rsidRPr="00AA3F66" w:rsidRDefault="00820B71" w:rsidP="0047584C">
      <w:pPr>
        <w:pStyle w:val="Heading3"/>
        <w:ind w:left="0"/>
      </w:pPr>
      <w:bookmarkStart w:id="253" w:name="_Toc464224787"/>
      <w:bookmarkStart w:id="254" w:name="_Toc464225437"/>
      <w:bookmarkStart w:id="255" w:name="_Toc464458984"/>
      <w:bookmarkStart w:id="256" w:name="_Toc464463084"/>
      <w:bookmarkStart w:id="257" w:name="_Toc464464911"/>
      <w:bookmarkStart w:id="258" w:name="_Toc464465417"/>
      <w:bookmarkStart w:id="259" w:name="_Toc464465605"/>
      <w:bookmarkStart w:id="260" w:name="_Toc464466430"/>
      <w:bookmarkStart w:id="261" w:name="_Toc464466674"/>
      <w:bookmarkStart w:id="262" w:name="_Toc464644986"/>
      <w:bookmarkStart w:id="263" w:name="_Toc465205517"/>
      <w:r w:rsidRPr="00AA3F66">
        <w:t>Данъчна политика</w:t>
      </w:r>
    </w:p>
    <w:p w14:paraId="428547BC" w14:textId="77777777" w:rsidR="005528E7" w:rsidRPr="007E0B34" w:rsidRDefault="005528E7" w:rsidP="005528E7">
      <w:pPr>
        <w:rPr>
          <w:szCs w:val="24"/>
        </w:rPr>
      </w:pPr>
      <w:r w:rsidRPr="007E0B34">
        <w:rPr>
          <w:szCs w:val="24"/>
        </w:rPr>
        <w:t>Прогнозните данъчни приходи за периода 2026-2028 г. са базирани на основните показатели от есенната макроикономическа прогноза на Министерството на финансите, планираните законодателни изменения на данъчните закони и на резултатите от прилаганите мерки от страна на приходните агенции за подобряване на събираемостта.</w:t>
      </w:r>
    </w:p>
    <w:p w14:paraId="0E1DCED1" w14:textId="77777777" w:rsidR="005528E7" w:rsidRPr="007E0B34" w:rsidRDefault="005528E7" w:rsidP="005528E7">
      <w:pPr>
        <w:tabs>
          <w:tab w:val="left" w:pos="709"/>
        </w:tabs>
        <w:rPr>
          <w:bCs/>
          <w:szCs w:val="24"/>
        </w:rPr>
      </w:pPr>
      <w:r w:rsidRPr="007E0B34">
        <w:rPr>
          <w:bCs/>
          <w:szCs w:val="24"/>
        </w:rPr>
        <w:t xml:space="preserve">При прогнозиране на постъпленията от данъци са взети предвид </w:t>
      </w:r>
      <w:r w:rsidR="00EF5785" w:rsidRPr="00BC1E8C">
        <w:rPr>
          <w:b/>
          <w:bCs/>
          <w:i/>
          <w:color w:val="852010" w:themeColor="accent3" w:themeShade="BF"/>
          <w:szCs w:val="24"/>
        </w:rPr>
        <w:t xml:space="preserve">предложените </w:t>
      </w:r>
      <w:r w:rsidR="00EF5785">
        <w:rPr>
          <w:bCs/>
          <w:szCs w:val="24"/>
        </w:rPr>
        <w:t xml:space="preserve"> </w:t>
      </w:r>
      <w:r w:rsidRPr="007E0B34">
        <w:rPr>
          <w:b/>
          <w:bCs/>
          <w:i/>
          <w:color w:val="852010" w:themeColor="accent3" w:themeShade="BF"/>
          <w:szCs w:val="24"/>
        </w:rPr>
        <w:t>изменения в данъчното законодателство</w:t>
      </w:r>
      <w:r w:rsidRPr="007E0B34">
        <w:rPr>
          <w:bCs/>
          <w:szCs w:val="24"/>
        </w:rPr>
        <w:t xml:space="preserve">, както следва: </w:t>
      </w:r>
    </w:p>
    <w:p w14:paraId="2893E166" w14:textId="77777777" w:rsidR="00170673" w:rsidRPr="00170673" w:rsidRDefault="00170673" w:rsidP="005B790D">
      <w:pPr>
        <w:pStyle w:val="ListParagraph"/>
        <w:numPr>
          <w:ilvl w:val="0"/>
          <w:numId w:val="29"/>
        </w:numPr>
        <w:tabs>
          <w:tab w:val="left" w:pos="720"/>
        </w:tabs>
        <w:ind w:left="0" w:firstLine="360"/>
        <w:rPr>
          <w:rFonts w:eastAsia="Times New Roman"/>
          <w:bCs/>
          <w:iCs/>
          <w:szCs w:val="24"/>
        </w:rPr>
      </w:pPr>
      <w:r w:rsidRPr="00170673">
        <w:rPr>
          <w:rFonts w:eastAsia="Times New Roman"/>
          <w:bCs/>
          <w:iCs/>
          <w:szCs w:val="24"/>
        </w:rPr>
        <w:t>Разширяване на обхвата на стокит</w:t>
      </w:r>
      <w:r w:rsidR="00EF2B93">
        <w:rPr>
          <w:rFonts w:eastAsia="Times New Roman"/>
          <w:bCs/>
          <w:iCs/>
          <w:szCs w:val="24"/>
        </w:rPr>
        <w:t xml:space="preserve">е </w:t>
      </w:r>
      <w:r w:rsidR="00EF2B93" w:rsidRPr="00EF2B93">
        <w:rPr>
          <w:rFonts w:eastAsia="Times New Roman"/>
          <w:bCs/>
          <w:iCs/>
          <w:szCs w:val="24"/>
          <w:lang w:bidi="bg-BG"/>
        </w:rPr>
        <w:t>с висок фискален риск</w:t>
      </w:r>
      <w:r w:rsidRPr="00170673">
        <w:rPr>
          <w:rFonts w:eastAsia="Times New Roman"/>
          <w:bCs/>
          <w:iCs/>
          <w:szCs w:val="24"/>
        </w:rPr>
        <w:t>. Към момента фискалният контрол се осъществява спрямо 590 кода от Комбинираната номенклатура на ЕС, която включва общо 9885 кода</w:t>
      </w:r>
      <w:r w:rsidR="00203012">
        <w:rPr>
          <w:rFonts w:eastAsia="Times New Roman"/>
          <w:bCs/>
          <w:iCs/>
          <w:szCs w:val="24"/>
        </w:rPr>
        <w:t xml:space="preserve">. С мярката се предвижда да се </w:t>
      </w:r>
      <w:r w:rsidRPr="00170673">
        <w:rPr>
          <w:rFonts w:eastAsia="Times New Roman"/>
          <w:bCs/>
          <w:iCs/>
          <w:szCs w:val="24"/>
        </w:rPr>
        <w:t xml:space="preserve">разшири обхвата на </w:t>
      </w:r>
      <w:r w:rsidRPr="00170673">
        <w:rPr>
          <w:rFonts w:eastAsia="Times New Roman"/>
          <w:bCs/>
          <w:iCs/>
          <w:szCs w:val="24"/>
        </w:rPr>
        <w:lastRenderedPageBreak/>
        <w:t xml:space="preserve">стоките, </w:t>
      </w:r>
      <w:r w:rsidR="00203012">
        <w:rPr>
          <w:rFonts w:eastAsia="Times New Roman"/>
          <w:bCs/>
          <w:iCs/>
          <w:szCs w:val="24"/>
        </w:rPr>
        <w:t xml:space="preserve">подлежащи на фискален контрол, </w:t>
      </w:r>
      <w:r w:rsidRPr="00170673">
        <w:rPr>
          <w:rFonts w:eastAsia="Times New Roman"/>
          <w:bCs/>
          <w:iCs/>
          <w:szCs w:val="24"/>
        </w:rPr>
        <w:t>което ще даде възможност за увеличаване на физическия контрол върху движението на тези стоки и реалното отчитане на приходите о</w:t>
      </w:r>
      <w:r w:rsidR="00E1283D">
        <w:rPr>
          <w:rFonts w:eastAsia="Times New Roman"/>
          <w:bCs/>
          <w:iCs/>
          <w:szCs w:val="24"/>
        </w:rPr>
        <w:t>т осъществените с тях доставки;</w:t>
      </w:r>
    </w:p>
    <w:p w14:paraId="4C3AC5BE" w14:textId="77777777" w:rsidR="00170673" w:rsidRPr="00170673" w:rsidRDefault="00170673" w:rsidP="005B790D">
      <w:pPr>
        <w:pStyle w:val="ListParagraph"/>
        <w:numPr>
          <w:ilvl w:val="0"/>
          <w:numId w:val="29"/>
        </w:numPr>
        <w:tabs>
          <w:tab w:val="left" w:pos="720"/>
        </w:tabs>
        <w:ind w:left="0" w:firstLine="360"/>
        <w:rPr>
          <w:rFonts w:eastAsia="Times New Roman"/>
          <w:bCs/>
          <w:iCs/>
          <w:szCs w:val="24"/>
        </w:rPr>
      </w:pPr>
      <w:r w:rsidRPr="00170673">
        <w:rPr>
          <w:rFonts w:eastAsia="Times New Roman"/>
          <w:bCs/>
          <w:iCs/>
          <w:szCs w:val="24"/>
        </w:rPr>
        <w:t xml:space="preserve">Разширяване на системата за електронно проследяване на движението на транспортните средства, превозващи стоки с висок фискален риск. С мярката се предвижда със специална разпоредба в </w:t>
      </w:r>
      <w:r w:rsidR="006D311E" w:rsidRPr="006D311E">
        <w:rPr>
          <w:rFonts w:eastAsia="Times New Roman"/>
          <w:bCs/>
          <w:iCs/>
          <w:szCs w:val="24"/>
        </w:rPr>
        <w:t>Данъчно-осигурителния процесуален кодекс (</w:t>
      </w:r>
      <w:r w:rsidRPr="00170673">
        <w:rPr>
          <w:rFonts w:eastAsia="Times New Roman"/>
          <w:bCs/>
          <w:iCs/>
          <w:szCs w:val="24"/>
        </w:rPr>
        <w:t>ДОПК</w:t>
      </w:r>
      <w:r w:rsidR="006D311E">
        <w:rPr>
          <w:rFonts w:eastAsia="Times New Roman"/>
          <w:bCs/>
          <w:iCs/>
          <w:szCs w:val="24"/>
        </w:rPr>
        <w:t>)</w:t>
      </w:r>
      <w:r w:rsidRPr="00170673">
        <w:rPr>
          <w:rFonts w:eastAsia="Times New Roman"/>
          <w:bCs/>
          <w:iCs/>
          <w:szCs w:val="24"/>
        </w:rPr>
        <w:t xml:space="preserve"> да се въведе задължение при превоз на стоки с висок фискален риск превозвачът или лицето, организиращо превоза, да осигури предаването на данни на Националната агенция за приходите за движението и местоположението на превозното средство по време на превоза в реално време посредством мобилно приложение на Националната агенция за приходите или чрез бордово устройство.</w:t>
      </w:r>
      <w:r w:rsidRPr="00170673" w:rsidDel="005D73C4">
        <w:rPr>
          <w:rFonts w:eastAsia="Times New Roman"/>
          <w:bCs/>
          <w:iCs/>
          <w:szCs w:val="24"/>
        </w:rPr>
        <w:t xml:space="preserve"> </w:t>
      </w:r>
      <w:r w:rsidRPr="00170673">
        <w:rPr>
          <w:rFonts w:eastAsia="Times New Roman"/>
          <w:bCs/>
          <w:iCs/>
          <w:szCs w:val="24"/>
        </w:rPr>
        <w:t>С въвеждането на тази мярка се цели ефективна превенция и противодействие на данъчните измами и укриването и невнасянето на задължения за бюджета, в т.ч. и вследствие отчитане на фиктивни доставки. По този начин ще се преустанови възможността стоките, декларирани като транзитно преминаващи през територията на страната, да бъдат разтоварени на територията на страната, без да се заплатят дължимите данъци сле</w:t>
      </w:r>
      <w:r w:rsidR="00E1283D">
        <w:rPr>
          <w:rFonts w:eastAsia="Times New Roman"/>
          <w:bCs/>
          <w:iCs/>
          <w:szCs w:val="24"/>
        </w:rPr>
        <w:t>д тяхната последваща реализация;</w:t>
      </w:r>
    </w:p>
    <w:p w14:paraId="05C0F300" w14:textId="77777777" w:rsidR="00E1283D" w:rsidRDefault="00E1283D" w:rsidP="005B790D">
      <w:pPr>
        <w:pStyle w:val="CommentText"/>
        <w:numPr>
          <w:ilvl w:val="0"/>
          <w:numId w:val="29"/>
        </w:numPr>
        <w:tabs>
          <w:tab w:val="left" w:pos="720"/>
        </w:tabs>
        <w:spacing w:after="200"/>
        <w:ind w:left="0" w:firstLine="360"/>
        <w:jc w:val="both"/>
        <w:rPr>
          <w:bCs/>
          <w:iCs/>
          <w:sz w:val="24"/>
          <w:szCs w:val="24"/>
        </w:rPr>
      </w:pPr>
      <w:r w:rsidRPr="007E0B34">
        <w:rPr>
          <w:bCs/>
          <w:iCs/>
          <w:sz w:val="24"/>
          <w:szCs w:val="24"/>
        </w:rPr>
        <w:t xml:space="preserve">Предложено е въвеждане на постоянно действащо равнопоставено третиране на доходите от </w:t>
      </w:r>
      <w:r w:rsidRPr="007E0B34">
        <w:rPr>
          <w:bCs/>
          <w:i/>
          <w:iCs/>
          <w:sz w:val="24"/>
          <w:szCs w:val="24"/>
        </w:rPr>
        <w:t>сделки с финансови инструменти и от лихви по облигации и други дългови ценни книжа, търгувани на пазар за растеж</w:t>
      </w:r>
      <w:r w:rsidRPr="007E0B34">
        <w:rPr>
          <w:bCs/>
          <w:iCs/>
          <w:sz w:val="24"/>
          <w:szCs w:val="24"/>
        </w:rPr>
        <w:t>, с доходите от сделки с финансови инструменти и от лихви по облигации и други дългови ценни книжа, търгувани на регулиран пазар чрез допълнение в Закона за корпоративното подоходно облагане и в Закона за данъците върху доходите на физическите лица.</w:t>
      </w:r>
      <w:r w:rsidRPr="007E0B34">
        <w:t xml:space="preserve"> </w:t>
      </w:r>
      <w:r w:rsidRPr="007E0B34">
        <w:rPr>
          <w:bCs/>
          <w:iCs/>
          <w:sz w:val="24"/>
          <w:szCs w:val="24"/>
        </w:rPr>
        <w:t>През 2020 г. Министерството на финансите предложи пилотен режим, чрез който от 1 януари 2021 г. до 31 декември 2025 г. данъчното третиране на доходите от лихви по облигации и други дългови ценни книжа и доходите от разпореждане с финансови инструменти, търгувани на пазар за растеж (специална категория място за търговия, дефинирани в Директива 2014/65/ЕС относно пазарите на финансови инструменти) се изравнява с тези, търгувани на регулиран пазар. Целта на продължаване на действието на мярката е да се насърчи развитието на пазара за растеж като алтернативен източник на финансиране за компании с ограничен достъп до банково кредитиран</w:t>
      </w:r>
      <w:r>
        <w:rPr>
          <w:bCs/>
          <w:iCs/>
          <w:sz w:val="24"/>
          <w:szCs w:val="24"/>
        </w:rPr>
        <w:t>е поради по-кратката си история;</w:t>
      </w:r>
    </w:p>
    <w:p w14:paraId="56370CD5" w14:textId="77777777" w:rsidR="00127B9B" w:rsidRPr="00127B9B" w:rsidRDefault="00127B9B" w:rsidP="00127B9B">
      <w:pPr>
        <w:pStyle w:val="CommentText"/>
        <w:numPr>
          <w:ilvl w:val="0"/>
          <w:numId w:val="29"/>
        </w:numPr>
        <w:tabs>
          <w:tab w:val="left" w:pos="720"/>
        </w:tabs>
        <w:spacing w:after="200"/>
        <w:ind w:left="0" w:firstLine="360"/>
        <w:jc w:val="both"/>
        <w:rPr>
          <w:bCs/>
          <w:iCs/>
          <w:sz w:val="24"/>
          <w:szCs w:val="24"/>
        </w:rPr>
      </w:pPr>
      <w:r>
        <w:rPr>
          <w:bCs/>
          <w:iCs/>
          <w:sz w:val="24"/>
          <w:szCs w:val="24"/>
        </w:rPr>
        <w:t xml:space="preserve">Предложено е въвеждане на данъчно облекчение за извършване на </w:t>
      </w:r>
      <w:proofErr w:type="spellStart"/>
      <w:r>
        <w:rPr>
          <w:bCs/>
          <w:iCs/>
          <w:sz w:val="24"/>
          <w:szCs w:val="24"/>
        </w:rPr>
        <w:t>научноизследовятелска</w:t>
      </w:r>
      <w:proofErr w:type="spellEnd"/>
      <w:r>
        <w:rPr>
          <w:bCs/>
          <w:iCs/>
          <w:sz w:val="24"/>
          <w:szCs w:val="24"/>
        </w:rPr>
        <w:t xml:space="preserve"> и развойна дейност (НИРД), при което на данъчно задължените лица, извършващи НИРД, ще бъдат признати за данъчни цели допълнително </w:t>
      </w:r>
      <w:r w:rsidRPr="00C6625D">
        <w:rPr>
          <w:bCs/>
          <w:iCs/>
          <w:sz w:val="24"/>
          <w:szCs w:val="24"/>
        </w:rPr>
        <w:t>25 на сто от разходите</w:t>
      </w:r>
      <w:r>
        <w:rPr>
          <w:bCs/>
          <w:iCs/>
          <w:sz w:val="24"/>
          <w:szCs w:val="24"/>
        </w:rPr>
        <w:t xml:space="preserve"> им</w:t>
      </w:r>
      <w:r w:rsidRPr="00C6625D">
        <w:rPr>
          <w:bCs/>
          <w:iCs/>
          <w:sz w:val="24"/>
          <w:szCs w:val="24"/>
        </w:rPr>
        <w:t xml:space="preserve"> за </w:t>
      </w:r>
      <w:r>
        <w:rPr>
          <w:bCs/>
          <w:iCs/>
          <w:sz w:val="24"/>
          <w:szCs w:val="24"/>
        </w:rPr>
        <w:t>НИРД</w:t>
      </w:r>
      <w:r w:rsidRPr="00C6625D">
        <w:rPr>
          <w:bCs/>
          <w:iCs/>
          <w:sz w:val="24"/>
          <w:szCs w:val="24"/>
        </w:rPr>
        <w:t xml:space="preserve">, в годината на отчитането им, когато са изпълнени </w:t>
      </w:r>
      <w:r>
        <w:rPr>
          <w:bCs/>
          <w:iCs/>
          <w:sz w:val="24"/>
          <w:szCs w:val="24"/>
        </w:rPr>
        <w:t>определени</w:t>
      </w:r>
      <w:r w:rsidRPr="00C6625D">
        <w:rPr>
          <w:bCs/>
          <w:iCs/>
          <w:sz w:val="24"/>
          <w:szCs w:val="24"/>
        </w:rPr>
        <w:t xml:space="preserve"> условия</w:t>
      </w:r>
      <w:r>
        <w:rPr>
          <w:bCs/>
          <w:iCs/>
          <w:sz w:val="24"/>
          <w:szCs w:val="24"/>
        </w:rPr>
        <w:t xml:space="preserve">. В случай че </w:t>
      </w:r>
      <w:r w:rsidRPr="00F00DB3">
        <w:rPr>
          <w:bCs/>
          <w:iCs/>
          <w:sz w:val="24"/>
          <w:szCs w:val="24"/>
        </w:rPr>
        <w:t xml:space="preserve">в резултат на развойна дейност </w:t>
      </w:r>
      <w:r>
        <w:rPr>
          <w:bCs/>
          <w:iCs/>
          <w:sz w:val="24"/>
          <w:szCs w:val="24"/>
        </w:rPr>
        <w:t>бъде</w:t>
      </w:r>
      <w:r w:rsidRPr="00F00DB3">
        <w:rPr>
          <w:bCs/>
          <w:iCs/>
          <w:sz w:val="24"/>
          <w:szCs w:val="24"/>
        </w:rPr>
        <w:t xml:space="preserve"> формиран дълготраен нематериален актив</w:t>
      </w:r>
      <w:r>
        <w:rPr>
          <w:bCs/>
          <w:iCs/>
          <w:sz w:val="24"/>
          <w:szCs w:val="24"/>
        </w:rPr>
        <w:t xml:space="preserve">, се предлага данъчно задълженото лице да </w:t>
      </w:r>
      <w:r w:rsidRPr="00F00DB3">
        <w:rPr>
          <w:bCs/>
          <w:iCs/>
          <w:sz w:val="24"/>
          <w:szCs w:val="24"/>
        </w:rPr>
        <w:t>има право да увеличи с 25 на сто</w:t>
      </w:r>
      <w:r>
        <w:rPr>
          <w:bCs/>
          <w:iCs/>
          <w:sz w:val="24"/>
          <w:szCs w:val="24"/>
        </w:rPr>
        <w:t xml:space="preserve"> д</w:t>
      </w:r>
      <w:r w:rsidRPr="005B4239">
        <w:rPr>
          <w:bCs/>
          <w:iCs/>
          <w:sz w:val="24"/>
          <w:szCs w:val="24"/>
        </w:rPr>
        <w:t>анъчната амортизируема стойност на</w:t>
      </w:r>
      <w:r>
        <w:rPr>
          <w:bCs/>
          <w:iCs/>
          <w:sz w:val="24"/>
          <w:szCs w:val="24"/>
        </w:rPr>
        <w:t xml:space="preserve"> този</w:t>
      </w:r>
      <w:r w:rsidRPr="005B4239">
        <w:rPr>
          <w:bCs/>
          <w:iCs/>
          <w:sz w:val="24"/>
          <w:szCs w:val="24"/>
        </w:rPr>
        <w:t xml:space="preserve"> актив.</w:t>
      </w:r>
      <w:r>
        <w:rPr>
          <w:bCs/>
          <w:iCs/>
          <w:sz w:val="24"/>
          <w:szCs w:val="24"/>
        </w:rPr>
        <w:t xml:space="preserve"> Целта на м</w:t>
      </w:r>
      <w:r w:rsidRPr="00C87498">
        <w:rPr>
          <w:bCs/>
          <w:iCs/>
          <w:sz w:val="24"/>
          <w:szCs w:val="24"/>
        </w:rPr>
        <w:t xml:space="preserve">ярката е </w:t>
      </w:r>
      <w:r>
        <w:rPr>
          <w:bCs/>
          <w:iCs/>
          <w:sz w:val="24"/>
          <w:szCs w:val="24"/>
        </w:rPr>
        <w:t>да</w:t>
      </w:r>
      <w:r w:rsidRPr="00C87498">
        <w:rPr>
          <w:bCs/>
          <w:iCs/>
          <w:sz w:val="24"/>
          <w:szCs w:val="24"/>
        </w:rPr>
        <w:t xml:space="preserve"> стимулира на компаниите да инвестират повече в иновации и нови технологии, което се очаква да доведе до повишаване на конкурентоспособността на бизнеса и до ускоряване на трансфера на</w:t>
      </w:r>
      <w:r>
        <w:rPr>
          <w:bCs/>
          <w:iCs/>
          <w:sz w:val="24"/>
          <w:szCs w:val="24"/>
        </w:rPr>
        <w:t xml:space="preserve"> знания към реалната икономика. </w:t>
      </w:r>
      <w:r w:rsidRPr="00C87498">
        <w:rPr>
          <w:bCs/>
          <w:iCs/>
          <w:sz w:val="24"/>
          <w:szCs w:val="24"/>
        </w:rPr>
        <w:t>Подобни мерки подпомагат създаването на висококвалифицирани работни места и насърчават предприемаческата активност, което в дългосрочен план води до по-висока производителност, устойчив икономически растеж и подобряване на международната позиция и престиж на страната</w:t>
      </w:r>
      <w:r>
        <w:rPr>
          <w:bCs/>
          <w:iCs/>
          <w:sz w:val="24"/>
          <w:szCs w:val="24"/>
        </w:rPr>
        <w:t>;</w:t>
      </w:r>
    </w:p>
    <w:p w14:paraId="18F42C4F" w14:textId="77777777" w:rsidR="00E1283D" w:rsidRPr="00170673" w:rsidRDefault="00E1283D" w:rsidP="005B790D">
      <w:pPr>
        <w:pStyle w:val="ListParagraph"/>
        <w:numPr>
          <w:ilvl w:val="0"/>
          <w:numId w:val="29"/>
        </w:numPr>
        <w:tabs>
          <w:tab w:val="left" w:pos="720"/>
        </w:tabs>
        <w:ind w:left="0" w:firstLine="360"/>
        <w:rPr>
          <w:bCs/>
          <w:iCs/>
          <w:szCs w:val="24"/>
        </w:rPr>
      </w:pPr>
      <w:r w:rsidRPr="00E96F62">
        <w:rPr>
          <w:rFonts w:eastAsia="Times New Roman"/>
          <w:bCs/>
          <w:iCs/>
          <w:szCs w:val="24"/>
        </w:rPr>
        <w:t xml:space="preserve">Във връзка с изпълнението на Националния план за възстановяване и устойчивост (НПВУ), Реформа 5 „Електрическа мобилност“, Компонент 8 „Транспорт“ и по-конкретно Цел 178 от Решението за изпълнение на Съвета на Европейския съюз (CID </w:t>
      </w:r>
      <w:proofErr w:type="spellStart"/>
      <w:r w:rsidRPr="00E96F62">
        <w:rPr>
          <w:rFonts w:eastAsia="Times New Roman"/>
          <w:bCs/>
          <w:iCs/>
          <w:szCs w:val="24"/>
        </w:rPr>
        <w:t>Annex</w:t>
      </w:r>
      <w:proofErr w:type="spellEnd"/>
      <w:r w:rsidRPr="00E96F62">
        <w:rPr>
          <w:rFonts w:eastAsia="Times New Roman"/>
          <w:bCs/>
          <w:iCs/>
          <w:szCs w:val="24"/>
        </w:rPr>
        <w:t xml:space="preserve">), се предлагат промени в Закона за корпоративното подоходно облагане, </w:t>
      </w:r>
      <w:r w:rsidRPr="00E96F62">
        <w:rPr>
          <w:rFonts w:eastAsia="Times New Roman"/>
          <w:bCs/>
          <w:iCs/>
          <w:szCs w:val="24"/>
        </w:rPr>
        <w:lastRenderedPageBreak/>
        <w:t xml:space="preserve">предоставящи възможност за </w:t>
      </w:r>
      <w:r w:rsidRPr="00E96F62">
        <w:rPr>
          <w:rFonts w:eastAsia="Times New Roman"/>
          <w:bCs/>
          <w:i/>
          <w:iCs/>
          <w:szCs w:val="24"/>
        </w:rPr>
        <w:t>по-благоприятен режим за амортизиране за данъчни цели на електрически автомобили</w:t>
      </w:r>
      <w:r w:rsidRPr="00E96F62">
        <w:rPr>
          <w:rFonts w:eastAsia="Times New Roman"/>
          <w:bCs/>
          <w:iCs/>
          <w:szCs w:val="24"/>
        </w:rPr>
        <w:t>, а именно годишна данъчна амортизационна норма, не по-висока от 50 на сто</w:t>
      </w:r>
      <w:r>
        <w:rPr>
          <w:rFonts w:eastAsia="Times New Roman"/>
          <w:bCs/>
          <w:iCs/>
          <w:szCs w:val="24"/>
        </w:rPr>
        <w:t>.</w:t>
      </w:r>
    </w:p>
    <w:p w14:paraId="6A549FE0" w14:textId="77777777" w:rsidR="005528E7" w:rsidRPr="007E0B34" w:rsidRDefault="005528E7" w:rsidP="00671077">
      <w:pPr>
        <w:pStyle w:val="m"/>
        <w:tabs>
          <w:tab w:val="left" w:pos="993"/>
        </w:tabs>
        <w:spacing w:before="0" w:beforeAutospacing="0" w:after="200" w:afterAutospacing="0"/>
        <w:jc w:val="both"/>
        <w:rPr>
          <w:b/>
        </w:rPr>
      </w:pPr>
      <w:r w:rsidRPr="007E0B34">
        <w:t>При прогнозиране на приходите от данъци</w:t>
      </w:r>
      <w:r w:rsidRPr="007E0B34" w:rsidDel="00F46ACA">
        <w:t xml:space="preserve"> </w:t>
      </w:r>
      <w:r w:rsidRPr="007E0B34">
        <w:t>е отчетено продължаващото действие на следните</w:t>
      </w:r>
      <w:r w:rsidRPr="007E0B34">
        <w:rPr>
          <w:b/>
        </w:rPr>
        <w:t xml:space="preserve"> </w:t>
      </w:r>
      <w:r w:rsidRPr="007E0B34">
        <w:rPr>
          <w:rFonts w:eastAsiaTheme="minorEastAsia" w:cstheme="minorBidi"/>
          <w:b/>
          <w:bCs/>
          <w:i/>
          <w:color w:val="852010" w:themeColor="accent3" w:themeShade="BF"/>
        </w:rPr>
        <w:t>мерки в данъчното законодателство</w:t>
      </w:r>
      <w:r w:rsidRPr="007E0B34">
        <w:rPr>
          <w:b/>
        </w:rPr>
        <w:t>:</w:t>
      </w:r>
    </w:p>
    <w:p w14:paraId="4B8631A9" w14:textId="77777777" w:rsidR="000135AF" w:rsidRPr="000135AF" w:rsidRDefault="005528E7" w:rsidP="005B790D">
      <w:pPr>
        <w:pStyle w:val="m"/>
        <w:numPr>
          <w:ilvl w:val="0"/>
          <w:numId w:val="30"/>
        </w:numPr>
        <w:tabs>
          <w:tab w:val="left" w:pos="720"/>
        </w:tabs>
        <w:spacing w:before="0" w:beforeAutospacing="0" w:after="200" w:afterAutospacing="0"/>
        <w:ind w:left="0" w:firstLine="360"/>
        <w:jc w:val="both"/>
        <w:rPr>
          <w:b/>
          <w:i/>
        </w:rPr>
      </w:pPr>
      <w:r w:rsidRPr="007E0B34">
        <w:rPr>
          <w:i/>
        </w:rPr>
        <w:t>Въведения от 01.05.2025 г. нов акцизен календар за акцизните ставки на т</w:t>
      </w:r>
      <w:r w:rsidR="003C4C09">
        <w:rPr>
          <w:i/>
        </w:rPr>
        <w:t>ютюна и тютюневите изделия</w:t>
      </w:r>
      <w:r w:rsidRPr="007E0B34">
        <w:rPr>
          <w:i/>
        </w:rPr>
        <w:t>.</w:t>
      </w:r>
      <w:r w:rsidRPr="007E0B34">
        <w:rPr>
          <w:b/>
          <w:i/>
        </w:rPr>
        <w:t xml:space="preserve"> </w:t>
      </w:r>
      <w:r w:rsidRPr="007E0B34">
        <w:rPr>
          <w:color w:val="000000"/>
        </w:rPr>
        <w:t xml:space="preserve">Мярката е продължение на практиката за балансирано поетапно увеличаване на акцизните ставки върху тютюна и тютюневите изделия. България е с най-ниско ниво на акцизно облагане на тютюна и тютюневите изделия, включително за новите </w:t>
      </w:r>
      <w:proofErr w:type="spellStart"/>
      <w:r w:rsidRPr="007E0B34">
        <w:rPr>
          <w:color w:val="000000"/>
        </w:rPr>
        <w:t>нагреваеми</w:t>
      </w:r>
      <w:proofErr w:type="spellEnd"/>
      <w:r w:rsidRPr="007E0B34">
        <w:rPr>
          <w:color w:val="000000"/>
        </w:rPr>
        <w:t xml:space="preserve"> изделия, електронни цигари и изделия, съдържащи никотин;</w:t>
      </w:r>
    </w:p>
    <w:p w14:paraId="762BFFB3" w14:textId="77777777" w:rsidR="000135AF" w:rsidRPr="000135AF" w:rsidRDefault="000135AF" w:rsidP="005B790D">
      <w:pPr>
        <w:pStyle w:val="m"/>
        <w:numPr>
          <w:ilvl w:val="0"/>
          <w:numId w:val="30"/>
        </w:numPr>
        <w:tabs>
          <w:tab w:val="left" w:pos="720"/>
        </w:tabs>
        <w:spacing w:before="0" w:beforeAutospacing="0" w:after="200" w:afterAutospacing="0"/>
        <w:ind w:left="0" w:firstLine="360"/>
        <w:jc w:val="both"/>
        <w:rPr>
          <w:b/>
          <w:i/>
        </w:rPr>
      </w:pPr>
      <w:r w:rsidRPr="007E0B34">
        <w:rPr>
          <w:bCs/>
          <w:i/>
        </w:rPr>
        <w:t>Ползване в увеличен размер на данъчните облекчения по чл. 22в и 22г от ЗДДФЛ</w:t>
      </w:r>
      <w:r>
        <w:rPr>
          <w:rStyle w:val="FootnoteReference"/>
          <w:bCs/>
          <w:i/>
        </w:rPr>
        <w:footnoteReference w:id="23"/>
      </w:r>
      <w:r w:rsidRPr="007E0B34">
        <w:rPr>
          <w:bCs/>
          <w:i/>
        </w:rPr>
        <w:t xml:space="preserve"> (за деца и за деца с увреждания)</w:t>
      </w:r>
      <w:r w:rsidRPr="007E0B34">
        <w:rPr>
          <w:bCs/>
        </w:rPr>
        <w:t xml:space="preserve"> и през 2026 г., както следва: 6 000 лв.</w:t>
      </w:r>
      <w:r>
        <w:rPr>
          <w:bCs/>
        </w:rPr>
        <w:t xml:space="preserve"> (3 067,75 евро)</w:t>
      </w:r>
      <w:r w:rsidRPr="007E0B34">
        <w:rPr>
          <w:bCs/>
        </w:rPr>
        <w:t xml:space="preserve"> годишно за едно ненавършило пълнолетие дете, 12 000 лв.</w:t>
      </w:r>
      <w:r>
        <w:rPr>
          <w:bCs/>
        </w:rPr>
        <w:t xml:space="preserve"> (6 135,50 евро)</w:t>
      </w:r>
      <w:r w:rsidRPr="007E0B34">
        <w:rPr>
          <w:bCs/>
        </w:rPr>
        <w:t xml:space="preserve"> - за две ненавършили пълнолетие деца, 18 000 лв.</w:t>
      </w:r>
      <w:r>
        <w:rPr>
          <w:bCs/>
        </w:rPr>
        <w:t xml:space="preserve"> (9 203,25 евро)</w:t>
      </w:r>
      <w:r w:rsidRPr="007E0B34">
        <w:rPr>
          <w:bCs/>
        </w:rPr>
        <w:t xml:space="preserve"> - за три и повече ненавършили пълнолетие деца и съответно, за деца с увреждания в размер на 12 000 лв.</w:t>
      </w:r>
      <w:r>
        <w:rPr>
          <w:bCs/>
        </w:rPr>
        <w:t xml:space="preserve"> (6 135,50 евро)</w:t>
      </w:r>
      <w:r w:rsidRPr="007E0B34">
        <w:rPr>
          <w:bCs/>
        </w:rPr>
        <w:t xml:space="preserve"> годишно, с възможност за авансово ползване през годината;</w:t>
      </w:r>
    </w:p>
    <w:p w14:paraId="10FD7808" w14:textId="77777777" w:rsidR="005528E7" w:rsidRPr="0065515E" w:rsidRDefault="005528E7" w:rsidP="005B790D">
      <w:pPr>
        <w:pStyle w:val="ListParagraph"/>
        <w:numPr>
          <w:ilvl w:val="0"/>
          <w:numId w:val="30"/>
        </w:numPr>
        <w:tabs>
          <w:tab w:val="left" w:pos="720"/>
        </w:tabs>
        <w:ind w:left="0" w:firstLine="360"/>
        <w:rPr>
          <w:szCs w:val="24"/>
        </w:rPr>
      </w:pPr>
      <w:r w:rsidRPr="0065515E">
        <w:rPr>
          <w:szCs w:val="24"/>
        </w:rPr>
        <w:t xml:space="preserve">Облагане с </w:t>
      </w:r>
      <w:r w:rsidRPr="0065515E">
        <w:rPr>
          <w:i/>
          <w:szCs w:val="24"/>
        </w:rPr>
        <w:t>национален допълнителен данък</w:t>
      </w:r>
      <w:r w:rsidRPr="0065515E">
        <w:rPr>
          <w:szCs w:val="24"/>
        </w:rPr>
        <w:t xml:space="preserve"> (</w:t>
      </w:r>
      <w:proofErr w:type="spellStart"/>
      <w:r w:rsidRPr="0065515E">
        <w:rPr>
          <w:szCs w:val="24"/>
        </w:rPr>
        <w:t>domestic</w:t>
      </w:r>
      <w:proofErr w:type="spellEnd"/>
      <w:r w:rsidRPr="0065515E">
        <w:rPr>
          <w:szCs w:val="24"/>
        </w:rPr>
        <w:t xml:space="preserve"> </w:t>
      </w:r>
      <w:proofErr w:type="spellStart"/>
      <w:r w:rsidRPr="0065515E">
        <w:rPr>
          <w:szCs w:val="24"/>
        </w:rPr>
        <w:t>top-up</w:t>
      </w:r>
      <w:proofErr w:type="spellEnd"/>
      <w:r w:rsidRPr="0065515E">
        <w:rPr>
          <w:szCs w:val="24"/>
        </w:rPr>
        <w:t xml:space="preserve"> </w:t>
      </w:r>
      <w:proofErr w:type="spellStart"/>
      <w:r w:rsidRPr="0065515E">
        <w:rPr>
          <w:szCs w:val="24"/>
        </w:rPr>
        <w:t>tax</w:t>
      </w:r>
      <w:proofErr w:type="spellEnd"/>
      <w:r w:rsidRPr="0065515E">
        <w:rPr>
          <w:szCs w:val="24"/>
        </w:rPr>
        <w:t xml:space="preserve">) за дружествата от многонационални групи предприятия във връзка с Директива (ЕС) 2022/2523 на Съвета от 14 декември 2022 година за гарантиране на глобално минимално равнище на данъчно облагане на многонационалните групи от предприятия и големите национални групи в Съюза. Данъкът беше въведен през 2024 г. като ефектът от него се очаква да се прояви </w:t>
      </w:r>
      <w:r w:rsidR="00B66613" w:rsidRPr="00B66613">
        <w:rPr>
          <w:szCs w:val="24"/>
        </w:rPr>
        <w:t xml:space="preserve">на касова основа </w:t>
      </w:r>
      <w:r w:rsidRPr="0065515E">
        <w:rPr>
          <w:szCs w:val="24"/>
        </w:rPr>
        <w:t>през 2026 г.</w:t>
      </w:r>
    </w:p>
    <w:p w14:paraId="66F28413" w14:textId="77777777" w:rsidR="00C13F25" w:rsidRDefault="00C32A62" w:rsidP="0047584C">
      <w:pPr>
        <w:pStyle w:val="Heading3"/>
        <w:ind w:left="0"/>
      </w:pPr>
      <w:bookmarkStart w:id="264" w:name="_Toc464224791"/>
      <w:bookmarkStart w:id="265" w:name="_Toc464225441"/>
      <w:bookmarkStart w:id="266" w:name="_Toc464458988"/>
      <w:bookmarkStart w:id="267" w:name="_Toc464459736"/>
      <w:bookmarkStart w:id="268" w:name="_Toc464460689"/>
      <w:bookmarkStart w:id="269" w:name="_Toc464463088"/>
      <w:bookmarkStart w:id="270" w:name="_Toc464464915"/>
      <w:bookmarkStart w:id="271" w:name="_Toc464465421"/>
      <w:bookmarkStart w:id="272" w:name="_Toc464465609"/>
      <w:bookmarkStart w:id="273" w:name="_Toc464466434"/>
      <w:bookmarkStart w:id="274" w:name="_Toc464466678"/>
      <w:bookmarkStart w:id="275" w:name="_Toc464644993"/>
      <w:bookmarkStart w:id="276" w:name="_Toc465070487"/>
      <w:bookmarkStart w:id="277" w:name="_Toc465205537"/>
      <w:r w:rsidRPr="00AA3F66">
        <w:t>Д</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00820B71" w:rsidRPr="00AA3F66">
        <w:t>анъчни приходи</w:t>
      </w:r>
    </w:p>
    <w:p w14:paraId="00C1BD73" w14:textId="77777777" w:rsidR="00C13F25" w:rsidRPr="0047584C" w:rsidRDefault="00C13F25" w:rsidP="0047584C">
      <w:pPr>
        <w:pStyle w:val="Heading4"/>
        <w:jc w:val="both"/>
      </w:pPr>
      <w:r w:rsidRPr="0047584C">
        <w:t>Приходи от корпоративни данъци (вкл. данъци върху дивидентите, ликвидационните дялове и доходите на местни и чуждестранни юридически лица) и други данъци по ЗКПО</w:t>
      </w:r>
    </w:p>
    <w:p w14:paraId="238D9183" w14:textId="77777777" w:rsidR="00E02968" w:rsidRPr="000138B9" w:rsidRDefault="00E02968" w:rsidP="00E02968">
      <w:pPr>
        <w:rPr>
          <w:rFonts w:eastAsia="Batang"/>
          <w:szCs w:val="24"/>
        </w:rPr>
      </w:pPr>
      <w:r w:rsidRPr="000138B9">
        <w:rPr>
          <w:rFonts w:eastAsia="Batang"/>
          <w:szCs w:val="24"/>
        </w:rPr>
        <w:t>Прогнозните приходи от корпоративни данъци и други данъци по ЗКПО</w:t>
      </w:r>
      <w:r w:rsidRPr="000138B9">
        <w:rPr>
          <w:rStyle w:val="FootnoteReference"/>
          <w:rFonts w:eastAsia="Batang"/>
          <w:szCs w:val="24"/>
        </w:rPr>
        <w:footnoteReference w:id="24"/>
      </w:r>
      <w:r w:rsidRPr="000138B9">
        <w:rPr>
          <w:rFonts w:eastAsia="Batang"/>
          <w:szCs w:val="24"/>
        </w:rPr>
        <w:t xml:space="preserve"> за 2026 г. са                </w:t>
      </w:r>
      <w:r>
        <w:rPr>
          <w:rFonts w:eastAsia="Batang"/>
          <w:szCs w:val="24"/>
        </w:rPr>
        <w:t xml:space="preserve">3 </w:t>
      </w:r>
      <w:r w:rsidRPr="00960F5C">
        <w:rPr>
          <w:rFonts w:eastAsia="Batang"/>
          <w:szCs w:val="24"/>
        </w:rPr>
        <w:t>909</w:t>
      </w:r>
      <w:r w:rsidRPr="000138B9">
        <w:rPr>
          <w:rFonts w:eastAsia="Batang"/>
          <w:szCs w:val="24"/>
        </w:rPr>
        <w:t>,</w:t>
      </w:r>
      <w:r w:rsidRPr="00960F5C">
        <w:rPr>
          <w:rFonts w:eastAsia="Batang"/>
          <w:szCs w:val="24"/>
        </w:rPr>
        <w:t>0</w:t>
      </w:r>
      <w:r w:rsidRPr="000138B9">
        <w:rPr>
          <w:rFonts w:eastAsia="Batang"/>
          <w:szCs w:val="24"/>
        </w:rPr>
        <w:t xml:space="preserve"> млн. евро. </w:t>
      </w:r>
    </w:p>
    <w:p w14:paraId="091412EE" w14:textId="77777777" w:rsidR="00E02968" w:rsidRPr="000138B9" w:rsidRDefault="00E02968" w:rsidP="00E02968">
      <w:pPr>
        <w:rPr>
          <w:rFonts w:eastAsia="Batang"/>
          <w:szCs w:val="24"/>
        </w:rPr>
      </w:pPr>
      <w:r w:rsidRPr="000138B9">
        <w:rPr>
          <w:rFonts w:eastAsia="Batang"/>
          <w:szCs w:val="24"/>
        </w:rPr>
        <w:t>В прогнозата са включени следните данъци по ЗКПО:</w:t>
      </w:r>
    </w:p>
    <w:p w14:paraId="6226E640" w14:textId="77777777" w:rsidR="00E02968" w:rsidRPr="000138B9" w:rsidRDefault="00E02968" w:rsidP="00E02968">
      <w:pPr>
        <w:numPr>
          <w:ilvl w:val="0"/>
          <w:numId w:val="4"/>
        </w:numPr>
        <w:rPr>
          <w:rFonts w:eastAsia="Batang"/>
          <w:szCs w:val="24"/>
        </w:rPr>
      </w:pPr>
      <w:r w:rsidRPr="000138B9">
        <w:rPr>
          <w:rFonts w:eastAsia="Batang"/>
          <w:szCs w:val="24"/>
        </w:rPr>
        <w:t>Корпоративен данък (от финансови институции и нефинансови предприятия) –  3 </w:t>
      </w:r>
      <w:r>
        <w:rPr>
          <w:rFonts w:eastAsia="Batang"/>
          <w:szCs w:val="24"/>
        </w:rPr>
        <w:t>653</w:t>
      </w:r>
      <w:r w:rsidRPr="000138B9">
        <w:rPr>
          <w:rFonts w:eastAsia="Batang"/>
          <w:szCs w:val="24"/>
        </w:rPr>
        <w:t>,3 млн. евро;</w:t>
      </w:r>
    </w:p>
    <w:p w14:paraId="095C06C6" w14:textId="77777777" w:rsidR="00E02968" w:rsidRPr="000138B9" w:rsidRDefault="00E02968" w:rsidP="00E02968">
      <w:pPr>
        <w:numPr>
          <w:ilvl w:val="0"/>
          <w:numId w:val="4"/>
        </w:numPr>
        <w:rPr>
          <w:rFonts w:eastAsia="Batang"/>
          <w:szCs w:val="24"/>
        </w:rPr>
      </w:pPr>
      <w:r w:rsidRPr="000138B9">
        <w:rPr>
          <w:rFonts w:eastAsia="Batang"/>
          <w:szCs w:val="24"/>
        </w:rPr>
        <w:t xml:space="preserve">Данъци върху дивидентите, ликвидационните дялове и доходите на местни и чуждестранни юридически лица – </w:t>
      </w:r>
      <w:r>
        <w:rPr>
          <w:rFonts w:eastAsia="Batang"/>
          <w:szCs w:val="24"/>
        </w:rPr>
        <w:t>7</w:t>
      </w:r>
      <w:r w:rsidRPr="000138B9">
        <w:rPr>
          <w:rFonts w:eastAsia="Batang"/>
          <w:szCs w:val="24"/>
        </w:rPr>
        <w:t>6,3 млн. евро;</w:t>
      </w:r>
    </w:p>
    <w:p w14:paraId="2A7C89BC" w14:textId="77777777" w:rsidR="00E02968" w:rsidRPr="000138B9" w:rsidRDefault="00E02968" w:rsidP="00E02968">
      <w:pPr>
        <w:numPr>
          <w:ilvl w:val="0"/>
          <w:numId w:val="4"/>
        </w:numPr>
        <w:rPr>
          <w:rFonts w:eastAsia="Batang"/>
          <w:szCs w:val="24"/>
        </w:rPr>
      </w:pPr>
      <w:r w:rsidRPr="000138B9">
        <w:rPr>
          <w:rFonts w:eastAsia="Batang"/>
          <w:szCs w:val="24"/>
        </w:rPr>
        <w:t xml:space="preserve">Други данъци по ЗКПО – </w:t>
      </w:r>
      <w:r>
        <w:rPr>
          <w:rFonts w:eastAsia="Batang"/>
          <w:szCs w:val="24"/>
        </w:rPr>
        <w:t>179</w:t>
      </w:r>
      <w:r w:rsidRPr="000138B9">
        <w:rPr>
          <w:rFonts w:eastAsia="Batang"/>
          <w:szCs w:val="24"/>
        </w:rPr>
        <w:t>,4 млн. евро.</w:t>
      </w:r>
    </w:p>
    <w:p w14:paraId="06BCC6CB" w14:textId="77777777" w:rsidR="005759F9" w:rsidRPr="000138B9" w:rsidRDefault="005759F9" w:rsidP="005759F9">
      <w:pPr>
        <w:rPr>
          <w:rFonts w:eastAsia="Batang"/>
          <w:szCs w:val="24"/>
        </w:rPr>
      </w:pPr>
      <w:r w:rsidRPr="000138B9">
        <w:rPr>
          <w:rFonts w:eastAsia="Batang"/>
          <w:szCs w:val="24"/>
        </w:rPr>
        <w:t xml:space="preserve">Приходите от </w:t>
      </w:r>
      <w:r w:rsidRPr="000138B9">
        <w:rPr>
          <w:rFonts w:eastAsia="Batang"/>
          <w:i/>
          <w:szCs w:val="24"/>
        </w:rPr>
        <w:t>корпоративни данъци</w:t>
      </w:r>
      <w:r w:rsidRPr="000138B9">
        <w:rPr>
          <w:rFonts w:eastAsia="Batang"/>
          <w:szCs w:val="24"/>
        </w:rPr>
        <w:t xml:space="preserve"> (вкл. корпоративен данък и данъци върху дивидентите, ликвидационните дялове и доходите на местни и чуждестранни юридически лица) са прогнозирани на база показателя „бруто опериращ излишък/смесен </w:t>
      </w:r>
      <w:r w:rsidRPr="000138B9">
        <w:rPr>
          <w:rFonts w:eastAsia="Batang"/>
          <w:szCs w:val="24"/>
        </w:rPr>
        <w:lastRenderedPageBreak/>
        <w:t xml:space="preserve">доход“ от макрорамката на МФ, предварителните данни за изпълнението на приходите от тези данъци през 2025 г. и при отчитане на наличната информация относно: </w:t>
      </w:r>
    </w:p>
    <w:p w14:paraId="132316E4"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декларираната облагаема печалба или загуба за 2024 г.;</w:t>
      </w:r>
    </w:p>
    <w:p w14:paraId="4431E4B2"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авансовите вноски, които правят данъчно задължените лица, формирали данъчна печалба за предходната година;</w:t>
      </w:r>
    </w:p>
    <w:p w14:paraId="491F5F86"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изравнителната вноска по годишната данъчна декларация;</w:t>
      </w:r>
    </w:p>
    <w:p w14:paraId="53A06FDF" w14:textId="77777777" w:rsidR="005759F9" w:rsidRPr="000138B9" w:rsidRDefault="005759F9" w:rsidP="0069472C">
      <w:pPr>
        <w:numPr>
          <w:ilvl w:val="0"/>
          <w:numId w:val="8"/>
        </w:numPr>
        <w:ind w:left="900"/>
        <w:rPr>
          <w:rFonts w:eastAsia="Batang"/>
          <w:szCs w:val="24"/>
        </w:rPr>
      </w:pPr>
      <w:r w:rsidRPr="000138B9">
        <w:rPr>
          <w:rFonts w:eastAsia="Batang"/>
          <w:szCs w:val="24"/>
        </w:rPr>
        <w:t>сумата на данъка за възстановяване за надвнесен корпоративен данък по годишни данъчни декларации;</w:t>
      </w:r>
    </w:p>
    <w:p w14:paraId="4CF08FD5" w14:textId="77777777" w:rsidR="005759F9" w:rsidRPr="000138B9" w:rsidRDefault="005759F9" w:rsidP="0069472C">
      <w:pPr>
        <w:numPr>
          <w:ilvl w:val="0"/>
          <w:numId w:val="8"/>
        </w:numPr>
        <w:ind w:left="900"/>
        <w:rPr>
          <w:rFonts w:eastAsia="Batang"/>
          <w:szCs w:val="24"/>
        </w:rPr>
      </w:pPr>
      <w:r w:rsidRPr="000138B9">
        <w:rPr>
          <w:rFonts w:eastAsia="Batang"/>
          <w:szCs w:val="24"/>
        </w:rPr>
        <w:t>дела на дружествата, ползващи преференцията за пренасяне на данъчни загуби;</w:t>
      </w:r>
    </w:p>
    <w:p w14:paraId="43CAC5B5" w14:textId="77777777" w:rsidR="005759F9" w:rsidRPr="000138B9" w:rsidRDefault="005759F9" w:rsidP="0069472C">
      <w:pPr>
        <w:numPr>
          <w:ilvl w:val="0"/>
          <w:numId w:val="8"/>
        </w:numPr>
        <w:ind w:left="900"/>
        <w:rPr>
          <w:rFonts w:eastAsia="Batang"/>
          <w:szCs w:val="24"/>
        </w:rPr>
      </w:pPr>
      <w:r w:rsidRPr="000138B9">
        <w:rPr>
          <w:rFonts w:eastAsia="Batang"/>
          <w:szCs w:val="24"/>
        </w:rPr>
        <w:t>размер на плащанията по ревизионни актове и вноски за минали години;</w:t>
      </w:r>
    </w:p>
    <w:p w14:paraId="550F76BC" w14:textId="77777777" w:rsidR="005759F9" w:rsidRPr="000138B9" w:rsidRDefault="005759F9" w:rsidP="0069472C">
      <w:pPr>
        <w:numPr>
          <w:ilvl w:val="0"/>
          <w:numId w:val="8"/>
        </w:numPr>
        <w:ind w:left="900"/>
        <w:rPr>
          <w:rFonts w:eastAsia="Batang"/>
          <w:szCs w:val="24"/>
        </w:rPr>
      </w:pPr>
      <w:r w:rsidRPr="000138B9">
        <w:rPr>
          <w:rFonts w:eastAsia="Batang"/>
          <w:szCs w:val="24"/>
        </w:rPr>
        <w:t>прилагане на възможността за допълнителна еднократна корекция на годишната данъчна декларация при откриване на счетоводни или други грешки и при отразяване на коригиращи събития по смисъла на приложимите счетоводни стандарти в срок до 30 септември на текущата година;</w:t>
      </w:r>
    </w:p>
    <w:p w14:paraId="4D4AFD29" w14:textId="77777777" w:rsidR="00264F30" w:rsidRPr="000138B9" w:rsidRDefault="005759F9" w:rsidP="000138B9">
      <w:pPr>
        <w:numPr>
          <w:ilvl w:val="0"/>
          <w:numId w:val="8"/>
        </w:numPr>
        <w:ind w:left="900"/>
        <w:rPr>
          <w:rFonts w:eastAsia="Batang"/>
          <w:szCs w:val="24"/>
        </w:rPr>
      </w:pPr>
      <w:r w:rsidRPr="000138B9">
        <w:rPr>
          <w:rFonts w:eastAsia="Batang"/>
          <w:szCs w:val="24"/>
        </w:rPr>
        <w:t>ефектът от въвеждането на национален допълнителен данък (</w:t>
      </w:r>
      <w:proofErr w:type="spellStart"/>
      <w:r w:rsidRPr="000138B9">
        <w:rPr>
          <w:rFonts w:eastAsia="Batang"/>
          <w:szCs w:val="24"/>
        </w:rPr>
        <w:t>domestic</w:t>
      </w:r>
      <w:proofErr w:type="spellEnd"/>
      <w:r w:rsidRPr="000138B9">
        <w:rPr>
          <w:rFonts w:eastAsia="Batang"/>
          <w:szCs w:val="24"/>
        </w:rPr>
        <w:t xml:space="preserve"> </w:t>
      </w:r>
      <w:proofErr w:type="spellStart"/>
      <w:r w:rsidRPr="000138B9">
        <w:rPr>
          <w:rFonts w:eastAsia="Batang"/>
          <w:szCs w:val="24"/>
        </w:rPr>
        <w:t>top-up</w:t>
      </w:r>
      <w:proofErr w:type="spellEnd"/>
      <w:r w:rsidRPr="000138B9">
        <w:rPr>
          <w:rFonts w:eastAsia="Batang"/>
          <w:szCs w:val="24"/>
        </w:rPr>
        <w:t xml:space="preserve"> </w:t>
      </w:r>
      <w:proofErr w:type="spellStart"/>
      <w:r w:rsidRPr="000138B9">
        <w:rPr>
          <w:rFonts w:eastAsia="Batang"/>
          <w:szCs w:val="24"/>
        </w:rPr>
        <w:t>tax</w:t>
      </w:r>
      <w:proofErr w:type="spellEnd"/>
      <w:r w:rsidRPr="000138B9">
        <w:rPr>
          <w:rFonts w:eastAsia="Batang"/>
          <w:szCs w:val="24"/>
        </w:rPr>
        <w:t>) за дружествата от многонационални групи предприятия във връзка с Директива (ЕС) 2022/2523 на Съвета от 14 декември 2022 година за гарантиране на глобално минимално равнище на данъчно облагане на многонационалните групи от предприятия и големите национални групи в Съюза, който се очаква да се прояви касово през 2026 година;</w:t>
      </w:r>
    </w:p>
    <w:p w14:paraId="50DEF931" w14:textId="77777777" w:rsidR="005759F9" w:rsidRPr="000138B9" w:rsidRDefault="005759F9" w:rsidP="0069472C">
      <w:pPr>
        <w:numPr>
          <w:ilvl w:val="0"/>
          <w:numId w:val="8"/>
        </w:numPr>
        <w:ind w:left="900"/>
        <w:rPr>
          <w:rFonts w:eastAsia="Batang"/>
          <w:szCs w:val="24"/>
        </w:rPr>
      </w:pPr>
      <w:r w:rsidRPr="000138B9">
        <w:rPr>
          <w:rFonts w:eastAsia="Batang"/>
          <w:szCs w:val="24"/>
        </w:rPr>
        <w:t>ефект</w:t>
      </w:r>
      <w:r w:rsidR="00264F30" w:rsidRPr="000138B9">
        <w:rPr>
          <w:rFonts w:eastAsia="Batang"/>
          <w:szCs w:val="24"/>
        </w:rPr>
        <w:t>ът</w:t>
      </w:r>
      <w:r w:rsidRPr="000138B9">
        <w:rPr>
          <w:rFonts w:eastAsia="Batang"/>
          <w:szCs w:val="24"/>
        </w:rPr>
        <w:t xml:space="preserve"> от предприемането на активни действия от страна на Националната агенция за приходите за справяне със сивата икономика и повишаване приходите от данъци за бюджета.</w:t>
      </w:r>
    </w:p>
    <w:p w14:paraId="150AAAD7" w14:textId="77777777" w:rsidR="005759F9" w:rsidRPr="000138B9" w:rsidRDefault="005759F9" w:rsidP="005759F9">
      <w:pPr>
        <w:rPr>
          <w:rFonts w:eastAsia="Batang"/>
          <w:szCs w:val="24"/>
        </w:rPr>
      </w:pPr>
      <w:r w:rsidRPr="000138B9">
        <w:rPr>
          <w:rFonts w:eastAsia="Batang"/>
          <w:szCs w:val="24"/>
        </w:rPr>
        <w:t xml:space="preserve">По отношение на постъпленията от </w:t>
      </w:r>
      <w:r w:rsidRPr="000138B9">
        <w:rPr>
          <w:rFonts w:eastAsia="Batang"/>
          <w:i/>
          <w:szCs w:val="24"/>
        </w:rPr>
        <w:t>данъци върху дивидентите, ликвидационните дялове и доходите на юридически лица</w:t>
      </w:r>
      <w:r w:rsidRPr="000138B9">
        <w:rPr>
          <w:rFonts w:eastAsia="Batang"/>
          <w:szCs w:val="24"/>
        </w:rPr>
        <w:t xml:space="preserve"> прогнозите отчитат изпълнението на този данък през 2025 г. и предходните години, състоянието на икономиката, предприетите мерки от правителството, както и провежданите тематични кампании за контрол от страна на органите по приходите.</w:t>
      </w:r>
    </w:p>
    <w:p w14:paraId="5548AC02" w14:textId="77777777" w:rsidR="005224D5" w:rsidRPr="005224D5" w:rsidRDefault="005224D5" w:rsidP="005224D5">
      <w:pPr>
        <w:rPr>
          <w:rFonts w:eastAsia="Batang"/>
          <w:szCs w:val="24"/>
        </w:rPr>
      </w:pPr>
      <w:r w:rsidRPr="005224D5">
        <w:rPr>
          <w:rFonts w:eastAsia="Batang"/>
          <w:szCs w:val="24"/>
        </w:rPr>
        <w:t xml:space="preserve">Планираните приходи от корпоративни данъци и други данъци по ЗКПО са съответно             в размер на 4 </w:t>
      </w:r>
      <w:r w:rsidRPr="00960F5C">
        <w:rPr>
          <w:rFonts w:eastAsia="Batang"/>
          <w:szCs w:val="24"/>
        </w:rPr>
        <w:t>149</w:t>
      </w:r>
      <w:r w:rsidRPr="005224D5">
        <w:rPr>
          <w:rFonts w:eastAsia="Batang"/>
          <w:szCs w:val="24"/>
        </w:rPr>
        <w:t xml:space="preserve">,7 млн. евро за 2027 г. и 4 </w:t>
      </w:r>
      <w:r w:rsidRPr="00960F5C">
        <w:rPr>
          <w:rFonts w:eastAsia="Batang"/>
          <w:szCs w:val="24"/>
        </w:rPr>
        <w:t>437</w:t>
      </w:r>
      <w:r w:rsidRPr="005224D5">
        <w:rPr>
          <w:rFonts w:eastAsia="Batang"/>
          <w:szCs w:val="24"/>
        </w:rPr>
        <w:t>,0 млн. евро за 2028 г.</w:t>
      </w:r>
    </w:p>
    <w:p w14:paraId="5FFBA184" w14:textId="77777777" w:rsidR="00C13F25" w:rsidRPr="00AA3F66" w:rsidRDefault="00C13F25" w:rsidP="0047584C">
      <w:pPr>
        <w:pStyle w:val="Heading4"/>
        <w:jc w:val="both"/>
      </w:pPr>
      <w:r w:rsidRPr="00AA3F66">
        <w:t>Приходи от ДДФЛ</w:t>
      </w:r>
    </w:p>
    <w:p w14:paraId="53702828" w14:textId="77777777" w:rsidR="005224D5" w:rsidRPr="005224D5" w:rsidRDefault="005224D5" w:rsidP="005224D5">
      <w:pPr>
        <w:rPr>
          <w:rFonts w:eastAsia="Batang"/>
          <w:szCs w:val="24"/>
        </w:rPr>
      </w:pPr>
      <w:r w:rsidRPr="005224D5">
        <w:rPr>
          <w:rFonts w:eastAsia="Batang"/>
          <w:szCs w:val="24"/>
        </w:rPr>
        <w:t xml:space="preserve">Прогнозните приходи от данъци върху доходите на физически лица за 2026 г. са в размер на 4 </w:t>
      </w:r>
      <w:r w:rsidRPr="00960F5C">
        <w:rPr>
          <w:rFonts w:eastAsia="Batang"/>
          <w:szCs w:val="24"/>
        </w:rPr>
        <w:t>7</w:t>
      </w:r>
      <w:r w:rsidR="005B0A13">
        <w:rPr>
          <w:rFonts w:eastAsia="Batang"/>
          <w:szCs w:val="24"/>
        </w:rPr>
        <w:t>53</w:t>
      </w:r>
      <w:r w:rsidRPr="005224D5">
        <w:rPr>
          <w:rFonts w:eastAsia="Batang"/>
          <w:szCs w:val="24"/>
        </w:rPr>
        <w:t>,</w:t>
      </w:r>
      <w:r w:rsidRPr="00960F5C">
        <w:rPr>
          <w:rFonts w:eastAsia="Batang"/>
          <w:szCs w:val="24"/>
        </w:rPr>
        <w:t>2</w:t>
      </w:r>
      <w:r w:rsidRPr="005224D5">
        <w:rPr>
          <w:rFonts w:eastAsia="Batang"/>
          <w:szCs w:val="24"/>
        </w:rPr>
        <w:t xml:space="preserve"> млн. евро. </w:t>
      </w:r>
    </w:p>
    <w:p w14:paraId="10C17341" w14:textId="77777777" w:rsidR="00B96920" w:rsidRPr="000138B9" w:rsidRDefault="00B96920" w:rsidP="00B96920">
      <w:pPr>
        <w:rPr>
          <w:rFonts w:eastAsia="Batang"/>
          <w:szCs w:val="24"/>
        </w:rPr>
      </w:pPr>
      <w:r w:rsidRPr="000138B9">
        <w:rPr>
          <w:rFonts w:eastAsia="Batang"/>
          <w:szCs w:val="24"/>
        </w:rPr>
        <w:t>Прогнозата за постъпленията от ДДФЛ</w:t>
      </w:r>
      <w:r w:rsidRPr="000138B9">
        <w:rPr>
          <w:rStyle w:val="FootnoteReference"/>
          <w:rFonts w:eastAsia="Batang"/>
          <w:szCs w:val="24"/>
        </w:rPr>
        <w:footnoteReference w:id="25"/>
      </w:r>
      <w:r w:rsidRPr="000138B9">
        <w:rPr>
          <w:rFonts w:eastAsia="Batang"/>
          <w:szCs w:val="24"/>
          <w:vertAlign w:val="superscript"/>
        </w:rPr>
        <w:t xml:space="preserve"> </w:t>
      </w:r>
      <w:r w:rsidRPr="000138B9">
        <w:rPr>
          <w:rFonts w:eastAsia="Batang"/>
          <w:szCs w:val="24"/>
        </w:rPr>
        <w:t xml:space="preserve">е изготвена, като са взети предвид следните фактори: </w:t>
      </w:r>
    </w:p>
    <w:p w14:paraId="686F4D97" w14:textId="77777777" w:rsidR="00B96920" w:rsidRPr="000138B9" w:rsidRDefault="00B96920" w:rsidP="0069472C">
      <w:pPr>
        <w:numPr>
          <w:ilvl w:val="0"/>
          <w:numId w:val="8"/>
        </w:numPr>
        <w:ind w:left="900"/>
        <w:rPr>
          <w:rFonts w:eastAsia="Batang"/>
          <w:szCs w:val="24"/>
        </w:rPr>
      </w:pPr>
      <w:r w:rsidRPr="000138B9">
        <w:rPr>
          <w:rFonts w:eastAsia="Batang"/>
          <w:szCs w:val="24"/>
        </w:rPr>
        <w:t>номинален ръст на показателя компенсация на наетите лица, съгласно макроикономическата прогноза на МФ;</w:t>
      </w:r>
    </w:p>
    <w:p w14:paraId="110096EA" w14:textId="77777777" w:rsidR="00B96920" w:rsidRPr="000138B9" w:rsidRDefault="00B96920" w:rsidP="0069472C">
      <w:pPr>
        <w:numPr>
          <w:ilvl w:val="0"/>
          <w:numId w:val="8"/>
        </w:numPr>
        <w:ind w:left="900"/>
        <w:rPr>
          <w:rFonts w:eastAsia="Batang"/>
          <w:szCs w:val="24"/>
        </w:rPr>
      </w:pPr>
      <w:r w:rsidRPr="000138B9">
        <w:rPr>
          <w:rFonts w:eastAsia="Batang"/>
          <w:szCs w:val="24"/>
        </w:rPr>
        <w:lastRenderedPageBreak/>
        <w:t>прогнозен брой заети лица;</w:t>
      </w:r>
    </w:p>
    <w:p w14:paraId="5EAA488D" w14:textId="77777777" w:rsidR="00B96920" w:rsidRPr="000138B9" w:rsidRDefault="00B96920" w:rsidP="0069472C">
      <w:pPr>
        <w:numPr>
          <w:ilvl w:val="0"/>
          <w:numId w:val="8"/>
        </w:numPr>
        <w:ind w:left="900"/>
        <w:rPr>
          <w:rFonts w:eastAsia="Batang"/>
          <w:szCs w:val="24"/>
        </w:rPr>
      </w:pPr>
      <w:r w:rsidRPr="000138B9">
        <w:rPr>
          <w:rFonts w:eastAsia="Batang"/>
          <w:szCs w:val="24"/>
        </w:rPr>
        <w:t>ниво на безработицата;</w:t>
      </w:r>
    </w:p>
    <w:p w14:paraId="45AE363E" w14:textId="77777777" w:rsidR="00B96920" w:rsidRPr="000138B9" w:rsidRDefault="00B96920" w:rsidP="0069472C">
      <w:pPr>
        <w:numPr>
          <w:ilvl w:val="0"/>
          <w:numId w:val="8"/>
        </w:numPr>
        <w:ind w:left="900"/>
        <w:rPr>
          <w:rFonts w:eastAsia="Batang"/>
          <w:szCs w:val="24"/>
        </w:rPr>
      </w:pPr>
      <w:r w:rsidRPr="000138B9">
        <w:rPr>
          <w:rFonts w:eastAsia="Batang"/>
          <w:szCs w:val="24"/>
        </w:rPr>
        <w:t>ефектите от увеличението на минималната работна заплата, на размера на минималните осигурителни доходи на наетите лица и самоосигуряващите се и на максималния осигурителен доход;</w:t>
      </w:r>
    </w:p>
    <w:p w14:paraId="4763CD60" w14:textId="77777777" w:rsidR="00B96920" w:rsidRPr="000138B9" w:rsidRDefault="00B96920" w:rsidP="0069472C">
      <w:pPr>
        <w:numPr>
          <w:ilvl w:val="0"/>
          <w:numId w:val="8"/>
        </w:numPr>
        <w:ind w:left="900"/>
        <w:rPr>
          <w:rFonts w:eastAsia="Batang"/>
          <w:szCs w:val="24"/>
        </w:rPr>
      </w:pPr>
      <w:r w:rsidRPr="000138B9">
        <w:rPr>
          <w:rFonts w:eastAsia="Batang"/>
          <w:szCs w:val="24"/>
        </w:rPr>
        <w:t>влиянието на увеличението на разходите за персонал в държавния сектор и увеличението на заплатите на педагогическия персонал;</w:t>
      </w:r>
    </w:p>
    <w:p w14:paraId="5ACAC872" w14:textId="77777777" w:rsidR="00B96920" w:rsidRPr="000138B9" w:rsidRDefault="00B96920" w:rsidP="0069472C">
      <w:pPr>
        <w:numPr>
          <w:ilvl w:val="0"/>
          <w:numId w:val="8"/>
        </w:numPr>
        <w:ind w:left="900"/>
        <w:rPr>
          <w:rFonts w:eastAsia="Batang"/>
          <w:szCs w:val="24"/>
        </w:rPr>
      </w:pPr>
      <w:r w:rsidRPr="000138B9">
        <w:rPr>
          <w:rFonts w:eastAsia="Batang"/>
          <w:szCs w:val="24"/>
        </w:rPr>
        <w:t>влиянието върху ръста на приходите през прогнозния период на увеличения размер на данъчните облекчения за деца по чл. 22в и чл. 22г от ЗДДФЛ;</w:t>
      </w:r>
    </w:p>
    <w:p w14:paraId="30789ED2" w14:textId="77777777" w:rsidR="005224D5" w:rsidRPr="000138B9" w:rsidRDefault="005224D5" w:rsidP="005224D5">
      <w:pPr>
        <w:numPr>
          <w:ilvl w:val="0"/>
          <w:numId w:val="8"/>
        </w:numPr>
        <w:ind w:left="900"/>
        <w:rPr>
          <w:rFonts w:eastAsia="Batang"/>
          <w:szCs w:val="24"/>
        </w:rPr>
      </w:pPr>
      <w:r w:rsidRPr="000138B9">
        <w:rPr>
          <w:rFonts w:eastAsia="Batang"/>
          <w:szCs w:val="24"/>
        </w:rPr>
        <w:t>ефектът от увеличаването на осигурителната вноска за фонд „Пенсия“ на ДОО за 202</w:t>
      </w:r>
      <w:r w:rsidRPr="00960F5C">
        <w:rPr>
          <w:rFonts w:eastAsia="Batang"/>
          <w:szCs w:val="24"/>
        </w:rPr>
        <w:t>7</w:t>
      </w:r>
      <w:r w:rsidRPr="000138B9">
        <w:rPr>
          <w:rFonts w:eastAsia="Batang"/>
          <w:szCs w:val="24"/>
        </w:rPr>
        <w:t xml:space="preserve"> г. с </w:t>
      </w:r>
      <w:r w:rsidRPr="00960F5C">
        <w:rPr>
          <w:rFonts w:eastAsia="Batang"/>
          <w:szCs w:val="24"/>
        </w:rPr>
        <w:t>1</w:t>
      </w:r>
      <w:r w:rsidRPr="000138B9">
        <w:rPr>
          <w:rFonts w:eastAsia="Batang"/>
          <w:szCs w:val="24"/>
        </w:rPr>
        <w:t xml:space="preserve"> </w:t>
      </w:r>
      <w:proofErr w:type="spellStart"/>
      <w:r w:rsidRPr="000138B9">
        <w:rPr>
          <w:rFonts w:eastAsia="Batang"/>
          <w:szCs w:val="24"/>
        </w:rPr>
        <w:t>пр.п</w:t>
      </w:r>
      <w:proofErr w:type="spellEnd"/>
      <w:r w:rsidRPr="000138B9">
        <w:rPr>
          <w:rFonts w:eastAsia="Batang"/>
          <w:szCs w:val="24"/>
        </w:rPr>
        <w:t xml:space="preserve">. и с </w:t>
      </w:r>
      <w:r w:rsidRPr="00960F5C">
        <w:rPr>
          <w:rFonts w:eastAsia="Batang"/>
          <w:szCs w:val="24"/>
        </w:rPr>
        <w:t>2</w:t>
      </w:r>
      <w:r w:rsidRPr="000138B9">
        <w:rPr>
          <w:rFonts w:eastAsia="Batang"/>
          <w:szCs w:val="24"/>
        </w:rPr>
        <w:t xml:space="preserve"> </w:t>
      </w:r>
      <w:proofErr w:type="spellStart"/>
      <w:r w:rsidRPr="000138B9">
        <w:rPr>
          <w:rFonts w:eastAsia="Batang"/>
          <w:szCs w:val="24"/>
        </w:rPr>
        <w:t>пр.п</w:t>
      </w:r>
      <w:proofErr w:type="spellEnd"/>
      <w:r w:rsidRPr="000138B9">
        <w:rPr>
          <w:rFonts w:eastAsia="Batang"/>
          <w:szCs w:val="24"/>
        </w:rPr>
        <w:t>. за 2028 г.;</w:t>
      </w:r>
    </w:p>
    <w:p w14:paraId="1E71BD3A" w14:textId="77777777" w:rsidR="00B96920" w:rsidRPr="000138B9" w:rsidRDefault="00B96920" w:rsidP="0069472C">
      <w:pPr>
        <w:numPr>
          <w:ilvl w:val="0"/>
          <w:numId w:val="8"/>
        </w:numPr>
        <w:ind w:left="900"/>
        <w:rPr>
          <w:rFonts w:eastAsia="Batang"/>
          <w:szCs w:val="24"/>
        </w:rPr>
      </w:pPr>
      <w:r w:rsidRPr="000138B9">
        <w:rPr>
          <w:rFonts w:eastAsia="Batang"/>
          <w:szCs w:val="24"/>
        </w:rPr>
        <w:t>отчетена е наличната информация относно ефектите от постоянните мерки на Националната агенция за приходите за спазване на данъчното законодателство и подобряване събираемостта на приходите, включително провежданите от агенцията тематични кампании за контрол;</w:t>
      </w:r>
    </w:p>
    <w:p w14:paraId="0C7512DF" w14:textId="77777777" w:rsidR="00B96920" w:rsidRPr="000138B9" w:rsidRDefault="00B96920" w:rsidP="0069472C">
      <w:pPr>
        <w:numPr>
          <w:ilvl w:val="0"/>
          <w:numId w:val="8"/>
        </w:numPr>
        <w:ind w:left="900"/>
        <w:rPr>
          <w:rFonts w:eastAsia="Batang"/>
          <w:szCs w:val="24"/>
        </w:rPr>
      </w:pPr>
      <w:r w:rsidRPr="000138B9">
        <w:rPr>
          <w:rFonts w:eastAsia="Batang"/>
          <w:szCs w:val="24"/>
        </w:rPr>
        <w:t>ефект</w:t>
      </w:r>
      <w:r w:rsidR="00264F30" w:rsidRPr="000138B9">
        <w:rPr>
          <w:rFonts w:eastAsia="Batang"/>
          <w:szCs w:val="24"/>
        </w:rPr>
        <w:t>ът</w:t>
      </w:r>
      <w:r w:rsidRPr="000138B9">
        <w:rPr>
          <w:rFonts w:eastAsia="Batang"/>
          <w:szCs w:val="24"/>
        </w:rPr>
        <w:t xml:space="preserve"> от планирани мерки за намаляване дела на сивата икономика, за борба с данъчните измами, укриването на данъци и отклонението от данъчно облагане.</w:t>
      </w:r>
    </w:p>
    <w:p w14:paraId="02619C5A" w14:textId="77777777" w:rsidR="005224D5" w:rsidRDefault="005224D5" w:rsidP="00CF7C3C">
      <w:pPr>
        <w:rPr>
          <w:rFonts w:eastAsia="Batang"/>
          <w:szCs w:val="24"/>
        </w:rPr>
      </w:pPr>
      <w:r w:rsidRPr="005224D5">
        <w:rPr>
          <w:rFonts w:eastAsia="Batang"/>
          <w:szCs w:val="24"/>
        </w:rPr>
        <w:t>За 2027 г. прогнозните постъпления от ДДФЛ са в размер на 5 0</w:t>
      </w:r>
      <w:r w:rsidR="005B0A13">
        <w:rPr>
          <w:rFonts w:eastAsia="Batang"/>
          <w:szCs w:val="24"/>
        </w:rPr>
        <w:t>29</w:t>
      </w:r>
      <w:r w:rsidRPr="005224D5">
        <w:rPr>
          <w:rFonts w:eastAsia="Batang"/>
          <w:szCs w:val="24"/>
        </w:rPr>
        <w:t>,</w:t>
      </w:r>
      <w:r w:rsidR="005B0A13">
        <w:rPr>
          <w:rFonts w:eastAsia="Batang"/>
          <w:szCs w:val="24"/>
        </w:rPr>
        <w:t>6</w:t>
      </w:r>
      <w:r w:rsidRPr="005224D5">
        <w:rPr>
          <w:rFonts w:eastAsia="Batang"/>
          <w:szCs w:val="24"/>
        </w:rPr>
        <w:t xml:space="preserve"> млн. евро, а за 2028 г. достигат 5 </w:t>
      </w:r>
      <w:r w:rsidR="005B0A13">
        <w:rPr>
          <w:rFonts w:eastAsia="Batang"/>
          <w:szCs w:val="24"/>
        </w:rPr>
        <w:t>303</w:t>
      </w:r>
      <w:r w:rsidRPr="005224D5">
        <w:rPr>
          <w:rFonts w:eastAsia="Batang"/>
          <w:szCs w:val="24"/>
        </w:rPr>
        <w:t>,</w:t>
      </w:r>
      <w:r w:rsidR="005B0A13">
        <w:rPr>
          <w:rFonts w:eastAsia="Batang"/>
          <w:szCs w:val="24"/>
        </w:rPr>
        <w:t>4</w:t>
      </w:r>
      <w:r w:rsidRPr="005224D5">
        <w:rPr>
          <w:rFonts w:eastAsia="Batang"/>
          <w:szCs w:val="24"/>
        </w:rPr>
        <w:t xml:space="preserve"> млн. евро.</w:t>
      </w:r>
    </w:p>
    <w:p w14:paraId="75B7EA08" w14:textId="77777777" w:rsidR="00C13F25" w:rsidRPr="00AA3F66" w:rsidRDefault="00C13F25" w:rsidP="0047584C">
      <w:pPr>
        <w:pStyle w:val="Heading4"/>
        <w:jc w:val="both"/>
      </w:pPr>
      <w:r w:rsidRPr="00AA3F66">
        <w:t>Приходи от ДДС</w:t>
      </w:r>
    </w:p>
    <w:p w14:paraId="2B9A1DBC" w14:textId="77777777" w:rsidR="0069472C" w:rsidRPr="0069472C" w:rsidRDefault="005224D5" w:rsidP="0069472C">
      <w:pPr>
        <w:rPr>
          <w:rFonts w:eastAsia="Batang"/>
          <w:szCs w:val="24"/>
        </w:rPr>
      </w:pPr>
      <w:r w:rsidRPr="005224D5">
        <w:rPr>
          <w:rFonts w:eastAsia="Batang"/>
          <w:szCs w:val="24"/>
        </w:rPr>
        <w:t xml:space="preserve">Прогнозните приходи от данъка върху добавената стойност (ДДС) за 2026 г. са 14 </w:t>
      </w:r>
      <w:r w:rsidRPr="00960F5C">
        <w:rPr>
          <w:rFonts w:eastAsia="Batang"/>
          <w:szCs w:val="24"/>
        </w:rPr>
        <w:t>3</w:t>
      </w:r>
      <w:r w:rsidRPr="005224D5">
        <w:rPr>
          <w:rFonts w:eastAsia="Batang"/>
          <w:szCs w:val="24"/>
        </w:rPr>
        <w:t xml:space="preserve">85,2 млн. евро. </w:t>
      </w:r>
      <w:r w:rsidR="0069472C" w:rsidRPr="0069472C">
        <w:rPr>
          <w:rFonts w:eastAsia="Batang"/>
          <w:szCs w:val="24"/>
        </w:rPr>
        <w:t>При прогнозиране на приходите от ДДС са взети предвид следните фактори:</w:t>
      </w:r>
    </w:p>
    <w:p w14:paraId="52738432" w14:textId="77777777" w:rsidR="0069472C" w:rsidRPr="0069472C" w:rsidRDefault="0069472C" w:rsidP="0069472C">
      <w:pPr>
        <w:numPr>
          <w:ilvl w:val="0"/>
          <w:numId w:val="8"/>
        </w:numPr>
        <w:ind w:left="900"/>
        <w:rPr>
          <w:rFonts w:eastAsia="Batang"/>
          <w:szCs w:val="24"/>
        </w:rPr>
      </w:pPr>
      <w:r w:rsidRPr="0069472C">
        <w:rPr>
          <w:rFonts w:eastAsia="Batang"/>
          <w:szCs w:val="24"/>
        </w:rPr>
        <w:t>валутен курс (</w:t>
      </w:r>
      <w:proofErr w:type="spellStart"/>
      <w:r w:rsidRPr="0069472C">
        <w:rPr>
          <w:rFonts w:eastAsia="Batang"/>
          <w:szCs w:val="24"/>
        </w:rPr>
        <w:t>щ.д</w:t>
      </w:r>
      <w:proofErr w:type="spellEnd"/>
      <w:r w:rsidRPr="0069472C">
        <w:rPr>
          <w:rFonts w:eastAsia="Batang"/>
          <w:szCs w:val="24"/>
        </w:rPr>
        <w:t>./ евро) - 1,18 евро за целия период;</w:t>
      </w:r>
    </w:p>
    <w:p w14:paraId="34A35645" w14:textId="77777777" w:rsidR="0069472C" w:rsidRPr="0069472C" w:rsidRDefault="0069472C" w:rsidP="0069472C">
      <w:pPr>
        <w:numPr>
          <w:ilvl w:val="0"/>
          <w:numId w:val="8"/>
        </w:numPr>
        <w:ind w:left="900"/>
        <w:rPr>
          <w:rFonts w:eastAsia="Batang"/>
          <w:szCs w:val="24"/>
        </w:rPr>
      </w:pPr>
      <w:r w:rsidRPr="0069472C">
        <w:rPr>
          <w:rFonts w:eastAsia="Batang"/>
          <w:szCs w:val="24"/>
        </w:rPr>
        <w:t>ръст на показателите за внос и износ за периода 2026-2028 спрямо 2025 г. За вноса ръстът е 3,3% за 2026 г., 7,7% за 2027 г. и 3,0% за 2028 г. За износа ръстът е 4,5% за 2026 г., 4,9% за 2027 г. и 4,6% за 2028 г.;</w:t>
      </w:r>
    </w:p>
    <w:p w14:paraId="79316250" w14:textId="77777777" w:rsidR="0069472C" w:rsidRPr="0069472C" w:rsidRDefault="0069472C" w:rsidP="0069472C">
      <w:pPr>
        <w:numPr>
          <w:ilvl w:val="0"/>
          <w:numId w:val="8"/>
        </w:numPr>
        <w:ind w:left="900"/>
        <w:rPr>
          <w:rFonts w:eastAsia="Batang"/>
          <w:szCs w:val="24"/>
        </w:rPr>
      </w:pPr>
      <w:r w:rsidRPr="0069472C">
        <w:rPr>
          <w:rFonts w:eastAsia="Batang"/>
          <w:szCs w:val="24"/>
        </w:rPr>
        <w:t>информация за физическите обеми на стоките, пораждащи ДДС;</w:t>
      </w:r>
    </w:p>
    <w:p w14:paraId="7695A1AD" w14:textId="77777777" w:rsidR="0069472C" w:rsidRPr="0069472C" w:rsidRDefault="0069472C" w:rsidP="0069472C">
      <w:pPr>
        <w:numPr>
          <w:ilvl w:val="0"/>
          <w:numId w:val="8"/>
        </w:numPr>
        <w:ind w:left="900"/>
        <w:rPr>
          <w:rFonts w:eastAsia="Batang"/>
          <w:szCs w:val="24"/>
        </w:rPr>
      </w:pPr>
      <w:r w:rsidRPr="0069472C">
        <w:rPr>
          <w:rFonts w:eastAsia="Batang"/>
          <w:szCs w:val="24"/>
        </w:rPr>
        <w:t xml:space="preserve">прогнозна цена на суровия петрол; </w:t>
      </w:r>
    </w:p>
    <w:p w14:paraId="65686B8C" w14:textId="77777777" w:rsidR="0069472C" w:rsidRPr="0069472C" w:rsidRDefault="0069472C" w:rsidP="0069472C">
      <w:pPr>
        <w:numPr>
          <w:ilvl w:val="0"/>
          <w:numId w:val="8"/>
        </w:numPr>
        <w:ind w:left="900"/>
        <w:rPr>
          <w:rFonts w:eastAsia="Batang"/>
          <w:szCs w:val="24"/>
        </w:rPr>
      </w:pPr>
      <w:r w:rsidRPr="0069472C">
        <w:rPr>
          <w:rFonts w:eastAsia="Batang"/>
          <w:szCs w:val="24"/>
        </w:rPr>
        <w:t xml:space="preserve">ефект в ДДС от въведения акцизен календар за поетапно увеличаване на акцизните ставки за всички тютюневи изделия, както и от включването на течностите за електронни цигари, </w:t>
      </w:r>
      <w:proofErr w:type="spellStart"/>
      <w:r w:rsidRPr="0069472C">
        <w:rPr>
          <w:rFonts w:eastAsia="Batang"/>
          <w:szCs w:val="24"/>
        </w:rPr>
        <w:t>несъдържащи</w:t>
      </w:r>
      <w:proofErr w:type="spellEnd"/>
      <w:r w:rsidRPr="0069472C">
        <w:rPr>
          <w:rFonts w:eastAsia="Batang"/>
          <w:szCs w:val="24"/>
        </w:rPr>
        <w:t xml:space="preserve"> никотин, заместителите на тютюна, съдържащи никотин и </w:t>
      </w:r>
      <w:proofErr w:type="spellStart"/>
      <w:r w:rsidRPr="0069472C">
        <w:rPr>
          <w:rFonts w:eastAsia="Batang"/>
          <w:szCs w:val="24"/>
        </w:rPr>
        <w:t>нагреваемо</w:t>
      </w:r>
      <w:proofErr w:type="spellEnd"/>
      <w:r w:rsidRPr="0069472C">
        <w:rPr>
          <w:rFonts w:eastAsia="Batang"/>
          <w:szCs w:val="24"/>
        </w:rPr>
        <w:t xml:space="preserve"> изделие със съдържание, различно от тютюн, в обхвата на акцизните стоки, заедно с график за увеличаване на акцизните ставки за тези продукти;</w:t>
      </w:r>
    </w:p>
    <w:p w14:paraId="71F2C3E1" w14:textId="77777777" w:rsidR="0069472C" w:rsidRPr="0069472C" w:rsidRDefault="0069472C" w:rsidP="0069472C">
      <w:pPr>
        <w:numPr>
          <w:ilvl w:val="0"/>
          <w:numId w:val="8"/>
        </w:numPr>
        <w:ind w:left="900"/>
        <w:rPr>
          <w:rFonts w:eastAsia="Batang"/>
          <w:szCs w:val="24"/>
        </w:rPr>
      </w:pPr>
      <w:r w:rsidRPr="0069472C">
        <w:rPr>
          <w:rFonts w:eastAsia="Batang"/>
          <w:szCs w:val="24"/>
        </w:rPr>
        <w:t>положителен ефект от оптимизиране на контролната дейност, включваща мерки за намаляване дела на сивата икономика, за борба с данъчните измами, укриването на данъци и отклонението от данъчно облагане, които имат за цел повишаване приходите от данъци за бюджета</w:t>
      </w:r>
      <w:r w:rsidR="00264F30">
        <w:rPr>
          <w:rFonts w:eastAsia="Batang"/>
          <w:szCs w:val="24"/>
        </w:rPr>
        <w:t>,</w:t>
      </w:r>
      <w:r w:rsidR="00264F30" w:rsidRPr="00264F30">
        <w:rPr>
          <w:rFonts w:eastAsia="Batang"/>
          <w:szCs w:val="24"/>
        </w:rPr>
        <w:t xml:space="preserve"> в т.ч. от</w:t>
      </w:r>
      <w:r w:rsidR="00264F30" w:rsidRPr="00264F30">
        <w:rPr>
          <w:rFonts w:eastAsia="Batang"/>
          <w:i/>
          <w:szCs w:val="24"/>
        </w:rPr>
        <w:t xml:space="preserve"> </w:t>
      </w:r>
      <w:r w:rsidR="00264F30" w:rsidRPr="00EF5785">
        <w:rPr>
          <w:rFonts w:eastAsia="Batang"/>
          <w:szCs w:val="24"/>
        </w:rPr>
        <w:t>з</w:t>
      </w:r>
      <w:r w:rsidR="00264F30" w:rsidRPr="00264F30">
        <w:rPr>
          <w:rFonts w:eastAsia="Batang"/>
          <w:bCs/>
          <w:iCs/>
          <w:szCs w:val="24"/>
        </w:rPr>
        <w:t>начителното разширяване на обхвата на стоките, подлежащи на фискален контрол</w:t>
      </w:r>
      <w:r w:rsidR="00264F30" w:rsidRPr="00264F30">
        <w:rPr>
          <w:rFonts w:eastAsia="Batang"/>
          <w:szCs w:val="24"/>
        </w:rPr>
        <w:t xml:space="preserve"> и от </w:t>
      </w:r>
      <w:r w:rsidR="00264F30" w:rsidRPr="00264F30">
        <w:rPr>
          <w:rFonts w:eastAsia="Batang"/>
          <w:szCs w:val="24"/>
        </w:rPr>
        <w:lastRenderedPageBreak/>
        <w:t>разширяване на системата за електронно проследяване на движението на транспортните средства, превозващи стоки с висок фискален риск</w:t>
      </w:r>
      <w:r w:rsidR="00264F30">
        <w:rPr>
          <w:rFonts w:eastAsia="Batang"/>
          <w:szCs w:val="24"/>
        </w:rPr>
        <w:t>.</w:t>
      </w:r>
    </w:p>
    <w:p w14:paraId="09518FC5" w14:textId="77777777" w:rsidR="0069472C" w:rsidRPr="0069472C" w:rsidRDefault="0069472C" w:rsidP="0069472C">
      <w:pPr>
        <w:rPr>
          <w:rFonts w:eastAsia="Batang"/>
          <w:szCs w:val="24"/>
        </w:rPr>
      </w:pPr>
      <w:r w:rsidRPr="0069472C">
        <w:rPr>
          <w:rFonts w:eastAsia="Batang"/>
          <w:szCs w:val="24"/>
        </w:rPr>
        <w:t xml:space="preserve">Приходите от ДДС за отчетния период ще бъдат повлияни от промените в икономическата активност в страната, изменението на потреблението, вноса, износа, приетите законодателни изменения и въздействието на фактори, обусловени от промени във външната среда. </w:t>
      </w:r>
    </w:p>
    <w:p w14:paraId="190523F4" w14:textId="77777777" w:rsidR="005224D5" w:rsidRPr="005224D5" w:rsidRDefault="005224D5" w:rsidP="005224D5">
      <w:pPr>
        <w:rPr>
          <w:rFonts w:eastAsia="Batang"/>
          <w:szCs w:val="24"/>
        </w:rPr>
      </w:pPr>
      <w:r w:rsidRPr="005224D5">
        <w:rPr>
          <w:rFonts w:eastAsia="Batang"/>
          <w:szCs w:val="24"/>
        </w:rPr>
        <w:t>За 2027 г. прогнозните постъпления от ДДС са в размер на 1</w:t>
      </w:r>
      <w:r w:rsidRPr="00960F5C">
        <w:rPr>
          <w:rFonts w:eastAsia="Batang"/>
          <w:szCs w:val="24"/>
        </w:rPr>
        <w:t>5 285</w:t>
      </w:r>
      <w:r w:rsidRPr="005224D5">
        <w:rPr>
          <w:rFonts w:eastAsia="Batang"/>
          <w:szCs w:val="24"/>
        </w:rPr>
        <w:t xml:space="preserve">,3 млн. евро, а за 2028 г. достигат 15 </w:t>
      </w:r>
      <w:r w:rsidRPr="00960F5C">
        <w:rPr>
          <w:rFonts w:eastAsia="Batang"/>
          <w:szCs w:val="24"/>
        </w:rPr>
        <w:t>954</w:t>
      </w:r>
      <w:r w:rsidRPr="005224D5">
        <w:rPr>
          <w:rFonts w:eastAsia="Batang"/>
          <w:szCs w:val="24"/>
        </w:rPr>
        <w:t>,2 млн. евро.</w:t>
      </w:r>
    </w:p>
    <w:p w14:paraId="754101A2" w14:textId="77777777" w:rsidR="00C13F25" w:rsidRPr="00AA3F66" w:rsidRDefault="00C13F25" w:rsidP="0047584C">
      <w:pPr>
        <w:pStyle w:val="Heading4"/>
        <w:jc w:val="both"/>
      </w:pPr>
      <w:r w:rsidRPr="00AA3F66">
        <w:t>Приходи от акцизи</w:t>
      </w:r>
    </w:p>
    <w:p w14:paraId="59E89451" w14:textId="77777777" w:rsidR="0069472C" w:rsidRPr="0069472C" w:rsidRDefault="005224D5" w:rsidP="0069472C">
      <w:pPr>
        <w:rPr>
          <w:rFonts w:eastAsia="Batang"/>
          <w:szCs w:val="24"/>
        </w:rPr>
      </w:pPr>
      <w:r w:rsidRPr="005224D5">
        <w:rPr>
          <w:rFonts w:eastAsia="Batang"/>
          <w:szCs w:val="24"/>
        </w:rPr>
        <w:t>Прогнозните приходи от акцизи за 2026 г. са 4 242,0 млн. евро.</w:t>
      </w:r>
    </w:p>
    <w:p w14:paraId="4A8ED9FE" w14:textId="77777777" w:rsidR="0069472C" w:rsidRPr="0069472C" w:rsidRDefault="0069472C" w:rsidP="0069472C">
      <w:pPr>
        <w:rPr>
          <w:rFonts w:eastAsia="Batang"/>
          <w:szCs w:val="24"/>
        </w:rPr>
      </w:pPr>
      <w:r w:rsidRPr="0069472C">
        <w:rPr>
          <w:rFonts w:eastAsia="Batang"/>
          <w:szCs w:val="24"/>
        </w:rPr>
        <w:t>Приходите от акцизи се формират основно от две групи стоки - тютюневи изделия с относителен дял от 54,4% и горива с относителен дял от 39,5% в общата сума на касовите постъпления за 2024 г.</w:t>
      </w:r>
      <w:r w:rsidR="0026729A">
        <w:rPr>
          <w:rFonts w:eastAsia="Batang"/>
          <w:szCs w:val="24"/>
        </w:rPr>
        <w:t xml:space="preserve"> Останалите акцизни стоки (вкл.</w:t>
      </w:r>
      <w:r w:rsidRPr="0069472C">
        <w:rPr>
          <w:rFonts w:eastAsia="Batang"/>
          <w:szCs w:val="24"/>
        </w:rPr>
        <w:t xml:space="preserve"> електрическа енергия и други стоки) са с относителен дял в размер на 6,1%. </w:t>
      </w:r>
    </w:p>
    <w:p w14:paraId="654DB4B2" w14:textId="77777777" w:rsidR="0069472C" w:rsidRPr="0069472C" w:rsidRDefault="0069472C" w:rsidP="0069472C">
      <w:pPr>
        <w:rPr>
          <w:rFonts w:eastAsia="Batang"/>
          <w:szCs w:val="24"/>
        </w:rPr>
      </w:pPr>
      <w:r w:rsidRPr="0069472C">
        <w:rPr>
          <w:rFonts w:eastAsia="Batang"/>
          <w:szCs w:val="24"/>
        </w:rPr>
        <w:t>При прогнозиране на приходите от акцизи е отчетено влиянието на следните фактори:</w:t>
      </w:r>
    </w:p>
    <w:p w14:paraId="7119FF2E" w14:textId="77777777" w:rsidR="0069472C" w:rsidRPr="0069472C" w:rsidRDefault="0069472C" w:rsidP="0069472C">
      <w:pPr>
        <w:numPr>
          <w:ilvl w:val="0"/>
          <w:numId w:val="8"/>
        </w:numPr>
        <w:ind w:left="900"/>
        <w:rPr>
          <w:rFonts w:eastAsia="Batang"/>
          <w:szCs w:val="24"/>
        </w:rPr>
      </w:pPr>
      <w:r w:rsidRPr="0069472C">
        <w:rPr>
          <w:rFonts w:eastAsia="Batang"/>
          <w:szCs w:val="24"/>
        </w:rPr>
        <w:t>относителна устойчивост на структурата на потреблението на акцизните продукти в рамките на различните групи акцизни стоки;</w:t>
      </w:r>
    </w:p>
    <w:p w14:paraId="0D5F84D8" w14:textId="77777777" w:rsidR="0069472C" w:rsidRPr="0069472C" w:rsidRDefault="0069472C" w:rsidP="0069472C">
      <w:pPr>
        <w:numPr>
          <w:ilvl w:val="0"/>
          <w:numId w:val="8"/>
        </w:numPr>
        <w:ind w:left="900"/>
        <w:rPr>
          <w:rFonts w:eastAsia="Batang"/>
          <w:szCs w:val="24"/>
        </w:rPr>
      </w:pPr>
      <w:r w:rsidRPr="0069472C">
        <w:rPr>
          <w:rFonts w:eastAsia="Batang"/>
          <w:szCs w:val="24"/>
        </w:rPr>
        <w:t>увеличаване на акцизните ставки за всички тютюневи изделия с въведения  акцизен календар (2025-2029 г.), с цел балансирано увеличение на минималното облагане с акциз на цигарите и другите категории тютюневи изделия, вкл. и течности за електронни цигари, съдържащи никотин;</w:t>
      </w:r>
    </w:p>
    <w:p w14:paraId="24781322" w14:textId="77777777" w:rsidR="0069472C" w:rsidRPr="0069472C" w:rsidRDefault="0069472C" w:rsidP="0069472C">
      <w:pPr>
        <w:numPr>
          <w:ilvl w:val="0"/>
          <w:numId w:val="8"/>
        </w:numPr>
        <w:ind w:left="900"/>
        <w:rPr>
          <w:rFonts w:eastAsia="Batang"/>
          <w:szCs w:val="24"/>
        </w:rPr>
      </w:pPr>
      <w:r w:rsidRPr="0069472C">
        <w:rPr>
          <w:rFonts w:eastAsia="Batang"/>
          <w:szCs w:val="24"/>
        </w:rPr>
        <w:t>ефект от прилагането на схема за държавна помощ „Помощ под формата на отстъпка от стойността на акциза върху газьола, използван в първичното селскостопанско производство“;</w:t>
      </w:r>
    </w:p>
    <w:p w14:paraId="2D82CFD3" w14:textId="77777777" w:rsidR="0069472C" w:rsidRPr="0069472C" w:rsidRDefault="0069472C" w:rsidP="0069472C">
      <w:pPr>
        <w:numPr>
          <w:ilvl w:val="0"/>
          <w:numId w:val="8"/>
        </w:numPr>
        <w:ind w:left="900"/>
        <w:rPr>
          <w:rFonts w:eastAsia="Batang"/>
          <w:szCs w:val="24"/>
        </w:rPr>
      </w:pPr>
      <w:r w:rsidRPr="0069472C">
        <w:rPr>
          <w:rFonts w:eastAsia="Batang"/>
          <w:szCs w:val="24"/>
        </w:rPr>
        <w:t>положителен ефект от оптимизиране на контролната дейност върху търговията с акцизни стоки и подобряване на събираемостта на акцизите.</w:t>
      </w:r>
    </w:p>
    <w:p w14:paraId="0E6BAEA4" w14:textId="77777777" w:rsidR="005224D5" w:rsidRDefault="005224D5" w:rsidP="00CF7C3C">
      <w:pPr>
        <w:rPr>
          <w:rFonts w:eastAsia="Batang"/>
          <w:szCs w:val="24"/>
        </w:rPr>
      </w:pPr>
      <w:r w:rsidRPr="005224D5">
        <w:rPr>
          <w:rFonts w:eastAsia="Batang"/>
          <w:szCs w:val="24"/>
        </w:rPr>
        <w:t>За 2027 г. прогнозираните постъпления от акцизи са 4 461,9 млн. евро, а за 2028 г. – 4 697,1 млн. евро.</w:t>
      </w:r>
    </w:p>
    <w:p w14:paraId="54178D03" w14:textId="77777777" w:rsidR="00C13F25" w:rsidRPr="00AA3F66" w:rsidRDefault="00C13F25" w:rsidP="0047584C">
      <w:pPr>
        <w:pStyle w:val="Heading4"/>
        <w:jc w:val="both"/>
      </w:pPr>
      <w:r w:rsidRPr="00AA3F66">
        <w:t>Приходи от мита</w:t>
      </w:r>
    </w:p>
    <w:p w14:paraId="26899837" w14:textId="77777777" w:rsidR="008720C0" w:rsidRPr="000138B9" w:rsidRDefault="008720C0" w:rsidP="008720C0">
      <w:pPr>
        <w:rPr>
          <w:rFonts w:eastAsia="Batang"/>
          <w:szCs w:val="24"/>
        </w:rPr>
      </w:pPr>
      <w:r w:rsidRPr="000138B9">
        <w:rPr>
          <w:rFonts w:eastAsia="Batang"/>
          <w:szCs w:val="24"/>
        </w:rPr>
        <w:t>Прогнозираните приходи от мита за 2026 г. са в размер на 201,9 млн. евро.</w:t>
      </w:r>
    </w:p>
    <w:p w14:paraId="07A12D95" w14:textId="77777777" w:rsidR="008720C0" w:rsidRPr="000138B9" w:rsidRDefault="008720C0" w:rsidP="008720C0">
      <w:pPr>
        <w:rPr>
          <w:rFonts w:eastAsia="Batang"/>
          <w:szCs w:val="24"/>
        </w:rPr>
      </w:pPr>
      <w:r w:rsidRPr="000138B9">
        <w:rPr>
          <w:rFonts w:eastAsia="Batang"/>
          <w:szCs w:val="24"/>
        </w:rPr>
        <w:t xml:space="preserve">На основание постигнатите договорености в рамките на Световната търговска организация за улесняване на търговията в последните 12 години търговската политика на ЕС става все по-либерална, вследствие на което има множество сключени споразумения или предоставени на автономно основание преференциални мита. </w:t>
      </w:r>
    </w:p>
    <w:p w14:paraId="4D5E5810" w14:textId="77777777" w:rsidR="008720C0" w:rsidRPr="000138B9" w:rsidRDefault="008720C0" w:rsidP="00CF7C3C">
      <w:pPr>
        <w:rPr>
          <w:rFonts w:eastAsia="Batang"/>
          <w:szCs w:val="24"/>
        </w:rPr>
      </w:pPr>
      <w:r w:rsidRPr="000138B9">
        <w:rPr>
          <w:rFonts w:eastAsia="Batang"/>
          <w:szCs w:val="24"/>
        </w:rPr>
        <w:t>Приходите от мита са в размер на 212,2 млн. евро за 2027 г. и 220,5 млн. евро за 2028 г.</w:t>
      </w:r>
    </w:p>
    <w:p w14:paraId="37653AB9" w14:textId="77777777" w:rsidR="00C13F25" w:rsidRPr="006E4194" w:rsidRDefault="00C13F25" w:rsidP="0047584C">
      <w:pPr>
        <w:pStyle w:val="Heading4"/>
        <w:jc w:val="both"/>
      </w:pPr>
      <w:r w:rsidRPr="006E4194">
        <w:lastRenderedPageBreak/>
        <w:t>Приходи от данък върху застрахователните премии</w:t>
      </w:r>
    </w:p>
    <w:p w14:paraId="418AAE0A" w14:textId="77777777" w:rsidR="008720C0" w:rsidRPr="000138B9" w:rsidRDefault="008720C0" w:rsidP="008720C0">
      <w:pPr>
        <w:rPr>
          <w:rFonts w:eastAsia="Batang"/>
          <w:szCs w:val="24"/>
        </w:rPr>
      </w:pPr>
      <w:r w:rsidRPr="000138B9">
        <w:rPr>
          <w:rFonts w:eastAsia="Batang"/>
          <w:szCs w:val="24"/>
        </w:rPr>
        <w:t>Прогнозните приходи от данък върху застрахователните премии за 2026 г. са 43,5 млн. евро. Допусканията за размера на приходите от данъка върху застрахователните премии са базирани на следните допускания:</w:t>
      </w:r>
    </w:p>
    <w:p w14:paraId="00437F84" w14:textId="77777777" w:rsidR="008720C0" w:rsidRPr="000138B9" w:rsidRDefault="008720C0" w:rsidP="007F14A3">
      <w:pPr>
        <w:numPr>
          <w:ilvl w:val="0"/>
          <w:numId w:val="8"/>
        </w:numPr>
        <w:ind w:left="900"/>
        <w:rPr>
          <w:rFonts w:eastAsia="Batang"/>
          <w:szCs w:val="24"/>
        </w:rPr>
      </w:pPr>
      <w:r w:rsidRPr="000138B9">
        <w:rPr>
          <w:rFonts w:eastAsia="Batang"/>
          <w:szCs w:val="24"/>
        </w:rPr>
        <w:t>запазване на ставката от 2% за периода;</w:t>
      </w:r>
    </w:p>
    <w:p w14:paraId="387FA22D" w14:textId="77777777" w:rsidR="008720C0" w:rsidRPr="000138B9" w:rsidRDefault="008720C0" w:rsidP="007F14A3">
      <w:pPr>
        <w:numPr>
          <w:ilvl w:val="0"/>
          <w:numId w:val="8"/>
        </w:numPr>
        <w:ind w:left="900"/>
        <w:rPr>
          <w:rFonts w:eastAsia="Batang"/>
          <w:szCs w:val="24"/>
        </w:rPr>
      </w:pPr>
      <w:r w:rsidRPr="000138B9">
        <w:rPr>
          <w:rFonts w:eastAsia="Batang"/>
          <w:szCs w:val="24"/>
        </w:rPr>
        <w:t>запазване на динамиката на нарастване на брутните премийни приходи в общото застраховане;</w:t>
      </w:r>
    </w:p>
    <w:p w14:paraId="137D6D2C" w14:textId="77777777" w:rsidR="008720C0" w:rsidRPr="000138B9" w:rsidRDefault="008720C0" w:rsidP="007F14A3">
      <w:pPr>
        <w:numPr>
          <w:ilvl w:val="0"/>
          <w:numId w:val="8"/>
        </w:numPr>
        <w:ind w:left="900"/>
        <w:rPr>
          <w:rFonts w:eastAsia="Batang"/>
          <w:szCs w:val="24"/>
        </w:rPr>
      </w:pPr>
      <w:r w:rsidRPr="000138B9">
        <w:rPr>
          <w:rFonts w:eastAsia="Batang"/>
          <w:szCs w:val="24"/>
        </w:rPr>
        <w:t>запазване на тенденцията за разширяване и обогатяване на застрахователните продукти.</w:t>
      </w:r>
    </w:p>
    <w:p w14:paraId="4DD1E429" w14:textId="77777777" w:rsidR="008720C0" w:rsidRPr="000138B9" w:rsidRDefault="008720C0" w:rsidP="00CF7C3C">
      <w:pPr>
        <w:rPr>
          <w:rFonts w:eastAsia="Batang"/>
          <w:szCs w:val="24"/>
        </w:rPr>
      </w:pPr>
      <w:r w:rsidRPr="000138B9">
        <w:rPr>
          <w:rFonts w:eastAsia="Batang"/>
          <w:szCs w:val="24"/>
        </w:rPr>
        <w:t>Очакваните приходи от застрахователни премии са 44,1 млн. евро за 2027 г. и 46,3 млн. евро за 2028 г.</w:t>
      </w:r>
    </w:p>
    <w:p w14:paraId="082AD50F" w14:textId="77777777" w:rsidR="00C32A62" w:rsidRPr="009D558E" w:rsidRDefault="00C32A62" w:rsidP="009D558E">
      <w:pPr>
        <w:pStyle w:val="Heading3"/>
        <w:ind w:left="0"/>
      </w:pPr>
      <w:bookmarkStart w:id="278" w:name="_Toc464463082"/>
      <w:bookmarkStart w:id="279" w:name="_Toc464464909"/>
      <w:bookmarkStart w:id="280" w:name="_Toc464465415"/>
      <w:bookmarkStart w:id="281" w:name="_Toc464465603"/>
      <w:bookmarkStart w:id="282" w:name="_Toc464466428"/>
      <w:bookmarkStart w:id="283" w:name="_Toc464466672"/>
      <w:bookmarkStart w:id="284" w:name="_Toc464644984"/>
      <w:bookmarkStart w:id="285" w:name="_Toc464224785"/>
      <w:bookmarkStart w:id="286" w:name="_Toc464225435"/>
      <w:bookmarkStart w:id="287" w:name="_Toc464458982"/>
      <w:bookmarkStart w:id="288" w:name="_Toc465070465"/>
      <w:bookmarkStart w:id="289" w:name="_Toc465205515"/>
      <w:r w:rsidRPr="00AA3F66">
        <w:t>О</w:t>
      </w:r>
      <w:bookmarkEnd w:id="278"/>
      <w:bookmarkEnd w:id="279"/>
      <w:bookmarkEnd w:id="280"/>
      <w:bookmarkEnd w:id="281"/>
      <w:bookmarkEnd w:id="282"/>
      <w:bookmarkEnd w:id="283"/>
      <w:bookmarkEnd w:id="284"/>
      <w:bookmarkEnd w:id="285"/>
      <w:bookmarkEnd w:id="286"/>
      <w:bookmarkEnd w:id="287"/>
      <w:bookmarkEnd w:id="288"/>
      <w:bookmarkEnd w:id="289"/>
      <w:r w:rsidR="00820B71" w:rsidRPr="00AA3F66">
        <w:t>сигурителна политика</w:t>
      </w:r>
    </w:p>
    <w:p w14:paraId="6E3C63F5" w14:textId="77777777" w:rsidR="00703D00" w:rsidRDefault="00217060" w:rsidP="00217060">
      <w:pPr>
        <w:rPr>
          <w:rFonts w:eastAsia="Times New Roman"/>
        </w:rPr>
      </w:pPr>
      <w:bookmarkStart w:id="290" w:name="_Toc464224786"/>
      <w:bookmarkStart w:id="291" w:name="_Toc464225436"/>
      <w:bookmarkStart w:id="292" w:name="_Toc464458983"/>
      <w:bookmarkStart w:id="293" w:name="_Toc464463083"/>
      <w:bookmarkStart w:id="294" w:name="_Toc464464910"/>
      <w:bookmarkStart w:id="295" w:name="_Toc464465416"/>
      <w:bookmarkStart w:id="296" w:name="_Toc464465604"/>
      <w:bookmarkStart w:id="297" w:name="_Toc464466429"/>
      <w:bookmarkStart w:id="298" w:name="_Toc464466673"/>
      <w:bookmarkStart w:id="299" w:name="_Toc464644985"/>
      <w:bookmarkStart w:id="300" w:name="_Toc465070466"/>
      <w:bookmarkStart w:id="301" w:name="_Toc465205516"/>
      <w:r w:rsidRPr="00217060">
        <w:rPr>
          <w:rFonts w:eastAsia="Times New Roman"/>
        </w:rPr>
        <w:t>За периода 2026-2028 г. по отношение на социално и здравноосигурителните вноски се предвижда:</w:t>
      </w:r>
    </w:p>
    <w:p w14:paraId="1DD3A119" w14:textId="77777777" w:rsidR="00703D00" w:rsidRPr="00703D00" w:rsidRDefault="00703D00" w:rsidP="00703D00">
      <w:pPr>
        <w:numPr>
          <w:ilvl w:val="0"/>
          <w:numId w:val="32"/>
        </w:numPr>
        <w:rPr>
          <w:rFonts w:eastAsia="Times New Roman"/>
        </w:rPr>
      </w:pPr>
      <w:r w:rsidRPr="00703D00">
        <w:rPr>
          <w:rFonts w:eastAsia="Times New Roman"/>
        </w:rPr>
        <w:t>За 2026 г. се запазват размерите и съотношенията на осигурителните вноски за фондовете на държавното обществено осигуряване с оглед предвидимост за осигурените лица и бизнеса;</w:t>
      </w:r>
    </w:p>
    <w:p w14:paraId="5AD7EF8E" w14:textId="77777777" w:rsidR="00703D00" w:rsidRPr="00703D00" w:rsidRDefault="00703D00" w:rsidP="00703D00">
      <w:pPr>
        <w:numPr>
          <w:ilvl w:val="0"/>
          <w:numId w:val="10"/>
        </w:numPr>
        <w:rPr>
          <w:rFonts w:eastAsia="Times New Roman"/>
        </w:rPr>
      </w:pPr>
      <w:r w:rsidRPr="00703D00">
        <w:rPr>
          <w:rFonts w:eastAsia="Times New Roman"/>
        </w:rPr>
        <w:t>Считано от 1 януари 2027 г. е предвидено увеличаване на осигурителната вноска за фонд „Пенсии“ с 1 процентен пункт;</w:t>
      </w:r>
    </w:p>
    <w:p w14:paraId="290E129F" w14:textId="77777777" w:rsidR="00703D00" w:rsidRPr="00703D00" w:rsidRDefault="00703D00" w:rsidP="00703D00">
      <w:pPr>
        <w:numPr>
          <w:ilvl w:val="0"/>
          <w:numId w:val="10"/>
        </w:numPr>
        <w:rPr>
          <w:rFonts w:eastAsia="Times New Roman"/>
        </w:rPr>
      </w:pPr>
      <w:r w:rsidRPr="00703D00">
        <w:rPr>
          <w:rFonts w:eastAsia="Times New Roman"/>
        </w:rPr>
        <w:t>Считано от 1 януари 2028 г. е предвидено увеличаване на осигурителната вноска за фонд „Пенсии“ с 2 процентни пункта;</w:t>
      </w:r>
    </w:p>
    <w:p w14:paraId="1BED3727" w14:textId="77777777" w:rsidR="00703D00" w:rsidRDefault="00703D00" w:rsidP="00703D00">
      <w:pPr>
        <w:numPr>
          <w:ilvl w:val="0"/>
          <w:numId w:val="10"/>
        </w:numPr>
        <w:tabs>
          <w:tab w:val="num" w:pos="720"/>
        </w:tabs>
        <w:rPr>
          <w:rFonts w:eastAsia="Times New Roman"/>
        </w:rPr>
      </w:pPr>
      <w:r w:rsidRPr="00703D00">
        <w:rPr>
          <w:rFonts w:eastAsia="Times New Roman"/>
        </w:rPr>
        <w:t>Минималният осигурителен доход за самоосигуряващите се лица се увеличава от 1 януари 2026 г. на 620,20 евро;</w:t>
      </w:r>
    </w:p>
    <w:p w14:paraId="7669A164" w14:textId="77777777" w:rsidR="00703D00" w:rsidRPr="00B82D51" w:rsidRDefault="00703D00" w:rsidP="00703D00">
      <w:pPr>
        <w:numPr>
          <w:ilvl w:val="0"/>
          <w:numId w:val="10"/>
        </w:numPr>
        <w:tabs>
          <w:tab w:val="num" w:pos="720"/>
        </w:tabs>
        <w:rPr>
          <w:rFonts w:eastAsia="Times New Roman"/>
        </w:rPr>
      </w:pPr>
      <w:r w:rsidRPr="00B82D51">
        <w:rPr>
          <w:rFonts w:eastAsia="Times New Roman"/>
        </w:rPr>
        <w:t xml:space="preserve">Максималният осигурителен доход за всички осигурени лица се увеличава от 1 януари 2026 г. </w:t>
      </w:r>
      <w:r w:rsidR="00B82D51" w:rsidRPr="00B82D51">
        <w:rPr>
          <w:rFonts w:eastAsia="Times New Roman"/>
        </w:rPr>
        <w:t>на 2 300</w:t>
      </w:r>
      <w:r w:rsidRPr="00B82D51">
        <w:rPr>
          <w:rFonts w:eastAsia="Times New Roman"/>
        </w:rPr>
        <w:t xml:space="preserve"> евро, за 2027 г. на 2 505 евро и за 2028 г. на 2 659 евро, което цели:</w:t>
      </w:r>
    </w:p>
    <w:p w14:paraId="4D616B72" w14:textId="77777777" w:rsidR="00703D00" w:rsidRPr="00703D00" w:rsidRDefault="00703D00" w:rsidP="00703D00">
      <w:pPr>
        <w:numPr>
          <w:ilvl w:val="0"/>
          <w:numId w:val="41"/>
        </w:numPr>
        <w:rPr>
          <w:rFonts w:eastAsia="Times New Roman"/>
        </w:rPr>
      </w:pPr>
      <w:r w:rsidRPr="00703D00">
        <w:rPr>
          <w:rFonts w:eastAsia="Times New Roman"/>
        </w:rPr>
        <w:t>по-добро съответствие между динамиката на доходите и реалната база на осигуряване;</w:t>
      </w:r>
    </w:p>
    <w:p w14:paraId="2D63C078" w14:textId="77777777" w:rsidR="00703D00" w:rsidRPr="00703D00" w:rsidRDefault="00703D00" w:rsidP="00703D00">
      <w:pPr>
        <w:numPr>
          <w:ilvl w:val="0"/>
          <w:numId w:val="41"/>
        </w:numPr>
        <w:rPr>
          <w:rFonts w:eastAsia="Times New Roman"/>
        </w:rPr>
      </w:pPr>
      <w:r w:rsidRPr="00703D00">
        <w:rPr>
          <w:rFonts w:eastAsia="Times New Roman"/>
        </w:rPr>
        <w:t>повишаване на справедливостта на системата чрез по-адекватно участие на лицата с високи доходи;</w:t>
      </w:r>
    </w:p>
    <w:p w14:paraId="66DB7D14" w14:textId="77777777" w:rsidR="00703D00" w:rsidRPr="00703D00" w:rsidRDefault="00703D00" w:rsidP="00703D00">
      <w:pPr>
        <w:numPr>
          <w:ilvl w:val="0"/>
          <w:numId w:val="41"/>
        </w:numPr>
        <w:rPr>
          <w:rFonts w:eastAsia="Times New Roman"/>
        </w:rPr>
      </w:pPr>
      <w:r w:rsidRPr="00703D00">
        <w:rPr>
          <w:rFonts w:eastAsia="Times New Roman"/>
        </w:rPr>
        <w:t xml:space="preserve">увеличаване на приходите във фонд „Пенсии“ без промяна в осигурителните ставки; </w:t>
      </w:r>
    </w:p>
    <w:p w14:paraId="0D5A5F08" w14:textId="77777777" w:rsidR="00217060" w:rsidRPr="00703D00" w:rsidRDefault="00703D00" w:rsidP="00217060">
      <w:pPr>
        <w:numPr>
          <w:ilvl w:val="0"/>
          <w:numId w:val="41"/>
        </w:numPr>
        <w:rPr>
          <w:rFonts w:eastAsia="Times New Roman"/>
        </w:rPr>
      </w:pPr>
      <w:r w:rsidRPr="00703D00">
        <w:rPr>
          <w:rFonts w:eastAsia="Times New Roman"/>
        </w:rPr>
        <w:t>подкрепа на фискалната устойчивост при минимално влияние върху пазара на труда;</w:t>
      </w:r>
    </w:p>
    <w:p w14:paraId="5EFC658F" w14:textId="77777777" w:rsidR="00217060" w:rsidRPr="00217060" w:rsidRDefault="00217060" w:rsidP="00217060">
      <w:pPr>
        <w:numPr>
          <w:ilvl w:val="0"/>
          <w:numId w:val="10"/>
        </w:numPr>
        <w:tabs>
          <w:tab w:val="num" w:pos="720"/>
        </w:tabs>
        <w:rPr>
          <w:rFonts w:eastAsia="Times New Roman"/>
        </w:rPr>
      </w:pPr>
      <w:r w:rsidRPr="00217060">
        <w:rPr>
          <w:rFonts w:eastAsia="Times New Roman"/>
        </w:rPr>
        <w:t xml:space="preserve">За периода 2026-2028 г. не се правят вноски за фонд „Гарантирани вземания на работниците и служителите”, като се запазва разпоредбата на чл. 22, ал. 2 от </w:t>
      </w:r>
      <w:r w:rsidRPr="00217060">
        <w:rPr>
          <w:rFonts w:eastAsia="Times New Roman"/>
        </w:rPr>
        <w:lastRenderedPageBreak/>
        <w:t>ЗГВРСНР</w:t>
      </w:r>
      <w:r w:rsidRPr="00217060">
        <w:rPr>
          <w:rFonts w:eastAsia="Times New Roman"/>
          <w:vertAlign w:val="superscript"/>
        </w:rPr>
        <w:footnoteReference w:id="26"/>
      </w:r>
      <w:r w:rsidRPr="00217060">
        <w:rPr>
          <w:rFonts w:eastAsia="Times New Roman"/>
        </w:rPr>
        <w:t>, относно максималния месечен размер на гарантираното вземане, който не може да бъде по-малък от 2,5 минимални работни заплати;</w:t>
      </w:r>
    </w:p>
    <w:p w14:paraId="13D10CDF" w14:textId="77777777" w:rsidR="00217060" w:rsidRPr="00217060" w:rsidRDefault="00217060" w:rsidP="00217060">
      <w:pPr>
        <w:numPr>
          <w:ilvl w:val="0"/>
          <w:numId w:val="10"/>
        </w:numPr>
        <w:tabs>
          <w:tab w:val="num" w:pos="720"/>
        </w:tabs>
        <w:rPr>
          <w:rFonts w:eastAsia="Times New Roman"/>
        </w:rPr>
      </w:pPr>
      <w:r w:rsidRPr="00217060">
        <w:rPr>
          <w:rFonts w:eastAsia="Times New Roman"/>
        </w:rPr>
        <w:t>Запазва се размерът на осигурителната вноска за Учителския пенсионен фонд – 4,3 на сто;</w:t>
      </w:r>
    </w:p>
    <w:p w14:paraId="55E78C65" w14:textId="77777777" w:rsidR="00696BBB" w:rsidRPr="00217060" w:rsidRDefault="00217060" w:rsidP="00636384">
      <w:pPr>
        <w:numPr>
          <w:ilvl w:val="0"/>
          <w:numId w:val="10"/>
        </w:numPr>
        <w:tabs>
          <w:tab w:val="num" w:pos="720"/>
        </w:tabs>
        <w:rPr>
          <w:rFonts w:eastAsia="Times New Roman"/>
        </w:rPr>
      </w:pPr>
      <w:r w:rsidRPr="00217060">
        <w:rPr>
          <w:rFonts w:eastAsia="Times New Roman"/>
        </w:rPr>
        <w:t>Запазва се размерът на здравноосигурителната вноска – 8 на сто.</w:t>
      </w:r>
    </w:p>
    <w:p w14:paraId="2F01E02D" w14:textId="77777777" w:rsidR="00C32A62" w:rsidRPr="00AA3F66" w:rsidRDefault="00C32A62" w:rsidP="009D558E">
      <w:pPr>
        <w:pStyle w:val="Heading3"/>
        <w:ind w:left="0"/>
      </w:pPr>
      <w:r w:rsidRPr="00AA3F66">
        <w:t>Н</w:t>
      </w:r>
      <w:bookmarkEnd w:id="290"/>
      <w:bookmarkEnd w:id="291"/>
      <w:bookmarkEnd w:id="292"/>
      <w:bookmarkEnd w:id="293"/>
      <w:bookmarkEnd w:id="294"/>
      <w:bookmarkEnd w:id="295"/>
      <w:bookmarkEnd w:id="296"/>
      <w:bookmarkEnd w:id="297"/>
      <w:bookmarkEnd w:id="298"/>
      <w:bookmarkEnd w:id="299"/>
      <w:bookmarkEnd w:id="300"/>
      <w:bookmarkEnd w:id="301"/>
      <w:r w:rsidR="00E42934" w:rsidRPr="00AA3F66">
        <w:t>еданъчни приходи</w:t>
      </w:r>
    </w:p>
    <w:p w14:paraId="7601DDE2" w14:textId="77777777" w:rsidR="00C32A62" w:rsidRPr="00AA3F66" w:rsidRDefault="00C32A62" w:rsidP="009D558E">
      <w:pPr>
        <w:pStyle w:val="Heading4"/>
        <w:jc w:val="both"/>
      </w:pPr>
      <w:r w:rsidRPr="00AA3F66">
        <w:t>Приходи от такси</w:t>
      </w:r>
    </w:p>
    <w:p w14:paraId="40AA2881" w14:textId="77777777" w:rsidR="006E4991" w:rsidRDefault="00222474" w:rsidP="005B790D">
      <w:pPr>
        <w:pStyle w:val="ListParagraph"/>
        <w:numPr>
          <w:ilvl w:val="0"/>
          <w:numId w:val="37"/>
        </w:numPr>
        <w:rPr>
          <w:rFonts w:eastAsia="Times New Roman"/>
        </w:rPr>
      </w:pPr>
      <w:r>
        <w:rPr>
          <w:rFonts w:eastAsia="Times New Roman"/>
        </w:rPr>
        <w:t>П</w:t>
      </w:r>
      <w:r w:rsidR="006E4991" w:rsidRPr="006028E9">
        <w:rPr>
          <w:rFonts w:eastAsia="Times New Roman"/>
        </w:rPr>
        <w:t>о бюджета на Министерството на финансите за 2026 г.</w:t>
      </w:r>
      <w:r w:rsidR="006E4991">
        <w:rPr>
          <w:rFonts w:eastAsia="Times New Roman"/>
        </w:rPr>
        <w:t>:</w:t>
      </w:r>
    </w:p>
    <w:p w14:paraId="5AE0AB03" w14:textId="77777777" w:rsidR="006E4991" w:rsidRPr="006E4991" w:rsidRDefault="006E4991">
      <w:pPr>
        <w:rPr>
          <w:rFonts w:eastAsia="Times New Roman"/>
        </w:rPr>
      </w:pPr>
      <w:r w:rsidRPr="006E4991">
        <w:rPr>
          <w:rFonts w:eastAsia="Times New Roman"/>
        </w:rPr>
        <w:t xml:space="preserve">Във връзка с </w:t>
      </w:r>
      <w:r>
        <w:rPr>
          <w:rFonts w:eastAsia="Times New Roman"/>
        </w:rPr>
        <w:t>предложени</w:t>
      </w:r>
      <w:r w:rsidRPr="006E4991">
        <w:rPr>
          <w:rFonts w:eastAsia="Times New Roman"/>
        </w:rPr>
        <w:t xml:space="preserve"> промени в Закона за хазарта, считано от 1 януари 2026 г. е</w:t>
      </w:r>
      <w:r>
        <w:rPr>
          <w:rFonts w:eastAsia="Times New Roman"/>
        </w:rPr>
        <w:t xml:space="preserve"> предвидено увеличение на</w:t>
      </w:r>
      <w:r w:rsidR="00203012">
        <w:rPr>
          <w:rFonts w:eastAsia="Times New Roman"/>
        </w:rPr>
        <w:t xml:space="preserve"> </w:t>
      </w:r>
      <w:r w:rsidRPr="006E4991">
        <w:rPr>
          <w:rFonts w:eastAsia="Times New Roman"/>
        </w:rPr>
        <w:t xml:space="preserve">променливата част </w:t>
      </w:r>
      <w:r w:rsidR="00D91CFC">
        <w:rPr>
          <w:rFonts w:eastAsia="Times New Roman"/>
        </w:rPr>
        <w:t xml:space="preserve">от таксата </w:t>
      </w:r>
      <w:r w:rsidRPr="006E4991">
        <w:rPr>
          <w:rFonts w:eastAsia="Times New Roman"/>
        </w:rPr>
        <w:t>по чл. 30, ал. 3 и ал. 4 от Закона за хазарта за лицензиите за организиране на хазартни игри от 20 на сто на 2</w:t>
      </w:r>
      <w:r w:rsidR="005B48AD">
        <w:rPr>
          <w:rFonts w:eastAsia="Times New Roman"/>
        </w:rPr>
        <w:t>2</w:t>
      </w:r>
      <w:r w:rsidRPr="006E4991">
        <w:rPr>
          <w:rFonts w:eastAsia="Times New Roman"/>
        </w:rPr>
        <w:t xml:space="preserve"> на сто</w:t>
      </w:r>
      <w:r>
        <w:rPr>
          <w:rFonts w:eastAsia="Times New Roman"/>
        </w:rPr>
        <w:t>, като очаквания</w:t>
      </w:r>
      <w:r w:rsidR="002100FD">
        <w:rPr>
          <w:rFonts w:eastAsia="Times New Roman"/>
        </w:rPr>
        <w:t>т</w:t>
      </w:r>
      <w:r>
        <w:rPr>
          <w:rFonts w:eastAsia="Times New Roman"/>
        </w:rPr>
        <w:t xml:space="preserve"> ефект</w:t>
      </w:r>
      <w:r w:rsidRPr="006E4991">
        <w:rPr>
          <w:rFonts w:eastAsia="Times New Roman"/>
        </w:rPr>
        <w:t xml:space="preserve"> </w:t>
      </w:r>
      <w:r>
        <w:rPr>
          <w:rFonts w:eastAsia="Times New Roman"/>
        </w:rPr>
        <w:t xml:space="preserve">е </w:t>
      </w:r>
      <w:r w:rsidRPr="006E4991">
        <w:rPr>
          <w:rFonts w:eastAsia="Times New Roman"/>
        </w:rPr>
        <w:t>допълнителн</w:t>
      </w:r>
      <w:r>
        <w:rPr>
          <w:rFonts w:eastAsia="Times New Roman"/>
        </w:rPr>
        <w:t>и</w:t>
      </w:r>
      <w:r w:rsidRPr="006E4991">
        <w:rPr>
          <w:rFonts w:eastAsia="Times New Roman"/>
        </w:rPr>
        <w:t xml:space="preserve"> </w:t>
      </w:r>
      <w:r w:rsidR="005B48AD">
        <w:rPr>
          <w:rFonts w:eastAsia="Times New Roman"/>
        </w:rPr>
        <w:t>12,8</w:t>
      </w:r>
      <w:r w:rsidRPr="006E4991">
        <w:rPr>
          <w:rFonts w:eastAsia="Times New Roman"/>
        </w:rPr>
        <w:t xml:space="preserve"> млн. евро приходи</w:t>
      </w:r>
      <w:r>
        <w:rPr>
          <w:rFonts w:eastAsia="Times New Roman"/>
        </w:rPr>
        <w:t>.</w:t>
      </w:r>
    </w:p>
    <w:p w14:paraId="780D7D3C" w14:textId="77777777" w:rsidR="00217060" w:rsidRPr="00217060" w:rsidRDefault="00217060" w:rsidP="005B790D">
      <w:pPr>
        <w:pStyle w:val="ListParagraph"/>
        <w:numPr>
          <w:ilvl w:val="0"/>
          <w:numId w:val="37"/>
        </w:numPr>
      </w:pPr>
      <w:r w:rsidRPr="00217060">
        <w:t>По бюджета на Министерството на регионалното развитие и благоустройството:</w:t>
      </w:r>
    </w:p>
    <w:p w14:paraId="388A5D42" w14:textId="77777777" w:rsidR="00217060" w:rsidRPr="00217060" w:rsidRDefault="00217060" w:rsidP="00217060">
      <w:r w:rsidRPr="00217060">
        <w:t xml:space="preserve">От 1 януари 2019 г. започна поетапното въвеждане на ТОЛ системата с въвеждането на т.нар. „електронна винетка“ за леките автомобили, а от месец март 2020 г. стартира поетапното въвеждане на ТОЛ сегменти в обхвата на платената пътна мрежа на база изминато разстояние, с което започна </w:t>
      </w:r>
      <w:proofErr w:type="spellStart"/>
      <w:r w:rsidRPr="00217060">
        <w:t>тарифирането</w:t>
      </w:r>
      <w:proofErr w:type="spellEnd"/>
      <w:r w:rsidRPr="00217060">
        <w:t xml:space="preserve"> и на товарните автомобили над 3,5 т. През 2022 г. беше направена промяна на обхвата на републиканската пътна мрежа и актуализация на тарифата за изминато разстояние. В тази връзка за </w:t>
      </w:r>
      <w:r>
        <w:t xml:space="preserve">периода 2024-2028 г. се очаква </w:t>
      </w:r>
      <w:r w:rsidRPr="00217060">
        <w:t>ръст на п</w:t>
      </w:r>
      <w:r w:rsidR="00203012">
        <w:t xml:space="preserve">риходите от държавни такси. По </w:t>
      </w:r>
      <w:r w:rsidRPr="00217060">
        <w:t>предварителни данни през 20</w:t>
      </w:r>
      <w:r>
        <w:t xml:space="preserve">25 г. очакваното изпълнение на </w:t>
      </w:r>
      <w:r w:rsidRPr="00217060">
        <w:t xml:space="preserve">приходите </w:t>
      </w:r>
      <w:r>
        <w:t xml:space="preserve">от оперирането на </w:t>
      </w:r>
      <w:r w:rsidR="00C25DD8">
        <w:t>ТОЛ</w:t>
      </w:r>
      <w:r>
        <w:t xml:space="preserve"> системата</w:t>
      </w:r>
      <w:r w:rsidRPr="00217060">
        <w:t xml:space="preserve"> е в размер на 522,5 млн. евро., докато през 2026 г. се оч</w:t>
      </w:r>
      <w:r>
        <w:t>аква същите да възлязат</w:t>
      </w:r>
      <w:r w:rsidRPr="00217060">
        <w:t xml:space="preserve"> на </w:t>
      </w:r>
      <w:r w:rsidR="00B93B17" w:rsidRPr="00B93B17">
        <w:t>551,1</w:t>
      </w:r>
      <w:r w:rsidRPr="00217060">
        <w:t xml:space="preserve"> млн. евро. </w:t>
      </w:r>
    </w:p>
    <w:p w14:paraId="2F288D8F" w14:textId="77777777" w:rsidR="00217060" w:rsidRPr="00217060" w:rsidRDefault="00217060" w:rsidP="00217060">
      <w:r>
        <w:t>За периода 2026-</w:t>
      </w:r>
      <w:r w:rsidR="00203012">
        <w:t xml:space="preserve">2028 г. са планирани </w:t>
      </w:r>
      <w:r w:rsidRPr="00217060">
        <w:t>приходи в размер на 66,5 млн. евро във връзка със спазване на изискванията за въвеждането на Директива 1999/62/ЕО на Европейския парламент и на Съвета от 17 юни 1999 г., относно заплащането на такси от тежкотоварни автомобили за използване на определени инфраструктури. Планираните допълнит</w:t>
      </w:r>
      <w:r>
        <w:t>елни приходи са в изпълнение на</w:t>
      </w:r>
      <w:r w:rsidRPr="00217060">
        <w:t xml:space="preserve"> чл. 10б, ал. 6 от Закона за пътищата, съгласно който се предвижда и диференциране на </w:t>
      </w:r>
      <w:r w:rsidR="00C25DD8">
        <w:t>ТОЛ</w:t>
      </w:r>
      <w:r w:rsidRPr="00217060">
        <w:t xml:space="preserve"> таксите в зависимост от клас емисии СО2 и специфични емисии СО2 на пътните превозни средства. Техният първоначален ефект е отразен през 2026 г., като за следващите години размерът им се запазва.</w:t>
      </w:r>
    </w:p>
    <w:p w14:paraId="41CB85F5" w14:textId="77777777" w:rsidR="00C32A62" w:rsidRPr="00AA3F66" w:rsidRDefault="00C32A62" w:rsidP="009D558E">
      <w:pPr>
        <w:pStyle w:val="Heading4"/>
        <w:jc w:val="both"/>
      </w:pPr>
      <w:r w:rsidRPr="00AA3F66">
        <w:t>Други приходи</w:t>
      </w:r>
    </w:p>
    <w:p w14:paraId="37DEEE22" w14:textId="77777777" w:rsidR="000204EB" w:rsidRPr="000204EB" w:rsidRDefault="000204EB" w:rsidP="000204EB">
      <w:r w:rsidRPr="000204EB">
        <w:t>За прогнозния период 2026-2028 г. приходите на Фонд „Сигурност на електроенергийната система“ (ФСЕС) са определени, както следва: за 2026 г. – 1 197,5 млн. евро, за 2027 г. – 961,6 млн. евро и за 2028 г. – 1 011,6 млн. евро, като същите спрямо тези за 2025 г. се увеличават съответно с 285,8 млн. евро за 2026 г., с 49,9 млн. евро за 2027 г. и с 99,9 млн. евро за 2028 г.</w:t>
      </w:r>
    </w:p>
    <w:p w14:paraId="7E6257ED" w14:textId="77777777" w:rsidR="000204EB" w:rsidRPr="000204EB" w:rsidRDefault="000204EB" w:rsidP="000204EB">
      <w:r w:rsidRPr="000204EB">
        <w:t>Промяната в приходите отразява:</w:t>
      </w:r>
    </w:p>
    <w:p w14:paraId="1DD42D8A" w14:textId="77777777" w:rsidR="000204EB" w:rsidRPr="000204EB" w:rsidRDefault="000204EB" w:rsidP="005B790D">
      <w:pPr>
        <w:pStyle w:val="ListParagraph"/>
        <w:numPr>
          <w:ilvl w:val="0"/>
          <w:numId w:val="33"/>
        </w:numPr>
      </w:pPr>
      <w:r w:rsidRPr="000204EB">
        <w:lastRenderedPageBreak/>
        <w:t>приходи</w:t>
      </w:r>
      <w:r w:rsidR="00937DC2">
        <w:t>те</w:t>
      </w:r>
      <w:r w:rsidRPr="000204EB">
        <w:t xml:space="preserve"> от вноски на производители на електрическа енергия, търговци на електрическа енергия и др. (регламентирани ежегодно със ЗДБРБ);</w:t>
      </w:r>
    </w:p>
    <w:p w14:paraId="6FE3C625" w14:textId="77777777" w:rsidR="000204EB" w:rsidRPr="000204EB" w:rsidRDefault="000204EB" w:rsidP="005B790D">
      <w:pPr>
        <w:pStyle w:val="ListParagraph"/>
        <w:numPr>
          <w:ilvl w:val="0"/>
          <w:numId w:val="33"/>
        </w:numPr>
      </w:pPr>
      <w:r w:rsidRPr="000204EB">
        <w:t xml:space="preserve">приходите от продажба на квоти, при определянето на които: 1) е взета предвид изразената негативна пазарна тенденция за месеците до края на действащия ценови период вследствие на свръхпредлагането от страна на ЕК с цел набиране на средства за </w:t>
      </w:r>
      <w:proofErr w:type="spellStart"/>
      <w:r w:rsidRPr="000204EB">
        <w:t>RePowerEU</w:t>
      </w:r>
      <w:proofErr w:type="spellEnd"/>
      <w:r w:rsidRPr="000204EB">
        <w:t xml:space="preserve"> (което ще продължи и през 2026 г.) и намаляването от 2027 г. нататък на предлагането, което следва да дове</w:t>
      </w:r>
      <w:r w:rsidR="00937DC2">
        <w:t xml:space="preserve">де до повишение на цената; 2) </w:t>
      </w:r>
      <w:r w:rsidRPr="000204EB">
        <w:t xml:space="preserve">отчетено </w:t>
      </w:r>
      <w:r w:rsidR="00937DC2">
        <w:t xml:space="preserve">е </w:t>
      </w:r>
      <w:r w:rsidRPr="000204EB">
        <w:t>вливането на част от приходите от търговете на държавите членки в общия бюджет на ЕС като нов собствен ресурс, като при действието на механизма за солидарност отражението му за България ще е намаление на приходите с около 7% годишно, както и годишно намаление на броя търгувани квоти съгласно действието на Резерва за пазарна стабилност (MSR);</w:t>
      </w:r>
    </w:p>
    <w:p w14:paraId="1035706E" w14:textId="77777777" w:rsidR="000204EB" w:rsidRPr="000204EB" w:rsidRDefault="000204EB" w:rsidP="005B790D">
      <w:pPr>
        <w:pStyle w:val="ListParagraph"/>
        <w:numPr>
          <w:ilvl w:val="0"/>
          <w:numId w:val="33"/>
        </w:numPr>
      </w:pPr>
      <w:r w:rsidRPr="000204EB">
        <w:t>приходите от 5%-ни вноски от приходите на производителите и търговците на електрическа енергия, като при определянето на размера им отражение са дали постигнатите по-ниски цени на електроенергията от прогнозните в ценовото решение, вследствие на което се наблюдава трайна тенденция за намаляване на размера на тези приходи.</w:t>
      </w:r>
    </w:p>
    <w:p w14:paraId="6D26F085" w14:textId="77777777" w:rsidR="00C32A62" w:rsidRPr="00AA3F66" w:rsidRDefault="00C32A62" w:rsidP="009D558E">
      <w:pPr>
        <w:pStyle w:val="Heading4"/>
        <w:jc w:val="both"/>
      </w:pPr>
      <w:r w:rsidRPr="00AA3F66">
        <w:t>Приходи от дивидент за държавата</w:t>
      </w:r>
    </w:p>
    <w:p w14:paraId="09E5FFE0" w14:textId="77777777" w:rsidR="00DE45B1" w:rsidRPr="00DE45B1" w:rsidRDefault="00DE45B1" w:rsidP="00DE45B1">
      <w:pPr>
        <w:rPr>
          <w:rFonts w:eastAsia="Calibri"/>
          <w:szCs w:val="24"/>
        </w:rPr>
      </w:pPr>
      <w:r w:rsidRPr="00DE45B1">
        <w:rPr>
          <w:rFonts w:eastAsia="Calibri"/>
          <w:szCs w:val="24"/>
        </w:rPr>
        <w:t>Приходите от дивидент за държавата за периода 2026-2028 г. са изготвени при 100% отчисления, на база представена от министерствата информация за очакваните финансови резултати на ресорните им пред</w:t>
      </w:r>
      <w:r w:rsidR="00203012">
        <w:rPr>
          <w:rFonts w:eastAsia="Calibri"/>
          <w:szCs w:val="24"/>
        </w:rPr>
        <w:t>приятия и търговски дружества.</w:t>
      </w:r>
    </w:p>
    <w:p w14:paraId="5795FB08" w14:textId="77777777" w:rsidR="00DE45B1" w:rsidRPr="00DE45B1" w:rsidRDefault="00DE45B1" w:rsidP="00DE45B1">
      <w:pPr>
        <w:rPr>
          <w:rFonts w:eastAsia="Calibri"/>
          <w:szCs w:val="24"/>
        </w:rPr>
      </w:pPr>
      <w:r w:rsidRPr="00DE45B1">
        <w:rPr>
          <w:rFonts w:eastAsia="Calibri"/>
          <w:szCs w:val="24"/>
        </w:rPr>
        <w:t xml:space="preserve">Размерът на прогнозираните приходи от дивидент е, както следва: </w:t>
      </w:r>
    </w:p>
    <w:p w14:paraId="2FCC46C3" w14:textId="77777777" w:rsidR="00DE45B1" w:rsidRPr="008D4BF0" w:rsidRDefault="00DE45B1" w:rsidP="005B790D">
      <w:pPr>
        <w:pStyle w:val="ListParagraph"/>
        <w:numPr>
          <w:ilvl w:val="0"/>
          <w:numId w:val="15"/>
        </w:numPr>
        <w:spacing w:after="200"/>
        <w:rPr>
          <w:rFonts w:eastAsia="Times New Roman"/>
        </w:rPr>
      </w:pPr>
      <w:r w:rsidRPr="008D4BF0">
        <w:rPr>
          <w:rFonts w:eastAsia="Times New Roman"/>
        </w:rPr>
        <w:t xml:space="preserve">за 2026 г. – 432,1 млн. евро; </w:t>
      </w:r>
    </w:p>
    <w:p w14:paraId="4AC36D0C" w14:textId="77777777" w:rsidR="00DE45B1" w:rsidRPr="008D4BF0" w:rsidRDefault="00DE45B1" w:rsidP="005B790D">
      <w:pPr>
        <w:pStyle w:val="ListParagraph"/>
        <w:numPr>
          <w:ilvl w:val="0"/>
          <w:numId w:val="15"/>
        </w:numPr>
        <w:spacing w:after="200"/>
        <w:rPr>
          <w:rFonts w:eastAsia="Times New Roman"/>
        </w:rPr>
      </w:pPr>
      <w:r w:rsidRPr="008D4BF0">
        <w:rPr>
          <w:rFonts w:eastAsia="Times New Roman"/>
        </w:rPr>
        <w:t xml:space="preserve">за 2027 г. – </w:t>
      </w:r>
      <w:r w:rsidR="000820DF">
        <w:rPr>
          <w:rFonts w:eastAsia="Times New Roman"/>
        </w:rPr>
        <w:t>64</w:t>
      </w:r>
      <w:r w:rsidRPr="008D4BF0">
        <w:rPr>
          <w:rFonts w:eastAsia="Times New Roman"/>
        </w:rPr>
        <w:t xml:space="preserve">6,8 млн. евро; </w:t>
      </w:r>
    </w:p>
    <w:p w14:paraId="463B46C4" w14:textId="77777777" w:rsidR="00DE45B1" w:rsidRPr="008D4BF0" w:rsidRDefault="00DE45B1" w:rsidP="005B790D">
      <w:pPr>
        <w:pStyle w:val="ListParagraph"/>
        <w:numPr>
          <w:ilvl w:val="0"/>
          <w:numId w:val="15"/>
        </w:numPr>
        <w:spacing w:after="200"/>
        <w:rPr>
          <w:rFonts w:eastAsia="Times New Roman"/>
        </w:rPr>
      </w:pPr>
      <w:r w:rsidRPr="008D4BF0">
        <w:rPr>
          <w:rFonts w:eastAsia="Times New Roman"/>
        </w:rPr>
        <w:t xml:space="preserve">за 2028 г. – </w:t>
      </w:r>
      <w:r w:rsidR="000820DF">
        <w:rPr>
          <w:rFonts w:eastAsia="Times New Roman"/>
        </w:rPr>
        <w:t>63</w:t>
      </w:r>
      <w:r w:rsidRPr="008D4BF0">
        <w:rPr>
          <w:rFonts w:eastAsia="Times New Roman"/>
        </w:rPr>
        <w:t xml:space="preserve">3,9 млн. евро; </w:t>
      </w:r>
    </w:p>
    <w:p w14:paraId="6B16AC23" w14:textId="77777777" w:rsidR="00DE45B1" w:rsidRPr="008A5C40" w:rsidRDefault="00DE45B1" w:rsidP="00DE45B1">
      <w:pPr>
        <w:rPr>
          <w:rFonts w:eastAsia="Calibri"/>
          <w:szCs w:val="24"/>
        </w:rPr>
      </w:pPr>
      <w:r w:rsidRPr="008A5C40">
        <w:rPr>
          <w:rFonts w:eastAsia="Calibri"/>
          <w:szCs w:val="24"/>
        </w:rPr>
        <w:t xml:space="preserve">Основните допускания, на база на които е изготвена прогнозата за приходите от дивидент, са следните: </w:t>
      </w:r>
    </w:p>
    <w:p w14:paraId="5FD699DF" w14:textId="77777777" w:rsidR="00DE45B1" w:rsidRPr="008A5C40" w:rsidRDefault="00DE45B1" w:rsidP="00DE45B1">
      <w:pPr>
        <w:numPr>
          <w:ilvl w:val="0"/>
          <w:numId w:val="10"/>
        </w:numPr>
        <w:rPr>
          <w:rFonts w:eastAsia="Times New Roman"/>
        </w:rPr>
      </w:pPr>
      <w:r w:rsidRPr="008A5C40">
        <w:rPr>
          <w:rFonts w:eastAsia="Times New Roman"/>
        </w:rPr>
        <w:t xml:space="preserve">ставка за отчисления за периода 2026-2028 г. - 100 на сто; </w:t>
      </w:r>
    </w:p>
    <w:p w14:paraId="46D9F43A" w14:textId="77777777" w:rsidR="00DE45B1" w:rsidRPr="008A5C40" w:rsidRDefault="00DE45B1" w:rsidP="00DE45B1">
      <w:pPr>
        <w:numPr>
          <w:ilvl w:val="0"/>
          <w:numId w:val="10"/>
        </w:numPr>
        <w:rPr>
          <w:rFonts w:eastAsia="Times New Roman"/>
        </w:rPr>
      </w:pPr>
      <w:r w:rsidRPr="008A5C40">
        <w:rPr>
          <w:rFonts w:eastAsia="Times New Roman"/>
        </w:rPr>
        <w:t xml:space="preserve">отчисление от печалбата за съдружниците, съответно разпределяне на дивидент за акционерите в размер 100 на сто от дъщерните дружества на държавните предприятия и търговските дружества с над 50 на сто държавно участие в капитала; </w:t>
      </w:r>
    </w:p>
    <w:p w14:paraId="327B2458" w14:textId="77777777" w:rsidR="00DE45B1" w:rsidRPr="008A5C40" w:rsidRDefault="00DE45B1" w:rsidP="00DE45B1">
      <w:pPr>
        <w:numPr>
          <w:ilvl w:val="0"/>
          <w:numId w:val="10"/>
        </w:numPr>
        <w:rPr>
          <w:rFonts w:eastAsia="Times New Roman"/>
        </w:rPr>
      </w:pPr>
      <w:r w:rsidRPr="008A5C40">
        <w:rPr>
          <w:rFonts w:eastAsia="Times New Roman"/>
        </w:rPr>
        <w:t xml:space="preserve">разпределяне и внасяне на междинен дивидент въз основа на междинен финансов отчет към 30.06.2026 г. от публични предприятия - акционерни дружества, при спазване на чл. 247а от Търговския закон. Предвидена е разпоредба в законопроекта </w:t>
      </w:r>
      <w:r w:rsidR="00EA2D4C">
        <w:rPr>
          <w:rFonts w:eastAsia="Times New Roman"/>
        </w:rPr>
        <w:t xml:space="preserve">за държавния бюджет за 2026 г. </w:t>
      </w:r>
      <w:r w:rsidRPr="008A5C40">
        <w:rPr>
          <w:rFonts w:eastAsia="Times New Roman"/>
        </w:rPr>
        <w:t xml:space="preserve">в тази посока, даваща възможност и на публичните предприятия да разпределят междинен дивидент; </w:t>
      </w:r>
    </w:p>
    <w:p w14:paraId="392E248D" w14:textId="77777777" w:rsidR="00DE45B1" w:rsidRPr="008A5C40" w:rsidRDefault="00DE45B1" w:rsidP="00483026">
      <w:pPr>
        <w:numPr>
          <w:ilvl w:val="0"/>
          <w:numId w:val="10"/>
        </w:numPr>
        <w:rPr>
          <w:rFonts w:eastAsia="Times New Roman"/>
        </w:rPr>
      </w:pPr>
      <w:r w:rsidRPr="008A5C40">
        <w:rPr>
          <w:rFonts w:eastAsia="Times New Roman"/>
        </w:rPr>
        <w:t xml:space="preserve">изключване на лечебните заведения за болнична помощ, центровете за психично здраве, бюджетните организации и дружествата от отрасъл „Водоснабдяване и канализация“ от обхвата на Разпореждането на Министерския съвет за </w:t>
      </w:r>
      <w:r w:rsidRPr="008A5C40">
        <w:rPr>
          <w:rFonts w:eastAsia="Times New Roman"/>
        </w:rPr>
        <w:lastRenderedPageBreak/>
        <w:t>установяване и внасяне в полза на държавата на отчисления от печалбата от държавни предприятия и търговски дружества с държавно участие в капитала.</w:t>
      </w:r>
    </w:p>
    <w:p w14:paraId="3A3D143B" w14:textId="77777777" w:rsidR="00C32A62" w:rsidRPr="00AA3F66" w:rsidRDefault="00C32A62" w:rsidP="009D558E">
      <w:pPr>
        <w:pStyle w:val="Heading4"/>
        <w:jc w:val="both"/>
      </w:pPr>
      <w:r w:rsidRPr="00AA3F66">
        <w:t>Приходи от наеми за държавата</w:t>
      </w:r>
    </w:p>
    <w:p w14:paraId="543E018F" w14:textId="77777777" w:rsidR="00D45D74" w:rsidRPr="00D45D74" w:rsidRDefault="00D45D74" w:rsidP="00D45D74">
      <w:pPr>
        <w:rPr>
          <w:rFonts w:eastAsia="Calibri"/>
          <w:szCs w:val="24"/>
        </w:rPr>
      </w:pPr>
      <w:r w:rsidRPr="00D45D74">
        <w:rPr>
          <w:rFonts w:eastAsia="Calibri"/>
          <w:szCs w:val="24"/>
        </w:rPr>
        <w:t xml:space="preserve">Приходите от наеми за държавата за периода 2026-2028 г. са разчетени при 50% отчисления от наемите, получени от държавните предприятия и едноличните търговски дружества, в т.ч. от дъщерните им дружества, отдали под наем предоставените им застроени или незастроени недвижими имоти. </w:t>
      </w:r>
    </w:p>
    <w:p w14:paraId="69CEBAE4" w14:textId="77777777" w:rsidR="00D45D74" w:rsidRPr="00D45D74" w:rsidRDefault="00D45D74" w:rsidP="0007714C">
      <w:pPr>
        <w:rPr>
          <w:rFonts w:eastAsia="Calibri"/>
          <w:szCs w:val="24"/>
        </w:rPr>
      </w:pPr>
      <w:r w:rsidRPr="00D45D74">
        <w:rPr>
          <w:rFonts w:eastAsia="Calibri"/>
          <w:szCs w:val="24"/>
        </w:rPr>
        <w:t xml:space="preserve">Размерът на прогнозираните приходи </w:t>
      </w:r>
      <w:r w:rsidRPr="008D4BF0">
        <w:rPr>
          <w:rFonts w:eastAsia="Calibri"/>
          <w:szCs w:val="24"/>
        </w:rPr>
        <w:t>е по 5,1 млн</w:t>
      </w:r>
      <w:r w:rsidRPr="00D45D74">
        <w:rPr>
          <w:rFonts w:eastAsia="Calibri"/>
          <w:szCs w:val="24"/>
        </w:rPr>
        <w:t>. евро годишно за периода 2026</w:t>
      </w:r>
      <w:r>
        <w:rPr>
          <w:rFonts w:eastAsia="Calibri"/>
          <w:szCs w:val="24"/>
        </w:rPr>
        <w:t>-2028 г.</w:t>
      </w:r>
    </w:p>
    <w:p w14:paraId="3AE4A4E7" w14:textId="77777777" w:rsidR="00C32A62" w:rsidRPr="00FD495F" w:rsidRDefault="00C32A62" w:rsidP="009D558E">
      <w:pPr>
        <w:pStyle w:val="Heading4"/>
        <w:jc w:val="both"/>
      </w:pPr>
      <w:r w:rsidRPr="00FD495F">
        <w:t>Приходи от концесионн</w:t>
      </w:r>
      <w:r w:rsidR="00773157" w:rsidRPr="00FD495F">
        <w:t xml:space="preserve">и </w:t>
      </w:r>
      <w:r w:rsidR="00773157" w:rsidRPr="00F27610">
        <w:t>възнаграждения</w:t>
      </w:r>
    </w:p>
    <w:p w14:paraId="70971738" w14:textId="77777777" w:rsidR="00D45D74" w:rsidRPr="00AF72DC" w:rsidRDefault="00D45D74" w:rsidP="00D45D74">
      <w:pPr>
        <w:rPr>
          <w:rFonts w:eastAsia="Calibri"/>
          <w:szCs w:val="24"/>
        </w:rPr>
      </w:pPr>
      <w:r w:rsidRPr="00AF72DC">
        <w:rPr>
          <w:rFonts w:eastAsia="Calibri"/>
          <w:szCs w:val="24"/>
        </w:rPr>
        <w:t xml:space="preserve">Прогнозните приходи от концесии по КФП за 2026 г. възлизат на </w:t>
      </w:r>
      <w:r w:rsidR="00150210" w:rsidRPr="00C352DB">
        <w:rPr>
          <w:rFonts w:eastAsia="Calibri"/>
          <w:szCs w:val="24"/>
        </w:rPr>
        <w:t>191,1</w:t>
      </w:r>
      <w:r w:rsidRPr="00AF72DC">
        <w:rPr>
          <w:rFonts w:eastAsia="Calibri"/>
          <w:szCs w:val="24"/>
        </w:rPr>
        <w:t xml:space="preserve"> млн. евро, като от тях 134,8 млн. евро се очаква да постъпят по бюджетите на министерствата и Министерския съвет и 5</w:t>
      </w:r>
      <w:r w:rsidR="00A25541" w:rsidRPr="00C352DB">
        <w:rPr>
          <w:rFonts w:eastAsia="Calibri"/>
          <w:szCs w:val="24"/>
        </w:rPr>
        <w:t>6</w:t>
      </w:r>
      <w:r w:rsidRPr="00AF72DC">
        <w:rPr>
          <w:rFonts w:eastAsia="Calibri"/>
          <w:szCs w:val="24"/>
        </w:rPr>
        <w:t>,</w:t>
      </w:r>
      <w:r w:rsidR="00A25541" w:rsidRPr="00C352DB">
        <w:rPr>
          <w:rFonts w:eastAsia="Calibri"/>
          <w:szCs w:val="24"/>
        </w:rPr>
        <w:t>3</w:t>
      </w:r>
      <w:r w:rsidRPr="00AF72DC">
        <w:rPr>
          <w:rFonts w:eastAsia="Calibri"/>
          <w:szCs w:val="24"/>
        </w:rPr>
        <w:t xml:space="preserve"> млн. евро по бюджетите на общините, на чиито територии се намират находищата на подземни богатства, минералните води, морските плажове и концесионната площ по концесионния договор „Ски зона с център Банско – част от територията</w:t>
      </w:r>
      <w:r w:rsidR="00203012">
        <w:rPr>
          <w:rFonts w:eastAsia="Calibri"/>
          <w:szCs w:val="24"/>
        </w:rPr>
        <w:t xml:space="preserve"> на Национален парк – „Пирин”.</w:t>
      </w:r>
    </w:p>
    <w:p w14:paraId="6F62AF5C" w14:textId="77777777" w:rsidR="00D45D74" w:rsidRPr="00AF72DC" w:rsidRDefault="00D45D74" w:rsidP="00D45D74">
      <w:pPr>
        <w:rPr>
          <w:rFonts w:eastAsia="Calibri"/>
          <w:szCs w:val="24"/>
        </w:rPr>
      </w:pPr>
      <w:r w:rsidRPr="00AF72DC">
        <w:rPr>
          <w:rFonts w:eastAsia="Calibri"/>
          <w:szCs w:val="24"/>
        </w:rPr>
        <w:t>За 2027 г. се предвиждат приходи от концесии по КФП в размер на 19</w:t>
      </w:r>
      <w:r w:rsidR="00595293" w:rsidRPr="00C352DB">
        <w:rPr>
          <w:rFonts w:eastAsia="Calibri"/>
          <w:szCs w:val="24"/>
        </w:rPr>
        <w:t>3</w:t>
      </w:r>
      <w:r w:rsidRPr="00AF72DC">
        <w:rPr>
          <w:rFonts w:eastAsia="Calibri"/>
          <w:szCs w:val="24"/>
        </w:rPr>
        <w:t>,</w:t>
      </w:r>
      <w:r w:rsidR="00595293" w:rsidRPr="00C352DB">
        <w:rPr>
          <w:rFonts w:eastAsia="Calibri"/>
          <w:szCs w:val="24"/>
        </w:rPr>
        <w:t>6</w:t>
      </w:r>
      <w:r w:rsidRPr="00AF72DC">
        <w:rPr>
          <w:rFonts w:eastAsia="Calibri"/>
          <w:szCs w:val="24"/>
        </w:rPr>
        <w:t xml:space="preserve"> млн. евро, като от тях 137,2 млн. евро се очаква да постъпят по бюджетите на министерствата и Министерския съвет и 5</w:t>
      </w:r>
      <w:r w:rsidR="00595293" w:rsidRPr="00C352DB">
        <w:rPr>
          <w:rFonts w:eastAsia="Calibri"/>
          <w:szCs w:val="24"/>
        </w:rPr>
        <w:t>6</w:t>
      </w:r>
      <w:r w:rsidRPr="00AF72DC">
        <w:rPr>
          <w:rFonts w:eastAsia="Calibri"/>
          <w:szCs w:val="24"/>
        </w:rPr>
        <w:t>,</w:t>
      </w:r>
      <w:r w:rsidR="00595293" w:rsidRPr="00C352DB">
        <w:rPr>
          <w:rFonts w:eastAsia="Calibri"/>
          <w:szCs w:val="24"/>
        </w:rPr>
        <w:t>4</w:t>
      </w:r>
      <w:r w:rsidRPr="00AF72DC">
        <w:rPr>
          <w:rFonts w:eastAsia="Calibri"/>
          <w:szCs w:val="24"/>
        </w:rPr>
        <w:t xml:space="preserve"> млн. </w:t>
      </w:r>
      <w:r w:rsidR="00203012">
        <w:rPr>
          <w:rFonts w:eastAsia="Calibri"/>
          <w:szCs w:val="24"/>
        </w:rPr>
        <w:t>евро по бюджетите на общините.</w:t>
      </w:r>
    </w:p>
    <w:p w14:paraId="37EE4B8B" w14:textId="77777777" w:rsidR="00D45D74" w:rsidRPr="00AF72DC" w:rsidRDefault="00D45D74" w:rsidP="00D45D74">
      <w:pPr>
        <w:rPr>
          <w:rFonts w:eastAsia="Calibri"/>
          <w:szCs w:val="24"/>
        </w:rPr>
      </w:pPr>
      <w:r w:rsidRPr="00AF72DC">
        <w:rPr>
          <w:rFonts w:eastAsia="Calibri"/>
          <w:szCs w:val="24"/>
        </w:rPr>
        <w:t>За 2028 г. се предвиждат приходи от концесии по КФП в размер на 19</w:t>
      </w:r>
      <w:r w:rsidR="00595293" w:rsidRPr="00C352DB">
        <w:rPr>
          <w:rFonts w:eastAsia="Calibri"/>
          <w:szCs w:val="24"/>
        </w:rPr>
        <w:t>6</w:t>
      </w:r>
      <w:r w:rsidRPr="00AF72DC">
        <w:rPr>
          <w:rFonts w:eastAsia="Calibri"/>
          <w:szCs w:val="24"/>
        </w:rPr>
        <w:t>,</w:t>
      </w:r>
      <w:r w:rsidR="00595293" w:rsidRPr="00C352DB">
        <w:rPr>
          <w:rFonts w:eastAsia="Calibri"/>
          <w:szCs w:val="24"/>
        </w:rPr>
        <w:t>0</w:t>
      </w:r>
      <w:r w:rsidRPr="00AF72DC">
        <w:rPr>
          <w:rFonts w:eastAsia="Calibri"/>
          <w:szCs w:val="24"/>
        </w:rPr>
        <w:t xml:space="preserve"> млн. евро, като от тях 139,7 млн. евро се очаква да постъпят по бюджетите на министерствата и Министерския съвет и 5</w:t>
      </w:r>
      <w:r w:rsidR="00595293" w:rsidRPr="00C352DB">
        <w:rPr>
          <w:rFonts w:eastAsia="Calibri"/>
          <w:szCs w:val="24"/>
        </w:rPr>
        <w:t>6</w:t>
      </w:r>
      <w:r w:rsidRPr="00AF72DC">
        <w:rPr>
          <w:rFonts w:eastAsia="Calibri"/>
          <w:szCs w:val="24"/>
        </w:rPr>
        <w:t>,</w:t>
      </w:r>
      <w:r w:rsidR="00595293" w:rsidRPr="00C352DB">
        <w:rPr>
          <w:rFonts w:eastAsia="Calibri"/>
          <w:szCs w:val="24"/>
        </w:rPr>
        <w:t>4</w:t>
      </w:r>
      <w:r w:rsidRPr="00AF72DC">
        <w:rPr>
          <w:rFonts w:eastAsia="Calibri"/>
          <w:szCs w:val="24"/>
        </w:rPr>
        <w:t xml:space="preserve"> млн. евро по бюджетите на о</w:t>
      </w:r>
      <w:r w:rsidR="00203012">
        <w:rPr>
          <w:rFonts w:eastAsia="Calibri"/>
          <w:szCs w:val="24"/>
        </w:rPr>
        <w:t>бщините.</w:t>
      </w:r>
    </w:p>
    <w:p w14:paraId="4BD4D55C" w14:textId="77777777" w:rsidR="00D45D74" w:rsidRPr="00D45D74" w:rsidRDefault="00D45D74" w:rsidP="00D45D74">
      <w:pPr>
        <w:rPr>
          <w:rFonts w:eastAsia="Calibri"/>
          <w:szCs w:val="24"/>
        </w:rPr>
      </w:pPr>
      <w:r w:rsidRPr="00D45D74">
        <w:rPr>
          <w:rFonts w:eastAsia="Calibri"/>
          <w:szCs w:val="24"/>
        </w:rPr>
        <w:t xml:space="preserve">Основните допускания, на базата на които е изготвена прогнозата са: </w:t>
      </w:r>
    </w:p>
    <w:p w14:paraId="3F09F74C" w14:textId="77777777" w:rsidR="00D45D74" w:rsidRPr="00D45D74" w:rsidRDefault="00D45D74" w:rsidP="005B790D">
      <w:pPr>
        <w:numPr>
          <w:ilvl w:val="0"/>
          <w:numId w:val="15"/>
        </w:numPr>
        <w:rPr>
          <w:rFonts w:eastAsia="Calibri"/>
          <w:szCs w:val="24"/>
        </w:rPr>
      </w:pPr>
      <w:r w:rsidRPr="00D45D74">
        <w:rPr>
          <w:rFonts w:eastAsia="Calibri"/>
          <w:szCs w:val="24"/>
        </w:rPr>
        <w:t xml:space="preserve">завишаване приходите от концесионни възнаграждения по договорите за добив на подземни богатства вследствие от приемане на изменения и допълнения в Закона за подземните богатства, респ. промени при определяне на концесионното възнаграждение за добив на подземни богатства, считано от 2026 г.; </w:t>
      </w:r>
      <w:r w:rsidR="00AE25A8">
        <w:rPr>
          <w:rFonts w:eastAsia="Calibri"/>
          <w:szCs w:val="24"/>
        </w:rPr>
        <w:t>н</w:t>
      </w:r>
      <w:r w:rsidRPr="00D45D74">
        <w:rPr>
          <w:rFonts w:eastAsia="Calibri"/>
          <w:szCs w:val="24"/>
        </w:rPr>
        <w:t xml:space="preserve">овият ред ще се прилага от всички концесионери по сключени договори за добив на подземни богатства; </w:t>
      </w:r>
    </w:p>
    <w:p w14:paraId="7C610662" w14:textId="77777777" w:rsidR="00D45D74" w:rsidRPr="00D45D74" w:rsidRDefault="00D45D74" w:rsidP="005B790D">
      <w:pPr>
        <w:numPr>
          <w:ilvl w:val="0"/>
          <w:numId w:val="15"/>
        </w:numPr>
        <w:rPr>
          <w:rFonts w:eastAsia="Calibri"/>
          <w:szCs w:val="24"/>
        </w:rPr>
      </w:pPr>
      <w:r w:rsidRPr="00D45D74">
        <w:rPr>
          <w:rFonts w:eastAsia="Calibri"/>
          <w:szCs w:val="24"/>
        </w:rPr>
        <w:t xml:space="preserve">възобновяване, считано от 2026 г., на плащането на концесионно възнаграждение по Концесионния договор за възлагане на строителство на обект „Гражданско летище за обществено ползване София“ – публична държавна собственост, във връзка с по-бързото възстановяване на </w:t>
      </w:r>
      <w:proofErr w:type="spellStart"/>
      <w:r w:rsidRPr="00D45D74">
        <w:rPr>
          <w:rFonts w:eastAsia="Calibri"/>
          <w:szCs w:val="24"/>
        </w:rPr>
        <w:t>предепидемичните</w:t>
      </w:r>
      <w:proofErr w:type="spellEnd"/>
      <w:r w:rsidRPr="00D45D74">
        <w:rPr>
          <w:rFonts w:eastAsia="Calibri"/>
          <w:szCs w:val="24"/>
        </w:rPr>
        <w:t xml:space="preserve"> нива на показателите за преминали пътници през летището и на общите приходи на концесионера „СОФ </w:t>
      </w:r>
      <w:proofErr w:type="spellStart"/>
      <w:r w:rsidRPr="00D45D74">
        <w:rPr>
          <w:rFonts w:eastAsia="Calibri"/>
          <w:szCs w:val="24"/>
        </w:rPr>
        <w:t>Кънект</w:t>
      </w:r>
      <w:proofErr w:type="spellEnd"/>
      <w:r w:rsidRPr="00D45D74">
        <w:rPr>
          <w:rFonts w:eastAsia="Calibri"/>
          <w:szCs w:val="24"/>
        </w:rPr>
        <w:t xml:space="preserve">“ – след извършен анализ и оценка на показателите от министъра на транспорта и съобщенията, на основание чл. 3 от Допълнителното споразумение към </w:t>
      </w:r>
      <w:proofErr w:type="spellStart"/>
      <w:r w:rsidRPr="00D45D74">
        <w:rPr>
          <w:rFonts w:eastAsia="Calibri"/>
          <w:szCs w:val="24"/>
        </w:rPr>
        <w:t>Концесионения</w:t>
      </w:r>
      <w:proofErr w:type="spellEnd"/>
      <w:r w:rsidRPr="00D45D74">
        <w:rPr>
          <w:rFonts w:eastAsia="Calibri"/>
          <w:szCs w:val="24"/>
        </w:rPr>
        <w:t xml:space="preserve"> договор, сключено на 9 април 2021 г.; </w:t>
      </w:r>
    </w:p>
    <w:p w14:paraId="313ECD65" w14:textId="77777777" w:rsidR="00175E7D" w:rsidRPr="00D45D74" w:rsidRDefault="00D45D74" w:rsidP="005B790D">
      <w:pPr>
        <w:numPr>
          <w:ilvl w:val="0"/>
          <w:numId w:val="15"/>
        </w:numPr>
        <w:rPr>
          <w:rFonts w:eastAsia="Calibri"/>
          <w:szCs w:val="24"/>
        </w:rPr>
      </w:pPr>
      <w:r w:rsidRPr="00D45D74">
        <w:rPr>
          <w:rFonts w:eastAsia="Calibri"/>
          <w:szCs w:val="24"/>
        </w:rPr>
        <w:t>повишаване събираемостта на приходите от концесии чрез подобряване на контрола върху концесионните договори, както и своевременно начисляване и предявяване на предвидените неустойки по договорите, завеждане на съдебни дела и прекратяване на концесионни договори със стари задължения. Предвижда се и сключван</w:t>
      </w:r>
      <w:r>
        <w:rPr>
          <w:rFonts w:eastAsia="Calibri"/>
          <w:szCs w:val="24"/>
        </w:rPr>
        <w:t>е на нови договори за концесия.</w:t>
      </w:r>
    </w:p>
    <w:p w14:paraId="515A75D4" w14:textId="77777777" w:rsidR="00CF2532" w:rsidRPr="00074767" w:rsidRDefault="00074767" w:rsidP="000B315F">
      <w:pPr>
        <w:pStyle w:val="Heading2"/>
        <w:numPr>
          <w:ilvl w:val="1"/>
          <w:numId w:val="3"/>
        </w:numPr>
        <w:ind w:hanging="270"/>
      </w:pPr>
      <w:r w:rsidRPr="00074767">
        <w:lastRenderedPageBreak/>
        <w:t xml:space="preserve"> </w:t>
      </w:r>
      <w:bookmarkStart w:id="302" w:name="_Toc216029353"/>
      <w:r w:rsidR="00083361" w:rsidRPr="00074767">
        <w:t>Р</w:t>
      </w:r>
      <w:r w:rsidR="007C16B3" w:rsidRPr="00074767">
        <w:t>азходни политики за периода 2026</w:t>
      </w:r>
      <w:r w:rsidR="00742244" w:rsidRPr="00074767">
        <w:t>-2028 г.</w:t>
      </w:r>
      <w:bookmarkEnd w:id="253"/>
      <w:bookmarkEnd w:id="254"/>
      <w:bookmarkEnd w:id="255"/>
      <w:bookmarkEnd w:id="256"/>
      <w:bookmarkEnd w:id="257"/>
      <w:bookmarkEnd w:id="258"/>
      <w:bookmarkEnd w:id="259"/>
      <w:bookmarkEnd w:id="260"/>
      <w:bookmarkEnd w:id="261"/>
      <w:bookmarkEnd w:id="262"/>
      <w:bookmarkEnd w:id="263"/>
      <w:bookmarkEnd w:id="302"/>
    </w:p>
    <w:p w14:paraId="16673390" w14:textId="77777777" w:rsidR="00FD495F" w:rsidRDefault="005D669C" w:rsidP="00FD495F">
      <w:pPr>
        <w:pStyle w:val="Caption"/>
        <w:spacing w:before="360"/>
        <w:rPr>
          <w:rFonts w:cs="Calibri"/>
          <w:color w:val="000000"/>
          <w:szCs w:val="24"/>
        </w:rPr>
      </w:pPr>
      <w:bookmarkStart w:id="303" w:name="_Toc213229064"/>
      <w:r w:rsidRPr="00AA3F66">
        <w:t xml:space="preserve">Табл. </w:t>
      </w:r>
      <w:r w:rsidR="00974F02">
        <w:fldChar w:fldCharType="begin"/>
      </w:r>
      <w:r w:rsidR="00974F02">
        <w:instrText xml:space="preserve"> STYLEREF 1 \s </w:instrText>
      </w:r>
      <w:r w:rsidR="00974F02">
        <w:fldChar w:fldCharType="separate"/>
      </w:r>
      <w:r w:rsidR="00841DFA">
        <w:rPr>
          <w:noProof/>
        </w:rPr>
        <w:t>III</w:t>
      </w:r>
      <w:r w:rsidR="00974F02">
        <w:rPr>
          <w:noProof/>
        </w:rPr>
        <w:fldChar w:fldCharType="end"/>
      </w:r>
      <w:r w:rsidRPr="00AA3F66">
        <w:noBreakHyphen/>
      </w:r>
      <w:r w:rsidR="00974F02">
        <w:fldChar w:fldCharType="begin"/>
      </w:r>
      <w:r w:rsidR="00974F02">
        <w:instrText xml:space="preserve"> SEQ Табл. \* ARABIC \s 1 </w:instrText>
      </w:r>
      <w:r w:rsidR="00974F02">
        <w:fldChar w:fldCharType="separate"/>
      </w:r>
      <w:r w:rsidR="00841DFA">
        <w:rPr>
          <w:noProof/>
        </w:rPr>
        <w:t>1</w:t>
      </w:r>
      <w:r w:rsidR="00974F02">
        <w:rPr>
          <w:noProof/>
        </w:rPr>
        <w:fldChar w:fldCharType="end"/>
      </w:r>
      <w:r w:rsidRPr="00AA3F66">
        <w:t>:</w:t>
      </w:r>
      <w:r w:rsidRPr="00AA3F66">
        <w:tab/>
      </w:r>
      <w:r w:rsidRPr="00AA3F66">
        <w:rPr>
          <w:rFonts w:cs="Calibri"/>
          <w:color w:val="000000"/>
          <w:szCs w:val="24"/>
        </w:rPr>
        <w:t>Разходи п</w:t>
      </w:r>
      <w:r w:rsidR="000208CE" w:rsidRPr="00AA3F66">
        <w:rPr>
          <w:rFonts w:cs="Calibri"/>
          <w:color w:val="000000"/>
          <w:szCs w:val="24"/>
        </w:rPr>
        <w:t xml:space="preserve">о функции по КФП за периода </w:t>
      </w:r>
      <w:r w:rsidR="004E5536" w:rsidRPr="001061D8">
        <w:rPr>
          <w:rFonts w:cs="Calibri"/>
          <w:color w:val="000000"/>
          <w:szCs w:val="24"/>
        </w:rPr>
        <w:t>202</w:t>
      </w:r>
      <w:r w:rsidR="001061D8" w:rsidRPr="001061D8">
        <w:rPr>
          <w:rFonts w:cs="Calibri"/>
          <w:color w:val="000000"/>
          <w:szCs w:val="24"/>
        </w:rPr>
        <w:t>6</w:t>
      </w:r>
      <w:r w:rsidRPr="001061D8">
        <w:rPr>
          <w:rFonts w:cs="Calibri"/>
          <w:color w:val="000000"/>
          <w:szCs w:val="24"/>
        </w:rPr>
        <w:t>-202</w:t>
      </w:r>
      <w:r w:rsidR="004E5536" w:rsidRPr="001061D8">
        <w:rPr>
          <w:rFonts w:cs="Calibri"/>
          <w:color w:val="000000"/>
          <w:szCs w:val="24"/>
        </w:rPr>
        <w:t>8</w:t>
      </w:r>
      <w:r w:rsidRPr="00AA3F66">
        <w:rPr>
          <w:rFonts w:cs="Calibri"/>
          <w:color w:val="000000"/>
          <w:szCs w:val="24"/>
        </w:rPr>
        <w:t> г. с разпределен резерв по функции (без вноска в общия бюджет на ЕС)</w:t>
      </w:r>
      <w:bookmarkEnd w:id="303"/>
    </w:p>
    <w:tbl>
      <w:tblPr>
        <w:tblW w:w="9982" w:type="dxa"/>
        <w:tblCellMar>
          <w:left w:w="70" w:type="dxa"/>
          <w:right w:w="70" w:type="dxa"/>
        </w:tblCellMar>
        <w:tblLook w:val="04A0" w:firstRow="1" w:lastRow="0" w:firstColumn="1" w:lastColumn="0" w:noHBand="0" w:noVBand="1"/>
      </w:tblPr>
      <w:tblGrid>
        <w:gridCol w:w="2977"/>
        <w:gridCol w:w="957"/>
        <w:gridCol w:w="739"/>
        <w:gridCol w:w="902"/>
        <w:gridCol w:w="902"/>
        <w:gridCol w:w="865"/>
        <w:gridCol w:w="880"/>
        <w:gridCol w:w="880"/>
        <w:gridCol w:w="880"/>
      </w:tblGrid>
      <w:tr w:rsidR="005749EE" w:rsidRPr="005749EE" w14:paraId="2873AF8A" w14:textId="77777777" w:rsidTr="005749EE">
        <w:trPr>
          <w:trHeight w:val="285"/>
          <w:tblHeader/>
        </w:trPr>
        <w:tc>
          <w:tcPr>
            <w:tcW w:w="2977" w:type="dxa"/>
            <w:vMerge w:val="restart"/>
            <w:tcBorders>
              <w:top w:val="single" w:sz="4" w:space="0" w:color="595959"/>
              <w:left w:val="nil"/>
              <w:bottom w:val="single" w:sz="4" w:space="0" w:color="595959"/>
              <w:right w:val="nil"/>
            </w:tcBorders>
            <w:shd w:val="clear" w:color="000000" w:fill="FFFFFF"/>
            <w:vAlign w:val="center"/>
            <w:hideMark/>
          </w:tcPr>
          <w:p w14:paraId="1031E439"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ПОКАЗАТЕЛИ</w:t>
            </w:r>
          </w:p>
        </w:tc>
        <w:tc>
          <w:tcPr>
            <w:tcW w:w="3500" w:type="dxa"/>
            <w:gridSpan w:val="4"/>
            <w:tcBorders>
              <w:top w:val="single" w:sz="4" w:space="0" w:color="auto"/>
              <w:left w:val="nil"/>
              <w:bottom w:val="single" w:sz="4" w:space="0" w:color="auto"/>
              <w:right w:val="nil"/>
            </w:tcBorders>
            <w:shd w:val="clear" w:color="000000" w:fill="FFFFFF"/>
            <w:vAlign w:val="bottom"/>
            <w:hideMark/>
          </w:tcPr>
          <w:p w14:paraId="650D0811" w14:textId="77777777" w:rsidR="005749EE" w:rsidRPr="005749EE" w:rsidRDefault="005749EE" w:rsidP="005749EE">
            <w:pPr>
              <w:spacing w:after="0"/>
              <w:jc w:val="center"/>
              <w:rPr>
                <w:rFonts w:eastAsia="Times New Roman" w:cs="Times New Roman"/>
                <w:b/>
                <w:bCs/>
                <w:color w:val="000000"/>
                <w:sz w:val="16"/>
                <w:szCs w:val="16"/>
              </w:rPr>
            </w:pPr>
            <w:r w:rsidRPr="005749EE">
              <w:rPr>
                <w:rFonts w:eastAsia="Times New Roman" w:cs="Times New Roman"/>
                <w:b/>
                <w:bCs/>
                <w:color w:val="000000"/>
                <w:sz w:val="16"/>
                <w:szCs w:val="16"/>
              </w:rPr>
              <w:t>млн. евро</w:t>
            </w:r>
          </w:p>
        </w:tc>
        <w:tc>
          <w:tcPr>
            <w:tcW w:w="3505" w:type="dxa"/>
            <w:gridSpan w:val="4"/>
            <w:tcBorders>
              <w:top w:val="single" w:sz="4" w:space="0" w:color="auto"/>
              <w:left w:val="nil"/>
              <w:bottom w:val="single" w:sz="4" w:space="0" w:color="auto"/>
              <w:right w:val="nil"/>
            </w:tcBorders>
            <w:shd w:val="clear" w:color="000000" w:fill="F2F2F2"/>
            <w:vAlign w:val="bottom"/>
            <w:hideMark/>
          </w:tcPr>
          <w:p w14:paraId="3FFB5835" w14:textId="77777777" w:rsidR="005749EE" w:rsidRPr="005749EE" w:rsidRDefault="005749EE" w:rsidP="005749EE">
            <w:pPr>
              <w:spacing w:after="0"/>
              <w:jc w:val="center"/>
              <w:rPr>
                <w:rFonts w:eastAsia="Times New Roman" w:cs="Times New Roman"/>
                <w:b/>
                <w:bCs/>
                <w:color w:val="000000"/>
                <w:sz w:val="16"/>
                <w:szCs w:val="16"/>
              </w:rPr>
            </w:pPr>
            <w:r w:rsidRPr="005749EE">
              <w:rPr>
                <w:rFonts w:eastAsia="Times New Roman" w:cs="Times New Roman"/>
                <w:b/>
                <w:bCs/>
                <w:color w:val="000000"/>
                <w:sz w:val="16"/>
                <w:szCs w:val="16"/>
              </w:rPr>
              <w:t>% от БВП</w:t>
            </w:r>
          </w:p>
        </w:tc>
      </w:tr>
      <w:tr w:rsidR="005749EE" w:rsidRPr="005749EE" w14:paraId="5D345927" w14:textId="77777777" w:rsidTr="005749EE">
        <w:trPr>
          <w:trHeight w:val="285"/>
          <w:tblHeader/>
        </w:trPr>
        <w:tc>
          <w:tcPr>
            <w:tcW w:w="2977" w:type="dxa"/>
            <w:vMerge/>
            <w:tcBorders>
              <w:top w:val="single" w:sz="4" w:space="0" w:color="595959"/>
              <w:left w:val="nil"/>
              <w:bottom w:val="single" w:sz="4" w:space="0" w:color="595959"/>
              <w:right w:val="nil"/>
            </w:tcBorders>
            <w:vAlign w:val="center"/>
            <w:hideMark/>
          </w:tcPr>
          <w:p w14:paraId="79220324" w14:textId="77777777" w:rsidR="005749EE" w:rsidRPr="005749EE" w:rsidRDefault="005749EE" w:rsidP="005749EE">
            <w:pPr>
              <w:spacing w:after="0"/>
              <w:jc w:val="left"/>
              <w:rPr>
                <w:rFonts w:eastAsia="Times New Roman" w:cs="Times New Roman"/>
                <w:b/>
                <w:bCs/>
                <w:sz w:val="16"/>
                <w:szCs w:val="16"/>
              </w:rPr>
            </w:pPr>
          </w:p>
        </w:tc>
        <w:tc>
          <w:tcPr>
            <w:tcW w:w="957" w:type="dxa"/>
            <w:tcBorders>
              <w:top w:val="nil"/>
              <w:left w:val="nil"/>
              <w:right w:val="nil"/>
            </w:tcBorders>
            <w:shd w:val="clear" w:color="000000" w:fill="FFFFFF"/>
            <w:noWrap/>
            <w:vAlign w:val="center"/>
            <w:hideMark/>
          </w:tcPr>
          <w:p w14:paraId="28DF7D42"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2025</w:t>
            </w:r>
          </w:p>
        </w:tc>
        <w:tc>
          <w:tcPr>
            <w:tcW w:w="739" w:type="dxa"/>
            <w:tcBorders>
              <w:top w:val="nil"/>
              <w:left w:val="nil"/>
              <w:right w:val="nil"/>
            </w:tcBorders>
            <w:shd w:val="clear" w:color="000000" w:fill="FFFFFF"/>
            <w:noWrap/>
            <w:vAlign w:val="center"/>
            <w:hideMark/>
          </w:tcPr>
          <w:p w14:paraId="20D50626"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2026</w:t>
            </w:r>
          </w:p>
        </w:tc>
        <w:tc>
          <w:tcPr>
            <w:tcW w:w="902" w:type="dxa"/>
            <w:tcBorders>
              <w:top w:val="nil"/>
              <w:left w:val="nil"/>
              <w:right w:val="nil"/>
            </w:tcBorders>
            <w:shd w:val="clear" w:color="000000" w:fill="FFFFFF"/>
            <w:noWrap/>
            <w:vAlign w:val="center"/>
            <w:hideMark/>
          </w:tcPr>
          <w:p w14:paraId="2759A9FC"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2027</w:t>
            </w:r>
          </w:p>
        </w:tc>
        <w:tc>
          <w:tcPr>
            <w:tcW w:w="902" w:type="dxa"/>
            <w:tcBorders>
              <w:top w:val="nil"/>
              <w:left w:val="nil"/>
              <w:right w:val="nil"/>
            </w:tcBorders>
            <w:shd w:val="clear" w:color="000000" w:fill="FFFFFF"/>
            <w:noWrap/>
            <w:vAlign w:val="center"/>
            <w:hideMark/>
          </w:tcPr>
          <w:p w14:paraId="35DAFBA5"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2028</w:t>
            </w:r>
          </w:p>
        </w:tc>
        <w:tc>
          <w:tcPr>
            <w:tcW w:w="865" w:type="dxa"/>
            <w:tcBorders>
              <w:top w:val="nil"/>
              <w:left w:val="nil"/>
              <w:right w:val="nil"/>
            </w:tcBorders>
            <w:shd w:val="clear" w:color="000000" w:fill="F2F2F2"/>
            <w:vAlign w:val="center"/>
            <w:hideMark/>
          </w:tcPr>
          <w:p w14:paraId="2CF4AD47"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2025</w:t>
            </w:r>
          </w:p>
        </w:tc>
        <w:tc>
          <w:tcPr>
            <w:tcW w:w="880" w:type="dxa"/>
            <w:tcBorders>
              <w:top w:val="nil"/>
              <w:left w:val="nil"/>
              <w:right w:val="nil"/>
            </w:tcBorders>
            <w:shd w:val="clear" w:color="000000" w:fill="F2F2F2"/>
            <w:vAlign w:val="center"/>
            <w:hideMark/>
          </w:tcPr>
          <w:p w14:paraId="41A84972"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2026</w:t>
            </w:r>
          </w:p>
        </w:tc>
        <w:tc>
          <w:tcPr>
            <w:tcW w:w="880" w:type="dxa"/>
            <w:tcBorders>
              <w:top w:val="nil"/>
              <w:left w:val="nil"/>
              <w:right w:val="nil"/>
            </w:tcBorders>
            <w:shd w:val="clear" w:color="000000" w:fill="F2F2F2"/>
            <w:vAlign w:val="center"/>
            <w:hideMark/>
          </w:tcPr>
          <w:p w14:paraId="70166D48"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2027</w:t>
            </w:r>
          </w:p>
        </w:tc>
        <w:tc>
          <w:tcPr>
            <w:tcW w:w="880" w:type="dxa"/>
            <w:tcBorders>
              <w:top w:val="nil"/>
              <w:left w:val="nil"/>
              <w:right w:val="nil"/>
            </w:tcBorders>
            <w:shd w:val="clear" w:color="000000" w:fill="F2F2F2"/>
            <w:vAlign w:val="center"/>
            <w:hideMark/>
          </w:tcPr>
          <w:p w14:paraId="276B5F50"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2028</w:t>
            </w:r>
          </w:p>
        </w:tc>
      </w:tr>
      <w:tr w:rsidR="005749EE" w:rsidRPr="005749EE" w14:paraId="38C275D5" w14:textId="77777777" w:rsidTr="005749EE">
        <w:trPr>
          <w:trHeight w:val="323"/>
          <w:tblHeader/>
        </w:trPr>
        <w:tc>
          <w:tcPr>
            <w:tcW w:w="2977" w:type="dxa"/>
            <w:vMerge/>
            <w:tcBorders>
              <w:top w:val="single" w:sz="4" w:space="0" w:color="595959"/>
              <w:left w:val="nil"/>
              <w:bottom w:val="single" w:sz="4" w:space="0" w:color="595959"/>
              <w:right w:val="nil"/>
            </w:tcBorders>
            <w:vAlign w:val="center"/>
            <w:hideMark/>
          </w:tcPr>
          <w:p w14:paraId="3C4D05E2" w14:textId="77777777" w:rsidR="005749EE" w:rsidRPr="005749EE" w:rsidRDefault="005749EE" w:rsidP="005749EE">
            <w:pPr>
              <w:spacing w:after="0"/>
              <w:jc w:val="left"/>
              <w:rPr>
                <w:rFonts w:eastAsia="Times New Roman" w:cs="Times New Roman"/>
                <w:b/>
                <w:bCs/>
                <w:sz w:val="16"/>
                <w:szCs w:val="16"/>
              </w:rPr>
            </w:pPr>
          </w:p>
        </w:tc>
        <w:tc>
          <w:tcPr>
            <w:tcW w:w="957" w:type="dxa"/>
            <w:tcBorders>
              <w:top w:val="nil"/>
              <w:left w:val="nil"/>
              <w:bottom w:val="single" w:sz="4" w:space="0" w:color="auto"/>
              <w:right w:val="nil"/>
            </w:tcBorders>
            <w:shd w:val="clear" w:color="000000" w:fill="FFFFFF"/>
            <w:noWrap/>
            <w:vAlign w:val="center"/>
            <w:hideMark/>
          </w:tcPr>
          <w:p w14:paraId="71E78B56"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Програма</w:t>
            </w:r>
          </w:p>
        </w:tc>
        <w:tc>
          <w:tcPr>
            <w:tcW w:w="739" w:type="dxa"/>
            <w:tcBorders>
              <w:top w:val="nil"/>
              <w:left w:val="nil"/>
              <w:bottom w:val="single" w:sz="4" w:space="0" w:color="auto"/>
              <w:right w:val="nil"/>
            </w:tcBorders>
            <w:shd w:val="clear" w:color="000000" w:fill="FFFFFF"/>
            <w:noWrap/>
            <w:vAlign w:val="center"/>
            <w:hideMark/>
          </w:tcPr>
          <w:p w14:paraId="5AD95315"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Проект</w:t>
            </w:r>
          </w:p>
        </w:tc>
        <w:tc>
          <w:tcPr>
            <w:tcW w:w="902" w:type="dxa"/>
            <w:tcBorders>
              <w:top w:val="nil"/>
              <w:left w:val="nil"/>
              <w:bottom w:val="single" w:sz="4" w:space="0" w:color="auto"/>
              <w:right w:val="nil"/>
            </w:tcBorders>
            <w:shd w:val="clear" w:color="000000" w:fill="FFFFFF"/>
            <w:noWrap/>
            <w:vAlign w:val="center"/>
            <w:hideMark/>
          </w:tcPr>
          <w:p w14:paraId="5E553BBF"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Прогноза</w:t>
            </w:r>
          </w:p>
        </w:tc>
        <w:tc>
          <w:tcPr>
            <w:tcW w:w="902" w:type="dxa"/>
            <w:tcBorders>
              <w:top w:val="nil"/>
              <w:left w:val="nil"/>
              <w:bottom w:val="single" w:sz="4" w:space="0" w:color="auto"/>
              <w:right w:val="nil"/>
            </w:tcBorders>
            <w:shd w:val="clear" w:color="000000" w:fill="FFFFFF"/>
            <w:noWrap/>
            <w:vAlign w:val="center"/>
            <w:hideMark/>
          </w:tcPr>
          <w:p w14:paraId="06E1F68A"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Прогноза</w:t>
            </w:r>
          </w:p>
        </w:tc>
        <w:tc>
          <w:tcPr>
            <w:tcW w:w="865" w:type="dxa"/>
            <w:tcBorders>
              <w:top w:val="nil"/>
              <w:left w:val="nil"/>
              <w:bottom w:val="single" w:sz="4" w:space="0" w:color="auto"/>
              <w:right w:val="nil"/>
            </w:tcBorders>
            <w:shd w:val="clear" w:color="000000" w:fill="F2F2F2"/>
            <w:vAlign w:val="center"/>
            <w:hideMark/>
          </w:tcPr>
          <w:p w14:paraId="25BBD20B"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Програма</w:t>
            </w:r>
          </w:p>
        </w:tc>
        <w:tc>
          <w:tcPr>
            <w:tcW w:w="880" w:type="dxa"/>
            <w:tcBorders>
              <w:top w:val="nil"/>
              <w:left w:val="nil"/>
              <w:bottom w:val="single" w:sz="4" w:space="0" w:color="auto"/>
              <w:right w:val="nil"/>
            </w:tcBorders>
            <w:shd w:val="clear" w:color="000000" w:fill="F2F2F2"/>
            <w:vAlign w:val="center"/>
            <w:hideMark/>
          </w:tcPr>
          <w:p w14:paraId="3175B588"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Проект</w:t>
            </w:r>
          </w:p>
        </w:tc>
        <w:tc>
          <w:tcPr>
            <w:tcW w:w="880" w:type="dxa"/>
            <w:tcBorders>
              <w:top w:val="nil"/>
              <w:left w:val="nil"/>
              <w:bottom w:val="single" w:sz="4" w:space="0" w:color="auto"/>
              <w:right w:val="nil"/>
            </w:tcBorders>
            <w:shd w:val="clear" w:color="000000" w:fill="F2F2F2"/>
            <w:vAlign w:val="center"/>
            <w:hideMark/>
          </w:tcPr>
          <w:p w14:paraId="0BC1EB77"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Прогноза</w:t>
            </w:r>
          </w:p>
        </w:tc>
        <w:tc>
          <w:tcPr>
            <w:tcW w:w="880" w:type="dxa"/>
            <w:tcBorders>
              <w:top w:val="nil"/>
              <w:left w:val="nil"/>
              <w:bottom w:val="single" w:sz="4" w:space="0" w:color="auto"/>
              <w:right w:val="nil"/>
            </w:tcBorders>
            <w:shd w:val="clear" w:color="000000" w:fill="F2F2F2"/>
            <w:vAlign w:val="center"/>
            <w:hideMark/>
          </w:tcPr>
          <w:p w14:paraId="2972EB87" w14:textId="77777777" w:rsidR="005749EE" w:rsidRPr="005749EE" w:rsidRDefault="005749EE" w:rsidP="005749EE">
            <w:pPr>
              <w:spacing w:after="0"/>
              <w:jc w:val="center"/>
              <w:rPr>
                <w:rFonts w:eastAsia="Times New Roman" w:cs="Times New Roman"/>
                <w:b/>
                <w:bCs/>
                <w:sz w:val="16"/>
                <w:szCs w:val="16"/>
              </w:rPr>
            </w:pPr>
            <w:r w:rsidRPr="005749EE">
              <w:rPr>
                <w:rFonts w:eastAsia="Times New Roman" w:cs="Times New Roman"/>
                <w:b/>
                <w:bCs/>
                <w:sz w:val="16"/>
                <w:szCs w:val="16"/>
              </w:rPr>
              <w:t>Прогноза</w:t>
            </w:r>
          </w:p>
        </w:tc>
      </w:tr>
      <w:tr w:rsidR="005749EE" w:rsidRPr="005749EE" w14:paraId="11832EE8" w14:textId="77777777" w:rsidTr="005749EE">
        <w:trPr>
          <w:trHeight w:val="150"/>
        </w:trPr>
        <w:tc>
          <w:tcPr>
            <w:tcW w:w="2977" w:type="dxa"/>
            <w:tcBorders>
              <w:top w:val="nil"/>
              <w:left w:val="nil"/>
              <w:bottom w:val="nil"/>
              <w:right w:val="nil"/>
            </w:tcBorders>
            <w:shd w:val="clear" w:color="000000" w:fill="FFFFFF"/>
            <w:vAlign w:val="center"/>
            <w:hideMark/>
          </w:tcPr>
          <w:p w14:paraId="172F336A"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 </w:t>
            </w:r>
          </w:p>
        </w:tc>
        <w:tc>
          <w:tcPr>
            <w:tcW w:w="957" w:type="dxa"/>
            <w:tcBorders>
              <w:top w:val="single" w:sz="4" w:space="0" w:color="auto"/>
              <w:left w:val="nil"/>
              <w:bottom w:val="nil"/>
              <w:right w:val="nil"/>
            </w:tcBorders>
            <w:shd w:val="clear" w:color="000000" w:fill="FFFFFF"/>
            <w:noWrap/>
            <w:vAlign w:val="center"/>
            <w:hideMark/>
          </w:tcPr>
          <w:p w14:paraId="08D4247B" w14:textId="77777777" w:rsidR="005749EE" w:rsidRPr="005749EE" w:rsidRDefault="005749EE" w:rsidP="005749EE">
            <w:pPr>
              <w:spacing w:after="0"/>
              <w:jc w:val="right"/>
              <w:rPr>
                <w:rFonts w:eastAsia="Times New Roman" w:cs="Times New Roman"/>
                <w:b/>
                <w:bCs/>
                <w:color w:val="FF0000"/>
                <w:sz w:val="16"/>
                <w:szCs w:val="16"/>
              </w:rPr>
            </w:pPr>
            <w:r w:rsidRPr="005749EE">
              <w:rPr>
                <w:rFonts w:eastAsia="Times New Roman" w:cs="Times New Roman"/>
                <w:b/>
                <w:bCs/>
                <w:color w:val="FF0000"/>
                <w:sz w:val="16"/>
                <w:szCs w:val="16"/>
              </w:rPr>
              <w:t> </w:t>
            </w:r>
          </w:p>
        </w:tc>
        <w:tc>
          <w:tcPr>
            <w:tcW w:w="739" w:type="dxa"/>
            <w:tcBorders>
              <w:top w:val="single" w:sz="4" w:space="0" w:color="auto"/>
              <w:left w:val="nil"/>
              <w:bottom w:val="nil"/>
              <w:right w:val="nil"/>
            </w:tcBorders>
            <w:shd w:val="clear" w:color="000000" w:fill="FFFFFF"/>
            <w:noWrap/>
            <w:vAlign w:val="center"/>
            <w:hideMark/>
          </w:tcPr>
          <w:p w14:paraId="4D883449"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single" w:sz="4" w:space="0" w:color="auto"/>
              <w:left w:val="nil"/>
              <w:bottom w:val="nil"/>
              <w:right w:val="nil"/>
            </w:tcBorders>
            <w:shd w:val="clear" w:color="000000" w:fill="FFFFFF"/>
            <w:noWrap/>
            <w:vAlign w:val="center"/>
            <w:hideMark/>
          </w:tcPr>
          <w:p w14:paraId="7D4AB7CC"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single" w:sz="4" w:space="0" w:color="auto"/>
              <w:left w:val="nil"/>
              <w:bottom w:val="nil"/>
              <w:right w:val="nil"/>
            </w:tcBorders>
            <w:shd w:val="clear" w:color="000000" w:fill="FFFFFF"/>
            <w:noWrap/>
            <w:vAlign w:val="center"/>
            <w:hideMark/>
          </w:tcPr>
          <w:p w14:paraId="367A00CD"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65" w:type="dxa"/>
            <w:tcBorders>
              <w:top w:val="single" w:sz="4" w:space="0" w:color="auto"/>
              <w:left w:val="nil"/>
              <w:bottom w:val="nil"/>
              <w:right w:val="nil"/>
            </w:tcBorders>
            <w:shd w:val="clear" w:color="000000" w:fill="F2F2F2"/>
            <w:noWrap/>
            <w:vAlign w:val="center"/>
            <w:hideMark/>
          </w:tcPr>
          <w:p w14:paraId="017D7D56"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 </w:t>
            </w:r>
          </w:p>
        </w:tc>
        <w:tc>
          <w:tcPr>
            <w:tcW w:w="880" w:type="dxa"/>
            <w:tcBorders>
              <w:top w:val="single" w:sz="4" w:space="0" w:color="auto"/>
              <w:left w:val="nil"/>
              <w:bottom w:val="nil"/>
              <w:right w:val="nil"/>
            </w:tcBorders>
            <w:shd w:val="clear" w:color="000000" w:fill="F2F2F2"/>
            <w:noWrap/>
            <w:vAlign w:val="center"/>
            <w:hideMark/>
          </w:tcPr>
          <w:p w14:paraId="463DFCF2"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80" w:type="dxa"/>
            <w:tcBorders>
              <w:top w:val="single" w:sz="4" w:space="0" w:color="auto"/>
              <w:left w:val="nil"/>
              <w:bottom w:val="nil"/>
              <w:right w:val="nil"/>
            </w:tcBorders>
            <w:shd w:val="clear" w:color="000000" w:fill="F2F2F2"/>
            <w:noWrap/>
            <w:vAlign w:val="center"/>
            <w:hideMark/>
          </w:tcPr>
          <w:p w14:paraId="531DAC4D"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80" w:type="dxa"/>
            <w:tcBorders>
              <w:top w:val="single" w:sz="4" w:space="0" w:color="auto"/>
              <w:left w:val="nil"/>
              <w:bottom w:val="nil"/>
              <w:right w:val="nil"/>
            </w:tcBorders>
            <w:shd w:val="clear" w:color="000000" w:fill="F2F2F2"/>
            <w:noWrap/>
            <w:vAlign w:val="center"/>
            <w:hideMark/>
          </w:tcPr>
          <w:p w14:paraId="3467E9DA"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r>
      <w:tr w:rsidR="005749EE" w:rsidRPr="005749EE" w14:paraId="37FCE0AD" w14:textId="77777777" w:rsidTr="005749EE">
        <w:trPr>
          <w:trHeight w:val="240"/>
        </w:trPr>
        <w:tc>
          <w:tcPr>
            <w:tcW w:w="2977" w:type="dxa"/>
            <w:tcBorders>
              <w:top w:val="nil"/>
              <w:left w:val="nil"/>
              <w:bottom w:val="nil"/>
              <w:right w:val="nil"/>
            </w:tcBorders>
            <w:shd w:val="clear" w:color="000000" w:fill="FFFFFF"/>
            <w:vAlign w:val="center"/>
            <w:hideMark/>
          </w:tcPr>
          <w:p w14:paraId="70AB4488"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 xml:space="preserve">Общи държавни служби </w:t>
            </w:r>
          </w:p>
        </w:tc>
        <w:tc>
          <w:tcPr>
            <w:tcW w:w="957" w:type="dxa"/>
            <w:tcBorders>
              <w:top w:val="nil"/>
              <w:left w:val="nil"/>
              <w:bottom w:val="nil"/>
              <w:right w:val="nil"/>
            </w:tcBorders>
            <w:shd w:val="clear" w:color="000000" w:fill="FFFFFF"/>
            <w:noWrap/>
            <w:vAlign w:val="bottom"/>
            <w:hideMark/>
          </w:tcPr>
          <w:p w14:paraId="757115D5"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2 515,8</w:t>
            </w:r>
          </w:p>
        </w:tc>
        <w:tc>
          <w:tcPr>
            <w:tcW w:w="739" w:type="dxa"/>
            <w:tcBorders>
              <w:top w:val="nil"/>
              <w:left w:val="nil"/>
              <w:bottom w:val="nil"/>
              <w:right w:val="nil"/>
            </w:tcBorders>
            <w:shd w:val="clear" w:color="000000" w:fill="FFFFFF"/>
            <w:noWrap/>
            <w:vAlign w:val="bottom"/>
            <w:hideMark/>
          </w:tcPr>
          <w:p w14:paraId="0E5F731C"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2 738,0</w:t>
            </w:r>
          </w:p>
        </w:tc>
        <w:tc>
          <w:tcPr>
            <w:tcW w:w="902" w:type="dxa"/>
            <w:tcBorders>
              <w:top w:val="nil"/>
              <w:left w:val="nil"/>
              <w:bottom w:val="nil"/>
              <w:right w:val="nil"/>
            </w:tcBorders>
            <w:shd w:val="clear" w:color="000000" w:fill="FFFFFF"/>
            <w:noWrap/>
            <w:vAlign w:val="bottom"/>
            <w:hideMark/>
          </w:tcPr>
          <w:p w14:paraId="7ECFADD8"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2 734,3</w:t>
            </w:r>
          </w:p>
        </w:tc>
        <w:tc>
          <w:tcPr>
            <w:tcW w:w="902" w:type="dxa"/>
            <w:tcBorders>
              <w:top w:val="nil"/>
              <w:left w:val="nil"/>
              <w:bottom w:val="nil"/>
              <w:right w:val="nil"/>
            </w:tcBorders>
            <w:shd w:val="clear" w:color="000000" w:fill="FFFFFF"/>
            <w:noWrap/>
            <w:vAlign w:val="bottom"/>
            <w:hideMark/>
          </w:tcPr>
          <w:p w14:paraId="004D2BE9"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2 677,3</w:t>
            </w:r>
          </w:p>
        </w:tc>
        <w:tc>
          <w:tcPr>
            <w:tcW w:w="865" w:type="dxa"/>
            <w:tcBorders>
              <w:top w:val="nil"/>
              <w:left w:val="nil"/>
              <w:bottom w:val="nil"/>
              <w:right w:val="nil"/>
            </w:tcBorders>
            <w:shd w:val="clear" w:color="000000" w:fill="F2F2F2"/>
            <w:noWrap/>
            <w:vAlign w:val="bottom"/>
            <w:hideMark/>
          </w:tcPr>
          <w:p w14:paraId="2B9A479D"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2,3%</w:t>
            </w:r>
          </w:p>
        </w:tc>
        <w:tc>
          <w:tcPr>
            <w:tcW w:w="880" w:type="dxa"/>
            <w:tcBorders>
              <w:top w:val="nil"/>
              <w:left w:val="nil"/>
              <w:bottom w:val="nil"/>
              <w:right w:val="nil"/>
            </w:tcBorders>
            <w:shd w:val="clear" w:color="000000" w:fill="F2F2F2"/>
            <w:noWrap/>
            <w:vAlign w:val="bottom"/>
            <w:hideMark/>
          </w:tcPr>
          <w:p w14:paraId="58BA0DD4"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2,3%</w:t>
            </w:r>
          </w:p>
        </w:tc>
        <w:tc>
          <w:tcPr>
            <w:tcW w:w="880" w:type="dxa"/>
            <w:tcBorders>
              <w:top w:val="nil"/>
              <w:left w:val="nil"/>
              <w:bottom w:val="nil"/>
              <w:right w:val="nil"/>
            </w:tcBorders>
            <w:shd w:val="clear" w:color="000000" w:fill="F2F2F2"/>
            <w:noWrap/>
            <w:vAlign w:val="bottom"/>
            <w:hideMark/>
          </w:tcPr>
          <w:p w14:paraId="74B1644A"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2,2%</w:t>
            </w:r>
          </w:p>
        </w:tc>
        <w:tc>
          <w:tcPr>
            <w:tcW w:w="880" w:type="dxa"/>
            <w:tcBorders>
              <w:top w:val="nil"/>
              <w:left w:val="nil"/>
              <w:bottom w:val="nil"/>
              <w:right w:val="nil"/>
            </w:tcBorders>
            <w:shd w:val="clear" w:color="000000" w:fill="F2F2F2"/>
            <w:noWrap/>
            <w:vAlign w:val="bottom"/>
            <w:hideMark/>
          </w:tcPr>
          <w:p w14:paraId="546168C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2,0%</w:t>
            </w:r>
          </w:p>
        </w:tc>
      </w:tr>
      <w:tr w:rsidR="005749EE" w:rsidRPr="005749EE" w14:paraId="166C63C7" w14:textId="77777777" w:rsidTr="005749EE">
        <w:trPr>
          <w:trHeight w:val="240"/>
        </w:trPr>
        <w:tc>
          <w:tcPr>
            <w:tcW w:w="2977" w:type="dxa"/>
            <w:tcBorders>
              <w:top w:val="nil"/>
              <w:left w:val="nil"/>
              <w:bottom w:val="nil"/>
              <w:right w:val="nil"/>
            </w:tcBorders>
            <w:shd w:val="clear" w:color="000000" w:fill="FFFFFF"/>
            <w:noWrap/>
            <w:vAlign w:val="bottom"/>
            <w:hideMark/>
          </w:tcPr>
          <w:p w14:paraId="7B440C89" w14:textId="77777777" w:rsidR="005749EE" w:rsidRPr="005749EE" w:rsidRDefault="005749EE" w:rsidP="005749EE">
            <w:pPr>
              <w:spacing w:after="0"/>
              <w:jc w:val="left"/>
              <w:rPr>
                <w:rFonts w:eastAsia="Times New Roman" w:cs="Times New Roman"/>
                <w:sz w:val="16"/>
                <w:szCs w:val="16"/>
              </w:rPr>
            </w:pPr>
            <w:r w:rsidRPr="005749EE">
              <w:rPr>
                <w:rFonts w:eastAsia="Times New Roman" w:cs="Times New Roman"/>
                <w:sz w:val="16"/>
                <w:szCs w:val="16"/>
              </w:rPr>
              <w:t xml:space="preserve"> - изпълнителни и законодателни органи</w:t>
            </w:r>
          </w:p>
        </w:tc>
        <w:tc>
          <w:tcPr>
            <w:tcW w:w="957" w:type="dxa"/>
            <w:tcBorders>
              <w:top w:val="nil"/>
              <w:left w:val="nil"/>
              <w:bottom w:val="nil"/>
              <w:right w:val="nil"/>
            </w:tcBorders>
            <w:shd w:val="clear" w:color="000000" w:fill="FFFFFF"/>
            <w:noWrap/>
            <w:vAlign w:val="bottom"/>
            <w:hideMark/>
          </w:tcPr>
          <w:p w14:paraId="7CA1CCBE"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1 963,1</w:t>
            </w:r>
          </w:p>
        </w:tc>
        <w:tc>
          <w:tcPr>
            <w:tcW w:w="739" w:type="dxa"/>
            <w:tcBorders>
              <w:top w:val="nil"/>
              <w:left w:val="nil"/>
              <w:bottom w:val="nil"/>
              <w:right w:val="nil"/>
            </w:tcBorders>
            <w:shd w:val="clear" w:color="000000" w:fill="FFFFFF"/>
            <w:noWrap/>
            <w:vAlign w:val="bottom"/>
            <w:hideMark/>
          </w:tcPr>
          <w:p w14:paraId="6638814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2 059,7</w:t>
            </w:r>
          </w:p>
        </w:tc>
        <w:tc>
          <w:tcPr>
            <w:tcW w:w="902" w:type="dxa"/>
            <w:tcBorders>
              <w:top w:val="nil"/>
              <w:left w:val="nil"/>
              <w:bottom w:val="nil"/>
              <w:right w:val="nil"/>
            </w:tcBorders>
            <w:shd w:val="clear" w:color="000000" w:fill="FFFFFF"/>
            <w:noWrap/>
            <w:vAlign w:val="bottom"/>
            <w:hideMark/>
          </w:tcPr>
          <w:p w14:paraId="20C5063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2 112,5</w:t>
            </w:r>
          </w:p>
        </w:tc>
        <w:tc>
          <w:tcPr>
            <w:tcW w:w="902" w:type="dxa"/>
            <w:tcBorders>
              <w:top w:val="nil"/>
              <w:left w:val="nil"/>
              <w:bottom w:val="nil"/>
              <w:right w:val="nil"/>
            </w:tcBorders>
            <w:shd w:val="clear" w:color="000000" w:fill="FFFFFF"/>
            <w:noWrap/>
            <w:vAlign w:val="bottom"/>
            <w:hideMark/>
          </w:tcPr>
          <w:p w14:paraId="418C625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2 049,3</w:t>
            </w:r>
          </w:p>
        </w:tc>
        <w:tc>
          <w:tcPr>
            <w:tcW w:w="865" w:type="dxa"/>
            <w:tcBorders>
              <w:top w:val="nil"/>
              <w:left w:val="nil"/>
              <w:bottom w:val="nil"/>
              <w:right w:val="nil"/>
            </w:tcBorders>
            <w:shd w:val="clear" w:color="000000" w:fill="F2F2F2"/>
            <w:noWrap/>
            <w:vAlign w:val="bottom"/>
            <w:hideMark/>
          </w:tcPr>
          <w:p w14:paraId="41A689B0"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1,8%</w:t>
            </w:r>
          </w:p>
        </w:tc>
        <w:tc>
          <w:tcPr>
            <w:tcW w:w="880" w:type="dxa"/>
            <w:tcBorders>
              <w:top w:val="nil"/>
              <w:left w:val="nil"/>
              <w:bottom w:val="nil"/>
              <w:right w:val="nil"/>
            </w:tcBorders>
            <w:shd w:val="clear" w:color="000000" w:fill="F2F2F2"/>
            <w:noWrap/>
            <w:vAlign w:val="bottom"/>
            <w:hideMark/>
          </w:tcPr>
          <w:p w14:paraId="2CFD011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1,7%</w:t>
            </w:r>
          </w:p>
        </w:tc>
        <w:tc>
          <w:tcPr>
            <w:tcW w:w="880" w:type="dxa"/>
            <w:tcBorders>
              <w:top w:val="nil"/>
              <w:left w:val="nil"/>
              <w:bottom w:val="nil"/>
              <w:right w:val="nil"/>
            </w:tcBorders>
            <w:shd w:val="clear" w:color="000000" w:fill="F2F2F2"/>
            <w:noWrap/>
            <w:vAlign w:val="bottom"/>
            <w:hideMark/>
          </w:tcPr>
          <w:p w14:paraId="012005F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1,7%</w:t>
            </w:r>
          </w:p>
        </w:tc>
        <w:tc>
          <w:tcPr>
            <w:tcW w:w="880" w:type="dxa"/>
            <w:tcBorders>
              <w:top w:val="nil"/>
              <w:left w:val="nil"/>
              <w:bottom w:val="nil"/>
              <w:right w:val="nil"/>
            </w:tcBorders>
            <w:shd w:val="clear" w:color="000000" w:fill="F2F2F2"/>
            <w:noWrap/>
            <w:vAlign w:val="bottom"/>
            <w:hideMark/>
          </w:tcPr>
          <w:p w14:paraId="449154B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1,5%</w:t>
            </w:r>
          </w:p>
        </w:tc>
      </w:tr>
      <w:tr w:rsidR="005749EE" w:rsidRPr="005749EE" w14:paraId="2E5B3528" w14:textId="77777777" w:rsidTr="005749EE">
        <w:trPr>
          <w:trHeight w:val="240"/>
        </w:trPr>
        <w:tc>
          <w:tcPr>
            <w:tcW w:w="2977" w:type="dxa"/>
            <w:tcBorders>
              <w:top w:val="nil"/>
              <w:left w:val="nil"/>
              <w:bottom w:val="nil"/>
              <w:right w:val="nil"/>
            </w:tcBorders>
            <w:shd w:val="clear" w:color="000000" w:fill="FFFFFF"/>
            <w:vAlign w:val="center"/>
            <w:hideMark/>
          </w:tcPr>
          <w:p w14:paraId="573C8011"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общи служби</w:t>
            </w:r>
          </w:p>
        </w:tc>
        <w:tc>
          <w:tcPr>
            <w:tcW w:w="957" w:type="dxa"/>
            <w:tcBorders>
              <w:top w:val="nil"/>
              <w:left w:val="nil"/>
              <w:bottom w:val="nil"/>
              <w:right w:val="nil"/>
            </w:tcBorders>
            <w:shd w:val="clear" w:color="000000" w:fill="FFFFFF"/>
            <w:noWrap/>
            <w:vAlign w:val="bottom"/>
            <w:hideMark/>
          </w:tcPr>
          <w:p w14:paraId="4709DD8C"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115,0</w:t>
            </w:r>
          </w:p>
        </w:tc>
        <w:tc>
          <w:tcPr>
            <w:tcW w:w="739" w:type="dxa"/>
            <w:tcBorders>
              <w:top w:val="nil"/>
              <w:left w:val="nil"/>
              <w:bottom w:val="nil"/>
              <w:right w:val="nil"/>
            </w:tcBorders>
            <w:shd w:val="clear" w:color="000000" w:fill="FFFFFF"/>
            <w:noWrap/>
            <w:vAlign w:val="bottom"/>
            <w:hideMark/>
          </w:tcPr>
          <w:p w14:paraId="608527B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115,6</w:t>
            </w:r>
          </w:p>
        </w:tc>
        <w:tc>
          <w:tcPr>
            <w:tcW w:w="902" w:type="dxa"/>
            <w:tcBorders>
              <w:top w:val="nil"/>
              <w:left w:val="nil"/>
              <w:bottom w:val="nil"/>
              <w:right w:val="nil"/>
            </w:tcBorders>
            <w:shd w:val="clear" w:color="000000" w:fill="FFFFFF"/>
            <w:noWrap/>
            <w:vAlign w:val="bottom"/>
            <w:hideMark/>
          </w:tcPr>
          <w:p w14:paraId="6F525C5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112,5</w:t>
            </w:r>
          </w:p>
        </w:tc>
        <w:tc>
          <w:tcPr>
            <w:tcW w:w="902" w:type="dxa"/>
            <w:tcBorders>
              <w:top w:val="nil"/>
              <w:left w:val="nil"/>
              <w:bottom w:val="nil"/>
              <w:right w:val="nil"/>
            </w:tcBorders>
            <w:shd w:val="clear" w:color="000000" w:fill="FFFFFF"/>
            <w:noWrap/>
            <w:vAlign w:val="bottom"/>
            <w:hideMark/>
          </w:tcPr>
          <w:p w14:paraId="45AE72C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116,1</w:t>
            </w:r>
          </w:p>
        </w:tc>
        <w:tc>
          <w:tcPr>
            <w:tcW w:w="865" w:type="dxa"/>
            <w:tcBorders>
              <w:top w:val="nil"/>
              <w:left w:val="nil"/>
              <w:bottom w:val="nil"/>
              <w:right w:val="nil"/>
            </w:tcBorders>
            <w:shd w:val="clear" w:color="000000" w:fill="F2F2F2"/>
            <w:noWrap/>
            <w:vAlign w:val="bottom"/>
            <w:hideMark/>
          </w:tcPr>
          <w:p w14:paraId="5075A357"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0,1%</w:t>
            </w:r>
          </w:p>
        </w:tc>
        <w:tc>
          <w:tcPr>
            <w:tcW w:w="880" w:type="dxa"/>
            <w:tcBorders>
              <w:top w:val="nil"/>
              <w:left w:val="nil"/>
              <w:bottom w:val="nil"/>
              <w:right w:val="nil"/>
            </w:tcBorders>
            <w:shd w:val="clear" w:color="000000" w:fill="F2F2F2"/>
            <w:noWrap/>
            <w:vAlign w:val="bottom"/>
            <w:hideMark/>
          </w:tcPr>
          <w:p w14:paraId="4C082E2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c>
          <w:tcPr>
            <w:tcW w:w="880" w:type="dxa"/>
            <w:tcBorders>
              <w:top w:val="nil"/>
              <w:left w:val="nil"/>
              <w:bottom w:val="nil"/>
              <w:right w:val="nil"/>
            </w:tcBorders>
            <w:shd w:val="clear" w:color="000000" w:fill="F2F2F2"/>
            <w:noWrap/>
            <w:vAlign w:val="bottom"/>
            <w:hideMark/>
          </w:tcPr>
          <w:p w14:paraId="70DF571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c>
          <w:tcPr>
            <w:tcW w:w="880" w:type="dxa"/>
            <w:tcBorders>
              <w:top w:val="nil"/>
              <w:left w:val="nil"/>
              <w:bottom w:val="nil"/>
              <w:right w:val="nil"/>
            </w:tcBorders>
            <w:shd w:val="clear" w:color="000000" w:fill="F2F2F2"/>
            <w:noWrap/>
            <w:vAlign w:val="bottom"/>
            <w:hideMark/>
          </w:tcPr>
          <w:p w14:paraId="431C43A0"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r>
      <w:tr w:rsidR="005749EE" w:rsidRPr="005749EE" w14:paraId="60ED5196" w14:textId="77777777" w:rsidTr="005749EE">
        <w:trPr>
          <w:trHeight w:val="240"/>
        </w:trPr>
        <w:tc>
          <w:tcPr>
            <w:tcW w:w="2977" w:type="dxa"/>
            <w:tcBorders>
              <w:top w:val="nil"/>
              <w:left w:val="nil"/>
              <w:bottom w:val="single" w:sz="4" w:space="0" w:color="auto"/>
              <w:right w:val="nil"/>
            </w:tcBorders>
            <w:shd w:val="clear" w:color="000000" w:fill="FFFFFF"/>
            <w:vAlign w:val="center"/>
            <w:hideMark/>
          </w:tcPr>
          <w:p w14:paraId="7C1305D0"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наука</w:t>
            </w:r>
          </w:p>
        </w:tc>
        <w:tc>
          <w:tcPr>
            <w:tcW w:w="957" w:type="dxa"/>
            <w:tcBorders>
              <w:top w:val="nil"/>
              <w:left w:val="nil"/>
              <w:bottom w:val="single" w:sz="4" w:space="0" w:color="auto"/>
              <w:right w:val="nil"/>
            </w:tcBorders>
            <w:shd w:val="clear" w:color="000000" w:fill="FFFFFF"/>
            <w:noWrap/>
            <w:vAlign w:val="bottom"/>
            <w:hideMark/>
          </w:tcPr>
          <w:p w14:paraId="00D2E4F1"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437,6</w:t>
            </w:r>
          </w:p>
        </w:tc>
        <w:tc>
          <w:tcPr>
            <w:tcW w:w="739" w:type="dxa"/>
            <w:tcBorders>
              <w:top w:val="nil"/>
              <w:left w:val="nil"/>
              <w:bottom w:val="single" w:sz="4" w:space="0" w:color="auto"/>
              <w:right w:val="nil"/>
            </w:tcBorders>
            <w:shd w:val="clear" w:color="000000" w:fill="FFFFFF"/>
            <w:noWrap/>
            <w:vAlign w:val="bottom"/>
            <w:hideMark/>
          </w:tcPr>
          <w:p w14:paraId="35A5A61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562,7</w:t>
            </w:r>
          </w:p>
        </w:tc>
        <w:tc>
          <w:tcPr>
            <w:tcW w:w="902" w:type="dxa"/>
            <w:tcBorders>
              <w:top w:val="nil"/>
              <w:left w:val="nil"/>
              <w:bottom w:val="single" w:sz="4" w:space="0" w:color="auto"/>
              <w:right w:val="nil"/>
            </w:tcBorders>
            <w:shd w:val="clear" w:color="000000" w:fill="FFFFFF"/>
            <w:noWrap/>
            <w:vAlign w:val="bottom"/>
            <w:hideMark/>
          </w:tcPr>
          <w:p w14:paraId="2EE10D6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509,2</w:t>
            </w:r>
          </w:p>
        </w:tc>
        <w:tc>
          <w:tcPr>
            <w:tcW w:w="902" w:type="dxa"/>
            <w:tcBorders>
              <w:top w:val="nil"/>
              <w:left w:val="nil"/>
              <w:bottom w:val="single" w:sz="4" w:space="0" w:color="auto"/>
              <w:right w:val="nil"/>
            </w:tcBorders>
            <w:shd w:val="clear" w:color="000000" w:fill="FFFFFF"/>
            <w:noWrap/>
            <w:vAlign w:val="bottom"/>
            <w:hideMark/>
          </w:tcPr>
          <w:p w14:paraId="0ACC204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512,0</w:t>
            </w:r>
          </w:p>
        </w:tc>
        <w:tc>
          <w:tcPr>
            <w:tcW w:w="865" w:type="dxa"/>
            <w:tcBorders>
              <w:top w:val="nil"/>
              <w:left w:val="nil"/>
              <w:bottom w:val="single" w:sz="4" w:space="0" w:color="auto"/>
              <w:right w:val="nil"/>
            </w:tcBorders>
            <w:shd w:val="clear" w:color="000000" w:fill="F2F2F2"/>
            <w:noWrap/>
            <w:vAlign w:val="bottom"/>
            <w:hideMark/>
          </w:tcPr>
          <w:p w14:paraId="54001BCA"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0,4%</w:t>
            </w:r>
          </w:p>
        </w:tc>
        <w:tc>
          <w:tcPr>
            <w:tcW w:w="880" w:type="dxa"/>
            <w:tcBorders>
              <w:top w:val="nil"/>
              <w:left w:val="nil"/>
              <w:bottom w:val="single" w:sz="4" w:space="0" w:color="auto"/>
              <w:right w:val="nil"/>
            </w:tcBorders>
            <w:shd w:val="clear" w:color="000000" w:fill="F2F2F2"/>
            <w:noWrap/>
            <w:vAlign w:val="bottom"/>
            <w:hideMark/>
          </w:tcPr>
          <w:p w14:paraId="2336EAD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0,5%</w:t>
            </w:r>
          </w:p>
        </w:tc>
        <w:tc>
          <w:tcPr>
            <w:tcW w:w="880" w:type="dxa"/>
            <w:tcBorders>
              <w:top w:val="nil"/>
              <w:left w:val="nil"/>
              <w:bottom w:val="single" w:sz="4" w:space="0" w:color="auto"/>
              <w:right w:val="nil"/>
            </w:tcBorders>
            <w:shd w:val="clear" w:color="000000" w:fill="F2F2F2"/>
            <w:noWrap/>
            <w:vAlign w:val="bottom"/>
            <w:hideMark/>
          </w:tcPr>
          <w:p w14:paraId="0CDC783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0,4%</w:t>
            </w:r>
          </w:p>
        </w:tc>
        <w:tc>
          <w:tcPr>
            <w:tcW w:w="880" w:type="dxa"/>
            <w:tcBorders>
              <w:top w:val="nil"/>
              <w:left w:val="nil"/>
              <w:bottom w:val="single" w:sz="4" w:space="0" w:color="auto"/>
              <w:right w:val="nil"/>
            </w:tcBorders>
            <w:shd w:val="clear" w:color="000000" w:fill="F2F2F2"/>
            <w:noWrap/>
            <w:vAlign w:val="bottom"/>
            <w:hideMark/>
          </w:tcPr>
          <w:p w14:paraId="00FC0F8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0,4%</w:t>
            </w:r>
          </w:p>
        </w:tc>
      </w:tr>
      <w:tr w:rsidR="005749EE" w:rsidRPr="005749EE" w14:paraId="2160984A" w14:textId="77777777" w:rsidTr="005749EE">
        <w:trPr>
          <w:trHeight w:val="90"/>
        </w:trPr>
        <w:tc>
          <w:tcPr>
            <w:tcW w:w="2977" w:type="dxa"/>
            <w:tcBorders>
              <w:top w:val="nil"/>
              <w:left w:val="nil"/>
              <w:bottom w:val="nil"/>
              <w:right w:val="nil"/>
            </w:tcBorders>
            <w:shd w:val="clear" w:color="000000" w:fill="FFFFFF"/>
            <w:vAlign w:val="center"/>
            <w:hideMark/>
          </w:tcPr>
          <w:p w14:paraId="0B5FDEA2"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77ECA472" w14:textId="77777777" w:rsidR="005749EE" w:rsidRPr="005749EE" w:rsidRDefault="005749EE" w:rsidP="005749EE">
            <w:pPr>
              <w:spacing w:after="0"/>
              <w:jc w:val="right"/>
              <w:rPr>
                <w:rFonts w:eastAsia="Times New Roman" w:cs="Times New Roman"/>
                <w:b/>
                <w:bCs/>
                <w:color w:val="FF0000"/>
                <w:sz w:val="16"/>
                <w:szCs w:val="16"/>
              </w:rPr>
            </w:pPr>
            <w:r w:rsidRPr="005749EE">
              <w:rPr>
                <w:rFonts w:eastAsia="Times New Roman" w:cs="Times New Roman"/>
                <w:b/>
                <w:bCs/>
                <w:color w:val="FF0000"/>
                <w:sz w:val="16"/>
                <w:szCs w:val="16"/>
              </w:rPr>
              <w:t> </w:t>
            </w:r>
          </w:p>
        </w:tc>
        <w:tc>
          <w:tcPr>
            <w:tcW w:w="739" w:type="dxa"/>
            <w:tcBorders>
              <w:top w:val="nil"/>
              <w:left w:val="nil"/>
              <w:bottom w:val="nil"/>
              <w:right w:val="nil"/>
            </w:tcBorders>
            <w:shd w:val="clear" w:color="000000" w:fill="FFFFFF"/>
            <w:noWrap/>
            <w:vAlign w:val="bottom"/>
            <w:hideMark/>
          </w:tcPr>
          <w:p w14:paraId="4C6DA11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24C932E4"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55B2184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2C59AE77"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0786C2D5"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57ED1050"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3C97A9F9"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7E74EDBE" w14:textId="77777777" w:rsidTr="005749EE">
        <w:trPr>
          <w:trHeight w:val="240"/>
        </w:trPr>
        <w:tc>
          <w:tcPr>
            <w:tcW w:w="2977" w:type="dxa"/>
            <w:tcBorders>
              <w:top w:val="nil"/>
              <w:left w:val="nil"/>
              <w:bottom w:val="nil"/>
              <w:right w:val="nil"/>
            </w:tcBorders>
            <w:shd w:val="clear" w:color="000000" w:fill="FFFFFF"/>
            <w:vAlign w:val="center"/>
            <w:hideMark/>
          </w:tcPr>
          <w:p w14:paraId="11BF18C4"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Отбрана и сигурност</w:t>
            </w:r>
          </w:p>
        </w:tc>
        <w:tc>
          <w:tcPr>
            <w:tcW w:w="957" w:type="dxa"/>
            <w:tcBorders>
              <w:top w:val="nil"/>
              <w:left w:val="nil"/>
              <w:bottom w:val="nil"/>
              <w:right w:val="nil"/>
            </w:tcBorders>
            <w:shd w:val="clear" w:color="000000" w:fill="FFFFFF"/>
            <w:noWrap/>
            <w:vAlign w:val="bottom"/>
            <w:hideMark/>
          </w:tcPr>
          <w:p w14:paraId="6B25CE6C"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6 050,7</w:t>
            </w:r>
          </w:p>
        </w:tc>
        <w:tc>
          <w:tcPr>
            <w:tcW w:w="739" w:type="dxa"/>
            <w:tcBorders>
              <w:top w:val="nil"/>
              <w:left w:val="nil"/>
              <w:bottom w:val="nil"/>
              <w:right w:val="nil"/>
            </w:tcBorders>
            <w:shd w:val="clear" w:color="000000" w:fill="FFFFFF"/>
            <w:noWrap/>
            <w:vAlign w:val="bottom"/>
            <w:hideMark/>
          </w:tcPr>
          <w:p w14:paraId="246D006B"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6 639,1</w:t>
            </w:r>
          </w:p>
        </w:tc>
        <w:tc>
          <w:tcPr>
            <w:tcW w:w="902" w:type="dxa"/>
            <w:tcBorders>
              <w:top w:val="nil"/>
              <w:left w:val="nil"/>
              <w:bottom w:val="nil"/>
              <w:right w:val="nil"/>
            </w:tcBorders>
            <w:shd w:val="clear" w:color="000000" w:fill="FFFFFF"/>
            <w:noWrap/>
            <w:vAlign w:val="bottom"/>
            <w:hideMark/>
          </w:tcPr>
          <w:p w14:paraId="04B5D407"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6 896,0</w:t>
            </w:r>
          </w:p>
        </w:tc>
        <w:tc>
          <w:tcPr>
            <w:tcW w:w="902" w:type="dxa"/>
            <w:tcBorders>
              <w:top w:val="nil"/>
              <w:left w:val="nil"/>
              <w:bottom w:val="nil"/>
              <w:right w:val="nil"/>
            </w:tcBorders>
            <w:shd w:val="clear" w:color="000000" w:fill="FFFFFF"/>
            <w:noWrap/>
            <w:vAlign w:val="bottom"/>
            <w:hideMark/>
          </w:tcPr>
          <w:p w14:paraId="4E93CB2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7 167,1</w:t>
            </w:r>
          </w:p>
        </w:tc>
        <w:tc>
          <w:tcPr>
            <w:tcW w:w="865" w:type="dxa"/>
            <w:tcBorders>
              <w:top w:val="nil"/>
              <w:left w:val="nil"/>
              <w:bottom w:val="nil"/>
              <w:right w:val="nil"/>
            </w:tcBorders>
            <w:shd w:val="clear" w:color="000000" w:fill="F2F2F2"/>
            <w:noWrap/>
            <w:vAlign w:val="bottom"/>
            <w:hideMark/>
          </w:tcPr>
          <w:p w14:paraId="16E4D935"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5,5%</w:t>
            </w:r>
          </w:p>
        </w:tc>
        <w:tc>
          <w:tcPr>
            <w:tcW w:w="880" w:type="dxa"/>
            <w:tcBorders>
              <w:top w:val="nil"/>
              <w:left w:val="nil"/>
              <w:bottom w:val="nil"/>
              <w:right w:val="nil"/>
            </w:tcBorders>
            <w:shd w:val="clear" w:color="000000" w:fill="F2F2F2"/>
            <w:noWrap/>
            <w:vAlign w:val="bottom"/>
            <w:hideMark/>
          </w:tcPr>
          <w:p w14:paraId="646D7169"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5,5%</w:t>
            </w:r>
          </w:p>
        </w:tc>
        <w:tc>
          <w:tcPr>
            <w:tcW w:w="880" w:type="dxa"/>
            <w:tcBorders>
              <w:top w:val="nil"/>
              <w:left w:val="nil"/>
              <w:bottom w:val="nil"/>
              <w:right w:val="nil"/>
            </w:tcBorders>
            <w:shd w:val="clear" w:color="000000" w:fill="F2F2F2"/>
            <w:noWrap/>
            <w:vAlign w:val="bottom"/>
            <w:hideMark/>
          </w:tcPr>
          <w:p w14:paraId="55A4BAF6"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5,4%</w:t>
            </w:r>
          </w:p>
        </w:tc>
        <w:tc>
          <w:tcPr>
            <w:tcW w:w="880" w:type="dxa"/>
            <w:tcBorders>
              <w:top w:val="nil"/>
              <w:left w:val="nil"/>
              <w:bottom w:val="nil"/>
              <w:right w:val="nil"/>
            </w:tcBorders>
            <w:shd w:val="clear" w:color="000000" w:fill="F2F2F2"/>
            <w:noWrap/>
            <w:vAlign w:val="bottom"/>
            <w:hideMark/>
          </w:tcPr>
          <w:p w14:paraId="2BA545D6"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5,4%</w:t>
            </w:r>
          </w:p>
        </w:tc>
      </w:tr>
      <w:tr w:rsidR="005749EE" w:rsidRPr="005749EE" w14:paraId="70245B9A" w14:textId="77777777" w:rsidTr="005749EE">
        <w:trPr>
          <w:trHeight w:val="240"/>
        </w:trPr>
        <w:tc>
          <w:tcPr>
            <w:tcW w:w="2977" w:type="dxa"/>
            <w:tcBorders>
              <w:top w:val="nil"/>
              <w:left w:val="nil"/>
              <w:bottom w:val="nil"/>
              <w:right w:val="nil"/>
            </w:tcBorders>
            <w:shd w:val="clear" w:color="000000" w:fill="FFFFFF"/>
            <w:vAlign w:val="center"/>
            <w:hideMark/>
          </w:tcPr>
          <w:p w14:paraId="66D18B68"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отбрана</w:t>
            </w:r>
          </w:p>
        </w:tc>
        <w:tc>
          <w:tcPr>
            <w:tcW w:w="957" w:type="dxa"/>
            <w:tcBorders>
              <w:top w:val="nil"/>
              <w:left w:val="nil"/>
              <w:bottom w:val="nil"/>
              <w:right w:val="nil"/>
            </w:tcBorders>
            <w:shd w:val="clear" w:color="000000" w:fill="FFFFFF"/>
            <w:noWrap/>
            <w:vAlign w:val="bottom"/>
            <w:hideMark/>
          </w:tcPr>
          <w:p w14:paraId="0FDDF884"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2 126,8</w:t>
            </w:r>
          </w:p>
        </w:tc>
        <w:tc>
          <w:tcPr>
            <w:tcW w:w="739" w:type="dxa"/>
            <w:tcBorders>
              <w:top w:val="nil"/>
              <w:left w:val="nil"/>
              <w:bottom w:val="nil"/>
              <w:right w:val="nil"/>
            </w:tcBorders>
            <w:shd w:val="clear" w:color="000000" w:fill="FFFFFF"/>
            <w:noWrap/>
            <w:vAlign w:val="bottom"/>
            <w:hideMark/>
          </w:tcPr>
          <w:p w14:paraId="51938A5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2 361,6</w:t>
            </w:r>
          </w:p>
        </w:tc>
        <w:tc>
          <w:tcPr>
            <w:tcW w:w="902" w:type="dxa"/>
            <w:tcBorders>
              <w:top w:val="nil"/>
              <w:left w:val="nil"/>
              <w:bottom w:val="nil"/>
              <w:right w:val="nil"/>
            </w:tcBorders>
            <w:shd w:val="clear" w:color="000000" w:fill="FFFFFF"/>
            <w:noWrap/>
            <w:vAlign w:val="bottom"/>
            <w:hideMark/>
          </w:tcPr>
          <w:p w14:paraId="242FE44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2 743,1</w:t>
            </w:r>
          </w:p>
        </w:tc>
        <w:tc>
          <w:tcPr>
            <w:tcW w:w="902" w:type="dxa"/>
            <w:tcBorders>
              <w:top w:val="nil"/>
              <w:left w:val="nil"/>
              <w:bottom w:val="nil"/>
              <w:right w:val="nil"/>
            </w:tcBorders>
            <w:shd w:val="clear" w:color="000000" w:fill="FFFFFF"/>
            <w:noWrap/>
            <w:vAlign w:val="bottom"/>
            <w:hideMark/>
          </w:tcPr>
          <w:p w14:paraId="5C55777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2 984,7</w:t>
            </w:r>
          </w:p>
        </w:tc>
        <w:tc>
          <w:tcPr>
            <w:tcW w:w="865" w:type="dxa"/>
            <w:tcBorders>
              <w:top w:val="nil"/>
              <w:left w:val="nil"/>
              <w:bottom w:val="nil"/>
              <w:right w:val="nil"/>
            </w:tcBorders>
            <w:shd w:val="clear" w:color="000000" w:fill="F2F2F2"/>
            <w:noWrap/>
            <w:vAlign w:val="bottom"/>
            <w:hideMark/>
          </w:tcPr>
          <w:p w14:paraId="55D52436"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1,9%</w:t>
            </w:r>
          </w:p>
        </w:tc>
        <w:tc>
          <w:tcPr>
            <w:tcW w:w="880" w:type="dxa"/>
            <w:tcBorders>
              <w:top w:val="nil"/>
              <w:left w:val="nil"/>
              <w:bottom w:val="nil"/>
              <w:right w:val="nil"/>
            </w:tcBorders>
            <w:shd w:val="clear" w:color="000000" w:fill="F2F2F2"/>
            <w:noWrap/>
            <w:vAlign w:val="bottom"/>
            <w:hideMark/>
          </w:tcPr>
          <w:p w14:paraId="6CDB21D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2,0%</w:t>
            </w:r>
          </w:p>
        </w:tc>
        <w:tc>
          <w:tcPr>
            <w:tcW w:w="880" w:type="dxa"/>
            <w:tcBorders>
              <w:top w:val="nil"/>
              <w:left w:val="nil"/>
              <w:bottom w:val="nil"/>
              <w:right w:val="nil"/>
            </w:tcBorders>
            <w:shd w:val="clear" w:color="000000" w:fill="F2F2F2"/>
            <w:noWrap/>
            <w:vAlign w:val="bottom"/>
            <w:hideMark/>
          </w:tcPr>
          <w:p w14:paraId="2DAE9A2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2,2%</w:t>
            </w:r>
          </w:p>
        </w:tc>
        <w:tc>
          <w:tcPr>
            <w:tcW w:w="880" w:type="dxa"/>
            <w:tcBorders>
              <w:top w:val="nil"/>
              <w:left w:val="nil"/>
              <w:bottom w:val="nil"/>
              <w:right w:val="nil"/>
            </w:tcBorders>
            <w:shd w:val="clear" w:color="000000" w:fill="F2F2F2"/>
            <w:noWrap/>
            <w:vAlign w:val="bottom"/>
            <w:hideMark/>
          </w:tcPr>
          <w:p w14:paraId="1E5CFB60"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2,2%</w:t>
            </w:r>
          </w:p>
        </w:tc>
      </w:tr>
      <w:tr w:rsidR="005749EE" w:rsidRPr="005749EE" w14:paraId="5FB7535F" w14:textId="77777777" w:rsidTr="005749EE">
        <w:trPr>
          <w:trHeight w:val="240"/>
        </w:trPr>
        <w:tc>
          <w:tcPr>
            <w:tcW w:w="2977" w:type="dxa"/>
            <w:tcBorders>
              <w:top w:val="nil"/>
              <w:left w:val="nil"/>
              <w:bottom w:val="nil"/>
              <w:right w:val="nil"/>
            </w:tcBorders>
            <w:shd w:val="clear" w:color="000000" w:fill="FFFFFF"/>
            <w:vAlign w:val="center"/>
            <w:hideMark/>
          </w:tcPr>
          <w:p w14:paraId="3DDB18F5"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полиция, вътрешен ред и сигурност</w:t>
            </w:r>
          </w:p>
        </w:tc>
        <w:tc>
          <w:tcPr>
            <w:tcW w:w="957" w:type="dxa"/>
            <w:tcBorders>
              <w:top w:val="nil"/>
              <w:left w:val="nil"/>
              <w:bottom w:val="nil"/>
              <w:right w:val="nil"/>
            </w:tcBorders>
            <w:shd w:val="clear" w:color="000000" w:fill="FFFFFF"/>
            <w:noWrap/>
            <w:vAlign w:val="bottom"/>
            <w:hideMark/>
          </w:tcPr>
          <w:p w14:paraId="19594C24"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2 750,4</w:t>
            </w:r>
          </w:p>
        </w:tc>
        <w:tc>
          <w:tcPr>
            <w:tcW w:w="739" w:type="dxa"/>
            <w:tcBorders>
              <w:top w:val="nil"/>
              <w:left w:val="nil"/>
              <w:bottom w:val="nil"/>
              <w:right w:val="nil"/>
            </w:tcBorders>
            <w:shd w:val="clear" w:color="000000" w:fill="FFFFFF"/>
            <w:noWrap/>
            <w:vAlign w:val="bottom"/>
            <w:hideMark/>
          </w:tcPr>
          <w:p w14:paraId="11CAD27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2 972,2</w:t>
            </w:r>
          </w:p>
        </w:tc>
        <w:tc>
          <w:tcPr>
            <w:tcW w:w="902" w:type="dxa"/>
            <w:tcBorders>
              <w:top w:val="nil"/>
              <w:left w:val="nil"/>
              <w:bottom w:val="nil"/>
              <w:right w:val="nil"/>
            </w:tcBorders>
            <w:shd w:val="clear" w:color="000000" w:fill="FFFFFF"/>
            <w:noWrap/>
            <w:vAlign w:val="bottom"/>
            <w:hideMark/>
          </w:tcPr>
          <w:p w14:paraId="2CF869A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2 849,2</w:t>
            </w:r>
          </w:p>
        </w:tc>
        <w:tc>
          <w:tcPr>
            <w:tcW w:w="902" w:type="dxa"/>
            <w:tcBorders>
              <w:top w:val="nil"/>
              <w:left w:val="nil"/>
              <w:bottom w:val="nil"/>
              <w:right w:val="nil"/>
            </w:tcBorders>
            <w:shd w:val="clear" w:color="000000" w:fill="FFFFFF"/>
            <w:noWrap/>
            <w:vAlign w:val="bottom"/>
            <w:hideMark/>
          </w:tcPr>
          <w:p w14:paraId="50FA30B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2 859,6</w:t>
            </w:r>
          </w:p>
        </w:tc>
        <w:tc>
          <w:tcPr>
            <w:tcW w:w="865" w:type="dxa"/>
            <w:tcBorders>
              <w:top w:val="nil"/>
              <w:left w:val="nil"/>
              <w:bottom w:val="nil"/>
              <w:right w:val="nil"/>
            </w:tcBorders>
            <w:shd w:val="clear" w:color="000000" w:fill="F2F2F2"/>
            <w:noWrap/>
            <w:vAlign w:val="bottom"/>
            <w:hideMark/>
          </w:tcPr>
          <w:p w14:paraId="292CB347"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2,5%</w:t>
            </w:r>
          </w:p>
        </w:tc>
        <w:tc>
          <w:tcPr>
            <w:tcW w:w="880" w:type="dxa"/>
            <w:tcBorders>
              <w:top w:val="nil"/>
              <w:left w:val="nil"/>
              <w:bottom w:val="nil"/>
              <w:right w:val="nil"/>
            </w:tcBorders>
            <w:shd w:val="clear" w:color="000000" w:fill="F2F2F2"/>
            <w:noWrap/>
            <w:vAlign w:val="bottom"/>
            <w:hideMark/>
          </w:tcPr>
          <w:p w14:paraId="32E684D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2,5%</w:t>
            </w:r>
          </w:p>
        </w:tc>
        <w:tc>
          <w:tcPr>
            <w:tcW w:w="880" w:type="dxa"/>
            <w:tcBorders>
              <w:top w:val="nil"/>
              <w:left w:val="nil"/>
              <w:bottom w:val="nil"/>
              <w:right w:val="nil"/>
            </w:tcBorders>
            <w:shd w:val="clear" w:color="000000" w:fill="F2F2F2"/>
            <w:noWrap/>
            <w:vAlign w:val="bottom"/>
            <w:hideMark/>
          </w:tcPr>
          <w:p w14:paraId="5083AC2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2,2%</w:t>
            </w:r>
          </w:p>
        </w:tc>
        <w:tc>
          <w:tcPr>
            <w:tcW w:w="880" w:type="dxa"/>
            <w:tcBorders>
              <w:top w:val="nil"/>
              <w:left w:val="nil"/>
              <w:bottom w:val="nil"/>
              <w:right w:val="nil"/>
            </w:tcBorders>
            <w:shd w:val="clear" w:color="000000" w:fill="F2F2F2"/>
            <w:noWrap/>
            <w:vAlign w:val="bottom"/>
            <w:hideMark/>
          </w:tcPr>
          <w:p w14:paraId="666F87B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2,1%</w:t>
            </w:r>
          </w:p>
        </w:tc>
      </w:tr>
      <w:tr w:rsidR="005749EE" w:rsidRPr="005749EE" w14:paraId="766134D2" w14:textId="77777777" w:rsidTr="005749EE">
        <w:trPr>
          <w:trHeight w:val="240"/>
        </w:trPr>
        <w:tc>
          <w:tcPr>
            <w:tcW w:w="2977" w:type="dxa"/>
            <w:tcBorders>
              <w:top w:val="nil"/>
              <w:left w:val="nil"/>
              <w:bottom w:val="nil"/>
              <w:right w:val="nil"/>
            </w:tcBorders>
            <w:shd w:val="clear" w:color="000000" w:fill="FFFFFF"/>
            <w:vAlign w:val="center"/>
            <w:hideMark/>
          </w:tcPr>
          <w:p w14:paraId="17064B11"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съдебна власт</w:t>
            </w:r>
          </w:p>
        </w:tc>
        <w:tc>
          <w:tcPr>
            <w:tcW w:w="957" w:type="dxa"/>
            <w:tcBorders>
              <w:top w:val="nil"/>
              <w:left w:val="nil"/>
              <w:bottom w:val="nil"/>
              <w:right w:val="nil"/>
            </w:tcBorders>
            <w:shd w:val="clear" w:color="000000" w:fill="FFFFFF"/>
            <w:noWrap/>
            <w:vAlign w:val="bottom"/>
            <w:hideMark/>
          </w:tcPr>
          <w:p w14:paraId="677A7FB3"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819,5</w:t>
            </w:r>
          </w:p>
        </w:tc>
        <w:tc>
          <w:tcPr>
            <w:tcW w:w="739" w:type="dxa"/>
            <w:tcBorders>
              <w:top w:val="nil"/>
              <w:left w:val="nil"/>
              <w:bottom w:val="nil"/>
              <w:right w:val="nil"/>
            </w:tcBorders>
            <w:shd w:val="clear" w:color="000000" w:fill="FFFFFF"/>
            <w:noWrap/>
            <w:vAlign w:val="bottom"/>
            <w:hideMark/>
          </w:tcPr>
          <w:p w14:paraId="6181DC8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919,1</w:t>
            </w:r>
          </w:p>
        </w:tc>
        <w:tc>
          <w:tcPr>
            <w:tcW w:w="902" w:type="dxa"/>
            <w:tcBorders>
              <w:top w:val="nil"/>
              <w:left w:val="nil"/>
              <w:bottom w:val="nil"/>
              <w:right w:val="nil"/>
            </w:tcBorders>
            <w:shd w:val="clear" w:color="000000" w:fill="FFFFFF"/>
            <w:noWrap/>
            <w:vAlign w:val="bottom"/>
            <w:hideMark/>
          </w:tcPr>
          <w:p w14:paraId="4DF6137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913,9</w:t>
            </w:r>
          </w:p>
        </w:tc>
        <w:tc>
          <w:tcPr>
            <w:tcW w:w="902" w:type="dxa"/>
            <w:tcBorders>
              <w:top w:val="nil"/>
              <w:left w:val="nil"/>
              <w:bottom w:val="nil"/>
              <w:right w:val="nil"/>
            </w:tcBorders>
            <w:shd w:val="clear" w:color="000000" w:fill="FFFFFF"/>
            <w:noWrap/>
            <w:vAlign w:val="bottom"/>
            <w:hideMark/>
          </w:tcPr>
          <w:p w14:paraId="74558FB3"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932,5</w:t>
            </w:r>
          </w:p>
        </w:tc>
        <w:tc>
          <w:tcPr>
            <w:tcW w:w="865" w:type="dxa"/>
            <w:tcBorders>
              <w:top w:val="nil"/>
              <w:left w:val="nil"/>
              <w:bottom w:val="nil"/>
              <w:right w:val="nil"/>
            </w:tcBorders>
            <w:shd w:val="clear" w:color="000000" w:fill="F2F2F2"/>
            <w:noWrap/>
            <w:vAlign w:val="bottom"/>
            <w:hideMark/>
          </w:tcPr>
          <w:p w14:paraId="1176AD35"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0,7%</w:t>
            </w:r>
          </w:p>
        </w:tc>
        <w:tc>
          <w:tcPr>
            <w:tcW w:w="880" w:type="dxa"/>
            <w:tcBorders>
              <w:top w:val="nil"/>
              <w:left w:val="nil"/>
              <w:bottom w:val="nil"/>
              <w:right w:val="nil"/>
            </w:tcBorders>
            <w:shd w:val="clear" w:color="000000" w:fill="F2F2F2"/>
            <w:noWrap/>
            <w:vAlign w:val="bottom"/>
            <w:hideMark/>
          </w:tcPr>
          <w:p w14:paraId="10DF8261"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0,8%</w:t>
            </w:r>
          </w:p>
        </w:tc>
        <w:tc>
          <w:tcPr>
            <w:tcW w:w="880" w:type="dxa"/>
            <w:tcBorders>
              <w:top w:val="nil"/>
              <w:left w:val="nil"/>
              <w:bottom w:val="nil"/>
              <w:right w:val="nil"/>
            </w:tcBorders>
            <w:shd w:val="clear" w:color="000000" w:fill="F2F2F2"/>
            <w:noWrap/>
            <w:vAlign w:val="bottom"/>
            <w:hideMark/>
          </w:tcPr>
          <w:p w14:paraId="6999789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0,7%</w:t>
            </w:r>
          </w:p>
        </w:tc>
        <w:tc>
          <w:tcPr>
            <w:tcW w:w="880" w:type="dxa"/>
            <w:tcBorders>
              <w:top w:val="nil"/>
              <w:left w:val="nil"/>
              <w:bottom w:val="nil"/>
              <w:right w:val="nil"/>
            </w:tcBorders>
            <w:shd w:val="clear" w:color="000000" w:fill="F2F2F2"/>
            <w:noWrap/>
            <w:vAlign w:val="bottom"/>
            <w:hideMark/>
          </w:tcPr>
          <w:p w14:paraId="3FB3F8E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0,7%</w:t>
            </w:r>
          </w:p>
        </w:tc>
      </w:tr>
      <w:tr w:rsidR="005749EE" w:rsidRPr="005749EE" w14:paraId="0B1F3DE3" w14:textId="77777777" w:rsidTr="005749EE">
        <w:trPr>
          <w:trHeight w:val="240"/>
        </w:trPr>
        <w:tc>
          <w:tcPr>
            <w:tcW w:w="2977" w:type="dxa"/>
            <w:tcBorders>
              <w:top w:val="nil"/>
              <w:left w:val="nil"/>
              <w:bottom w:val="nil"/>
              <w:right w:val="nil"/>
            </w:tcBorders>
            <w:shd w:val="clear" w:color="000000" w:fill="FFFFFF"/>
            <w:vAlign w:val="center"/>
            <w:hideMark/>
          </w:tcPr>
          <w:p w14:paraId="0A345A3F"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администрация на затворите</w:t>
            </w:r>
          </w:p>
        </w:tc>
        <w:tc>
          <w:tcPr>
            <w:tcW w:w="957" w:type="dxa"/>
            <w:tcBorders>
              <w:top w:val="nil"/>
              <w:left w:val="nil"/>
              <w:bottom w:val="nil"/>
              <w:right w:val="nil"/>
            </w:tcBorders>
            <w:shd w:val="clear" w:color="000000" w:fill="FFFFFF"/>
            <w:noWrap/>
            <w:vAlign w:val="bottom"/>
            <w:hideMark/>
          </w:tcPr>
          <w:p w14:paraId="1576E367"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222,3</w:t>
            </w:r>
          </w:p>
        </w:tc>
        <w:tc>
          <w:tcPr>
            <w:tcW w:w="739" w:type="dxa"/>
            <w:tcBorders>
              <w:top w:val="nil"/>
              <w:left w:val="nil"/>
              <w:bottom w:val="nil"/>
              <w:right w:val="nil"/>
            </w:tcBorders>
            <w:shd w:val="clear" w:color="000000" w:fill="FFFFFF"/>
            <w:noWrap/>
            <w:vAlign w:val="bottom"/>
            <w:hideMark/>
          </w:tcPr>
          <w:p w14:paraId="0CFEA8F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250,8</w:t>
            </w:r>
          </w:p>
        </w:tc>
        <w:tc>
          <w:tcPr>
            <w:tcW w:w="902" w:type="dxa"/>
            <w:tcBorders>
              <w:top w:val="nil"/>
              <w:left w:val="nil"/>
              <w:bottom w:val="nil"/>
              <w:right w:val="nil"/>
            </w:tcBorders>
            <w:shd w:val="clear" w:color="000000" w:fill="FFFFFF"/>
            <w:noWrap/>
            <w:vAlign w:val="bottom"/>
            <w:hideMark/>
          </w:tcPr>
          <w:p w14:paraId="20A47DD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254,1</w:t>
            </w:r>
          </w:p>
        </w:tc>
        <w:tc>
          <w:tcPr>
            <w:tcW w:w="902" w:type="dxa"/>
            <w:tcBorders>
              <w:top w:val="nil"/>
              <w:left w:val="nil"/>
              <w:bottom w:val="nil"/>
              <w:right w:val="nil"/>
            </w:tcBorders>
            <w:shd w:val="clear" w:color="000000" w:fill="FFFFFF"/>
            <w:noWrap/>
            <w:vAlign w:val="bottom"/>
            <w:hideMark/>
          </w:tcPr>
          <w:p w14:paraId="617D96B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254,4</w:t>
            </w:r>
          </w:p>
        </w:tc>
        <w:tc>
          <w:tcPr>
            <w:tcW w:w="865" w:type="dxa"/>
            <w:tcBorders>
              <w:top w:val="nil"/>
              <w:left w:val="nil"/>
              <w:bottom w:val="nil"/>
              <w:right w:val="nil"/>
            </w:tcBorders>
            <w:shd w:val="clear" w:color="000000" w:fill="F2F2F2"/>
            <w:noWrap/>
            <w:vAlign w:val="bottom"/>
            <w:hideMark/>
          </w:tcPr>
          <w:p w14:paraId="2A0B1DD5"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0,2%</w:t>
            </w:r>
          </w:p>
        </w:tc>
        <w:tc>
          <w:tcPr>
            <w:tcW w:w="880" w:type="dxa"/>
            <w:tcBorders>
              <w:top w:val="nil"/>
              <w:left w:val="nil"/>
              <w:bottom w:val="nil"/>
              <w:right w:val="nil"/>
            </w:tcBorders>
            <w:shd w:val="clear" w:color="000000" w:fill="F2F2F2"/>
            <w:noWrap/>
            <w:vAlign w:val="bottom"/>
            <w:hideMark/>
          </w:tcPr>
          <w:p w14:paraId="07842ED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0,2%</w:t>
            </w:r>
          </w:p>
        </w:tc>
        <w:tc>
          <w:tcPr>
            <w:tcW w:w="880" w:type="dxa"/>
            <w:tcBorders>
              <w:top w:val="nil"/>
              <w:left w:val="nil"/>
              <w:bottom w:val="nil"/>
              <w:right w:val="nil"/>
            </w:tcBorders>
            <w:shd w:val="clear" w:color="000000" w:fill="F2F2F2"/>
            <w:noWrap/>
            <w:vAlign w:val="bottom"/>
            <w:hideMark/>
          </w:tcPr>
          <w:p w14:paraId="75052233"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0,2%</w:t>
            </w:r>
          </w:p>
        </w:tc>
        <w:tc>
          <w:tcPr>
            <w:tcW w:w="880" w:type="dxa"/>
            <w:tcBorders>
              <w:top w:val="nil"/>
              <w:left w:val="nil"/>
              <w:bottom w:val="nil"/>
              <w:right w:val="nil"/>
            </w:tcBorders>
            <w:shd w:val="clear" w:color="000000" w:fill="F2F2F2"/>
            <w:noWrap/>
            <w:vAlign w:val="bottom"/>
            <w:hideMark/>
          </w:tcPr>
          <w:p w14:paraId="60FDFEA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0,2%</w:t>
            </w:r>
          </w:p>
        </w:tc>
      </w:tr>
      <w:tr w:rsidR="005749EE" w:rsidRPr="005749EE" w14:paraId="13084647" w14:textId="77777777" w:rsidTr="005749EE">
        <w:trPr>
          <w:trHeight w:val="525"/>
        </w:trPr>
        <w:tc>
          <w:tcPr>
            <w:tcW w:w="2977" w:type="dxa"/>
            <w:tcBorders>
              <w:top w:val="nil"/>
              <w:left w:val="nil"/>
              <w:bottom w:val="single" w:sz="4" w:space="0" w:color="auto"/>
              <w:right w:val="nil"/>
            </w:tcBorders>
            <w:shd w:val="clear" w:color="000000" w:fill="FFFFFF"/>
            <w:vAlign w:val="center"/>
            <w:hideMark/>
          </w:tcPr>
          <w:p w14:paraId="4895F28C"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защита на населението, управление и дейности при стихийни бедствия и аварии</w:t>
            </w:r>
          </w:p>
        </w:tc>
        <w:tc>
          <w:tcPr>
            <w:tcW w:w="957" w:type="dxa"/>
            <w:tcBorders>
              <w:top w:val="nil"/>
              <w:left w:val="nil"/>
              <w:bottom w:val="single" w:sz="4" w:space="0" w:color="auto"/>
              <w:right w:val="nil"/>
            </w:tcBorders>
            <w:shd w:val="clear" w:color="000000" w:fill="FFFFFF"/>
            <w:noWrap/>
            <w:vAlign w:val="bottom"/>
            <w:hideMark/>
          </w:tcPr>
          <w:p w14:paraId="3B86D0D5"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131,6</w:t>
            </w:r>
          </w:p>
        </w:tc>
        <w:tc>
          <w:tcPr>
            <w:tcW w:w="739" w:type="dxa"/>
            <w:tcBorders>
              <w:top w:val="nil"/>
              <w:left w:val="nil"/>
              <w:bottom w:val="single" w:sz="4" w:space="0" w:color="auto"/>
              <w:right w:val="nil"/>
            </w:tcBorders>
            <w:shd w:val="clear" w:color="000000" w:fill="FFFFFF"/>
            <w:noWrap/>
            <w:vAlign w:val="bottom"/>
            <w:hideMark/>
          </w:tcPr>
          <w:p w14:paraId="3E064B6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135,5</w:t>
            </w:r>
          </w:p>
        </w:tc>
        <w:tc>
          <w:tcPr>
            <w:tcW w:w="902" w:type="dxa"/>
            <w:tcBorders>
              <w:top w:val="nil"/>
              <w:left w:val="nil"/>
              <w:bottom w:val="single" w:sz="4" w:space="0" w:color="auto"/>
              <w:right w:val="nil"/>
            </w:tcBorders>
            <w:shd w:val="clear" w:color="000000" w:fill="FFFFFF"/>
            <w:noWrap/>
            <w:vAlign w:val="bottom"/>
            <w:hideMark/>
          </w:tcPr>
          <w:p w14:paraId="128787F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135,7</w:t>
            </w:r>
          </w:p>
        </w:tc>
        <w:tc>
          <w:tcPr>
            <w:tcW w:w="902" w:type="dxa"/>
            <w:tcBorders>
              <w:top w:val="nil"/>
              <w:left w:val="nil"/>
              <w:bottom w:val="single" w:sz="4" w:space="0" w:color="auto"/>
              <w:right w:val="nil"/>
            </w:tcBorders>
            <w:shd w:val="clear" w:color="000000" w:fill="FFFFFF"/>
            <w:noWrap/>
            <w:vAlign w:val="bottom"/>
            <w:hideMark/>
          </w:tcPr>
          <w:p w14:paraId="74779E2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136,0</w:t>
            </w:r>
          </w:p>
        </w:tc>
        <w:tc>
          <w:tcPr>
            <w:tcW w:w="865" w:type="dxa"/>
            <w:tcBorders>
              <w:top w:val="nil"/>
              <w:left w:val="nil"/>
              <w:bottom w:val="single" w:sz="4" w:space="0" w:color="auto"/>
              <w:right w:val="nil"/>
            </w:tcBorders>
            <w:shd w:val="clear" w:color="000000" w:fill="F2F2F2"/>
            <w:noWrap/>
            <w:vAlign w:val="bottom"/>
            <w:hideMark/>
          </w:tcPr>
          <w:p w14:paraId="2BFB9B22"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0,1%</w:t>
            </w:r>
          </w:p>
        </w:tc>
        <w:tc>
          <w:tcPr>
            <w:tcW w:w="880" w:type="dxa"/>
            <w:tcBorders>
              <w:top w:val="nil"/>
              <w:left w:val="nil"/>
              <w:bottom w:val="single" w:sz="4" w:space="0" w:color="auto"/>
              <w:right w:val="nil"/>
            </w:tcBorders>
            <w:shd w:val="clear" w:color="000000" w:fill="F2F2F2"/>
            <w:noWrap/>
            <w:vAlign w:val="bottom"/>
            <w:hideMark/>
          </w:tcPr>
          <w:p w14:paraId="6E7B342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c>
          <w:tcPr>
            <w:tcW w:w="880" w:type="dxa"/>
            <w:tcBorders>
              <w:top w:val="nil"/>
              <w:left w:val="nil"/>
              <w:bottom w:val="single" w:sz="4" w:space="0" w:color="auto"/>
              <w:right w:val="nil"/>
            </w:tcBorders>
            <w:shd w:val="clear" w:color="000000" w:fill="F2F2F2"/>
            <w:noWrap/>
            <w:vAlign w:val="bottom"/>
            <w:hideMark/>
          </w:tcPr>
          <w:p w14:paraId="078C9CF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c>
          <w:tcPr>
            <w:tcW w:w="880" w:type="dxa"/>
            <w:tcBorders>
              <w:top w:val="nil"/>
              <w:left w:val="nil"/>
              <w:bottom w:val="single" w:sz="4" w:space="0" w:color="auto"/>
              <w:right w:val="nil"/>
            </w:tcBorders>
            <w:shd w:val="clear" w:color="000000" w:fill="F2F2F2"/>
            <w:noWrap/>
            <w:vAlign w:val="bottom"/>
            <w:hideMark/>
          </w:tcPr>
          <w:p w14:paraId="386EF05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r>
      <w:tr w:rsidR="005749EE" w:rsidRPr="005749EE" w14:paraId="7A0C3ABE" w14:textId="77777777" w:rsidTr="005749EE">
        <w:trPr>
          <w:trHeight w:val="75"/>
        </w:trPr>
        <w:tc>
          <w:tcPr>
            <w:tcW w:w="2977" w:type="dxa"/>
            <w:tcBorders>
              <w:top w:val="nil"/>
              <w:left w:val="nil"/>
              <w:bottom w:val="nil"/>
              <w:right w:val="nil"/>
            </w:tcBorders>
            <w:shd w:val="clear" w:color="000000" w:fill="FFFFFF"/>
            <w:vAlign w:val="center"/>
            <w:hideMark/>
          </w:tcPr>
          <w:p w14:paraId="3F7CDC7F"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3423D1A6"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739" w:type="dxa"/>
            <w:tcBorders>
              <w:top w:val="nil"/>
              <w:left w:val="nil"/>
              <w:bottom w:val="nil"/>
              <w:right w:val="nil"/>
            </w:tcBorders>
            <w:shd w:val="clear" w:color="000000" w:fill="FFFFFF"/>
            <w:noWrap/>
            <w:vAlign w:val="bottom"/>
            <w:hideMark/>
          </w:tcPr>
          <w:p w14:paraId="5D2E9B27"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902" w:type="dxa"/>
            <w:tcBorders>
              <w:top w:val="nil"/>
              <w:left w:val="nil"/>
              <w:bottom w:val="nil"/>
              <w:right w:val="nil"/>
            </w:tcBorders>
            <w:shd w:val="clear" w:color="000000" w:fill="FFFFFF"/>
            <w:noWrap/>
            <w:vAlign w:val="bottom"/>
            <w:hideMark/>
          </w:tcPr>
          <w:p w14:paraId="60031CCE"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902" w:type="dxa"/>
            <w:tcBorders>
              <w:top w:val="nil"/>
              <w:left w:val="nil"/>
              <w:bottom w:val="nil"/>
              <w:right w:val="nil"/>
            </w:tcBorders>
            <w:shd w:val="clear" w:color="000000" w:fill="FFFFFF"/>
            <w:noWrap/>
            <w:vAlign w:val="bottom"/>
            <w:hideMark/>
          </w:tcPr>
          <w:p w14:paraId="7274EB6A"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0A7846E2"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43440BDE"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24880D3B"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12705226"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25A8FC89" w14:textId="77777777" w:rsidTr="005749EE">
        <w:trPr>
          <w:trHeight w:val="101"/>
        </w:trPr>
        <w:tc>
          <w:tcPr>
            <w:tcW w:w="2977" w:type="dxa"/>
            <w:tcBorders>
              <w:top w:val="nil"/>
              <w:left w:val="nil"/>
              <w:bottom w:val="single" w:sz="4" w:space="0" w:color="auto"/>
              <w:right w:val="nil"/>
            </w:tcBorders>
            <w:shd w:val="clear" w:color="000000" w:fill="FFFFFF"/>
            <w:vAlign w:val="center"/>
            <w:hideMark/>
          </w:tcPr>
          <w:p w14:paraId="42367B0B"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 xml:space="preserve">Образование </w:t>
            </w:r>
          </w:p>
        </w:tc>
        <w:tc>
          <w:tcPr>
            <w:tcW w:w="957" w:type="dxa"/>
            <w:tcBorders>
              <w:top w:val="nil"/>
              <w:left w:val="nil"/>
              <w:bottom w:val="single" w:sz="4" w:space="0" w:color="auto"/>
              <w:right w:val="nil"/>
            </w:tcBorders>
            <w:shd w:val="clear" w:color="000000" w:fill="FFFFFF"/>
            <w:noWrap/>
            <w:vAlign w:val="bottom"/>
            <w:hideMark/>
          </w:tcPr>
          <w:p w14:paraId="3F1B1DC0"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5 233,9</w:t>
            </w:r>
          </w:p>
        </w:tc>
        <w:tc>
          <w:tcPr>
            <w:tcW w:w="739" w:type="dxa"/>
            <w:tcBorders>
              <w:top w:val="nil"/>
              <w:left w:val="nil"/>
              <w:bottom w:val="single" w:sz="4" w:space="0" w:color="auto"/>
              <w:right w:val="nil"/>
            </w:tcBorders>
            <w:shd w:val="clear" w:color="000000" w:fill="FFFFFF"/>
            <w:noWrap/>
            <w:vAlign w:val="bottom"/>
            <w:hideMark/>
          </w:tcPr>
          <w:p w14:paraId="0E5136E7"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5 740,7</w:t>
            </w:r>
          </w:p>
        </w:tc>
        <w:tc>
          <w:tcPr>
            <w:tcW w:w="902" w:type="dxa"/>
            <w:tcBorders>
              <w:top w:val="nil"/>
              <w:left w:val="nil"/>
              <w:bottom w:val="single" w:sz="4" w:space="0" w:color="auto"/>
              <w:right w:val="nil"/>
            </w:tcBorders>
            <w:shd w:val="clear" w:color="000000" w:fill="FFFFFF"/>
            <w:noWrap/>
            <w:vAlign w:val="bottom"/>
            <w:hideMark/>
          </w:tcPr>
          <w:p w14:paraId="5CB401D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5 515,8</w:t>
            </w:r>
          </w:p>
        </w:tc>
        <w:tc>
          <w:tcPr>
            <w:tcW w:w="902" w:type="dxa"/>
            <w:tcBorders>
              <w:top w:val="nil"/>
              <w:left w:val="nil"/>
              <w:bottom w:val="single" w:sz="4" w:space="0" w:color="auto"/>
              <w:right w:val="nil"/>
            </w:tcBorders>
            <w:shd w:val="clear" w:color="000000" w:fill="FFFFFF"/>
            <w:noWrap/>
            <w:vAlign w:val="bottom"/>
            <w:hideMark/>
          </w:tcPr>
          <w:p w14:paraId="00B6E78E"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5 627,0</w:t>
            </w:r>
          </w:p>
        </w:tc>
        <w:tc>
          <w:tcPr>
            <w:tcW w:w="865" w:type="dxa"/>
            <w:tcBorders>
              <w:top w:val="nil"/>
              <w:left w:val="nil"/>
              <w:bottom w:val="single" w:sz="4" w:space="0" w:color="auto"/>
              <w:right w:val="nil"/>
            </w:tcBorders>
            <w:shd w:val="clear" w:color="000000" w:fill="F2F2F2"/>
            <w:noWrap/>
            <w:vAlign w:val="bottom"/>
            <w:hideMark/>
          </w:tcPr>
          <w:p w14:paraId="03DDD548"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4,8%</w:t>
            </w:r>
          </w:p>
        </w:tc>
        <w:tc>
          <w:tcPr>
            <w:tcW w:w="880" w:type="dxa"/>
            <w:tcBorders>
              <w:top w:val="nil"/>
              <w:left w:val="nil"/>
              <w:bottom w:val="single" w:sz="4" w:space="0" w:color="auto"/>
              <w:right w:val="nil"/>
            </w:tcBorders>
            <w:shd w:val="clear" w:color="000000" w:fill="F2F2F2"/>
            <w:noWrap/>
            <w:vAlign w:val="bottom"/>
            <w:hideMark/>
          </w:tcPr>
          <w:p w14:paraId="704BE274"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4,8%</w:t>
            </w:r>
          </w:p>
        </w:tc>
        <w:tc>
          <w:tcPr>
            <w:tcW w:w="880" w:type="dxa"/>
            <w:tcBorders>
              <w:top w:val="nil"/>
              <w:left w:val="nil"/>
              <w:bottom w:val="single" w:sz="4" w:space="0" w:color="auto"/>
              <w:right w:val="nil"/>
            </w:tcBorders>
            <w:shd w:val="clear" w:color="000000" w:fill="F2F2F2"/>
            <w:noWrap/>
            <w:vAlign w:val="bottom"/>
            <w:hideMark/>
          </w:tcPr>
          <w:p w14:paraId="2A3B636D"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4,3%</w:t>
            </w:r>
          </w:p>
        </w:tc>
        <w:tc>
          <w:tcPr>
            <w:tcW w:w="880" w:type="dxa"/>
            <w:tcBorders>
              <w:top w:val="nil"/>
              <w:left w:val="nil"/>
              <w:bottom w:val="single" w:sz="4" w:space="0" w:color="auto"/>
              <w:right w:val="nil"/>
            </w:tcBorders>
            <w:shd w:val="clear" w:color="000000" w:fill="F2F2F2"/>
            <w:noWrap/>
            <w:vAlign w:val="bottom"/>
            <w:hideMark/>
          </w:tcPr>
          <w:p w14:paraId="43621ABF"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4,2%</w:t>
            </w:r>
          </w:p>
        </w:tc>
      </w:tr>
      <w:tr w:rsidR="005749EE" w:rsidRPr="005749EE" w14:paraId="25F9241F" w14:textId="77777777" w:rsidTr="005749EE">
        <w:trPr>
          <w:trHeight w:val="75"/>
        </w:trPr>
        <w:tc>
          <w:tcPr>
            <w:tcW w:w="2977" w:type="dxa"/>
            <w:tcBorders>
              <w:top w:val="nil"/>
              <w:left w:val="nil"/>
              <w:bottom w:val="nil"/>
              <w:right w:val="nil"/>
            </w:tcBorders>
            <w:shd w:val="clear" w:color="000000" w:fill="FFFFFF"/>
            <w:vAlign w:val="center"/>
            <w:hideMark/>
          </w:tcPr>
          <w:p w14:paraId="5EECE3DE"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40EE9C28"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739" w:type="dxa"/>
            <w:tcBorders>
              <w:top w:val="nil"/>
              <w:left w:val="nil"/>
              <w:bottom w:val="nil"/>
              <w:right w:val="nil"/>
            </w:tcBorders>
            <w:shd w:val="clear" w:color="000000" w:fill="FFFFFF"/>
            <w:noWrap/>
            <w:vAlign w:val="bottom"/>
            <w:hideMark/>
          </w:tcPr>
          <w:p w14:paraId="1CE98293"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902" w:type="dxa"/>
            <w:tcBorders>
              <w:top w:val="nil"/>
              <w:left w:val="nil"/>
              <w:bottom w:val="nil"/>
              <w:right w:val="nil"/>
            </w:tcBorders>
            <w:shd w:val="clear" w:color="000000" w:fill="FFFFFF"/>
            <w:noWrap/>
            <w:vAlign w:val="bottom"/>
            <w:hideMark/>
          </w:tcPr>
          <w:p w14:paraId="4543054A"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902" w:type="dxa"/>
            <w:tcBorders>
              <w:top w:val="nil"/>
              <w:left w:val="nil"/>
              <w:bottom w:val="nil"/>
              <w:right w:val="nil"/>
            </w:tcBorders>
            <w:shd w:val="clear" w:color="000000" w:fill="FFFFFF"/>
            <w:noWrap/>
            <w:vAlign w:val="bottom"/>
            <w:hideMark/>
          </w:tcPr>
          <w:p w14:paraId="372EB117"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154C8498"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33876867"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6CBCFF32"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299721D1"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46C990CA" w14:textId="77777777" w:rsidTr="005749EE">
        <w:trPr>
          <w:trHeight w:val="149"/>
        </w:trPr>
        <w:tc>
          <w:tcPr>
            <w:tcW w:w="2977" w:type="dxa"/>
            <w:tcBorders>
              <w:top w:val="nil"/>
              <w:left w:val="nil"/>
              <w:bottom w:val="single" w:sz="4" w:space="0" w:color="auto"/>
              <w:right w:val="nil"/>
            </w:tcBorders>
            <w:shd w:val="clear" w:color="000000" w:fill="FFFFFF"/>
            <w:vAlign w:val="center"/>
            <w:hideMark/>
          </w:tcPr>
          <w:p w14:paraId="61EB80E4"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Здравеопазване</w:t>
            </w:r>
          </w:p>
        </w:tc>
        <w:tc>
          <w:tcPr>
            <w:tcW w:w="957" w:type="dxa"/>
            <w:tcBorders>
              <w:top w:val="nil"/>
              <w:left w:val="nil"/>
              <w:bottom w:val="single" w:sz="4" w:space="0" w:color="auto"/>
              <w:right w:val="nil"/>
            </w:tcBorders>
            <w:shd w:val="clear" w:color="000000" w:fill="FFFFFF"/>
            <w:noWrap/>
            <w:vAlign w:val="bottom"/>
            <w:hideMark/>
          </w:tcPr>
          <w:p w14:paraId="22BC9D8C"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6 043,8</w:t>
            </w:r>
          </w:p>
        </w:tc>
        <w:tc>
          <w:tcPr>
            <w:tcW w:w="739" w:type="dxa"/>
            <w:tcBorders>
              <w:top w:val="nil"/>
              <w:left w:val="nil"/>
              <w:bottom w:val="single" w:sz="4" w:space="0" w:color="auto"/>
              <w:right w:val="nil"/>
            </w:tcBorders>
            <w:shd w:val="clear" w:color="000000" w:fill="FFFFFF"/>
            <w:noWrap/>
            <w:vAlign w:val="bottom"/>
            <w:hideMark/>
          </w:tcPr>
          <w:p w14:paraId="38F4BADC"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6 713,5</w:t>
            </w:r>
          </w:p>
        </w:tc>
        <w:tc>
          <w:tcPr>
            <w:tcW w:w="902" w:type="dxa"/>
            <w:tcBorders>
              <w:top w:val="nil"/>
              <w:left w:val="nil"/>
              <w:bottom w:val="single" w:sz="4" w:space="0" w:color="auto"/>
              <w:right w:val="nil"/>
            </w:tcBorders>
            <w:shd w:val="clear" w:color="000000" w:fill="FFFFFF"/>
            <w:noWrap/>
            <w:vAlign w:val="bottom"/>
            <w:hideMark/>
          </w:tcPr>
          <w:p w14:paraId="1FB149D7"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6 727,5</w:t>
            </w:r>
          </w:p>
        </w:tc>
        <w:tc>
          <w:tcPr>
            <w:tcW w:w="902" w:type="dxa"/>
            <w:tcBorders>
              <w:top w:val="nil"/>
              <w:left w:val="nil"/>
              <w:bottom w:val="single" w:sz="4" w:space="0" w:color="auto"/>
              <w:right w:val="nil"/>
            </w:tcBorders>
            <w:shd w:val="clear" w:color="000000" w:fill="FFFFFF"/>
            <w:noWrap/>
            <w:vAlign w:val="bottom"/>
            <w:hideMark/>
          </w:tcPr>
          <w:p w14:paraId="6F6A6E42"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6 948,2</w:t>
            </w:r>
          </w:p>
        </w:tc>
        <w:tc>
          <w:tcPr>
            <w:tcW w:w="865" w:type="dxa"/>
            <w:tcBorders>
              <w:top w:val="nil"/>
              <w:left w:val="nil"/>
              <w:bottom w:val="single" w:sz="4" w:space="0" w:color="auto"/>
              <w:right w:val="nil"/>
            </w:tcBorders>
            <w:shd w:val="clear" w:color="000000" w:fill="F2F2F2"/>
            <w:noWrap/>
            <w:vAlign w:val="bottom"/>
            <w:hideMark/>
          </w:tcPr>
          <w:p w14:paraId="6114B9CF"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5,5%</w:t>
            </w:r>
          </w:p>
        </w:tc>
        <w:tc>
          <w:tcPr>
            <w:tcW w:w="880" w:type="dxa"/>
            <w:tcBorders>
              <w:top w:val="nil"/>
              <w:left w:val="nil"/>
              <w:bottom w:val="single" w:sz="4" w:space="0" w:color="auto"/>
              <w:right w:val="nil"/>
            </w:tcBorders>
            <w:shd w:val="clear" w:color="000000" w:fill="F2F2F2"/>
            <w:noWrap/>
            <w:vAlign w:val="bottom"/>
            <w:hideMark/>
          </w:tcPr>
          <w:p w14:paraId="7329205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5,6%</w:t>
            </w:r>
          </w:p>
        </w:tc>
        <w:tc>
          <w:tcPr>
            <w:tcW w:w="880" w:type="dxa"/>
            <w:tcBorders>
              <w:top w:val="nil"/>
              <w:left w:val="nil"/>
              <w:bottom w:val="single" w:sz="4" w:space="0" w:color="auto"/>
              <w:right w:val="nil"/>
            </w:tcBorders>
            <w:shd w:val="clear" w:color="000000" w:fill="F2F2F2"/>
            <w:noWrap/>
            <w:vAlign w:val="bottom"/>
            <w:hideMark/>
          </w:tcPr>
          <w:p w14:paraId="0BCA0019"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5,3%</w:t>
            </w:r>
          </w:p>
        </w:tc>
        <w:tc>
          <w:tcPr>
            <w:tcW w:w="880" w:type="dxa"/>
            <w:tcBorders>
              <w:top w:val="nil"/>
              <w:left w:val="nil"/>
              <w:bottom w:val="single" w:sz="4" w:space="0" w:color="auto"/>
              <w:right w:val="nil"/>
            </w:tcBorders>
            <w:shd w:val="clear" w:color="000000" w:fill="F2F2F2"/>
            <w:noWrap/>
            <w:vAlign w:val="bottom"/>
            <w:hideMark/>
          </w:tcPr>
          <w:p w14:paraId="5F7280F1"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5,2%</w:t>
            </w:r>
          </w:p>
        </w:tc>
      </w:tr>
      <w:tr w:rsidR="005749EE" w:rsidRPr="005749EE" w14:paraId="584155B2" w14:textId="77777777" w:rsidTr="005749EE">
        <w:trPr>
          <w:trHeight w:val="75"/>
        </w:trPr>
        <w:tc>
          <w:tcPr>
            <w:tcW w:w="2977" w:type="dxa"/>
            <w:tcBorders>
              <w:top w:val="nil"/>
              <w:left w:val="nil"/>
              <w:bottom w:val="nil"/>
              <w:right w:val="nil"/>
            </w:tcBorders>
            <w:shd w:val="clear" w:color="000000" w:fill="FFFFFF"/>
            <w:vAlign w:val="center"/>
            <w:hideMark/>
          </w:tcPr>
          <w:p w14:paraId="3DC47D29"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36025753" w14:textId="77777777" w:rsidR="005749EE" w:rsidRPr="005749EE" w:rsidRDefault="005749EE" w:rsidP="005749EE">
            <w:pPr>
              <w:spacing w:after="0"/>
              <w:jc w:val="right"/>
              <w:rPr>
                <w:rFonts w:eastAsia="Times New Roman" w:cs="Times New Roman"/>
                <w:b/>
                <w:bCs/>
                <w:color w:val="FF0000"/>
                <w:sz w:val="16"/>
                <w:szCs w:val="16"/>
              </w:rPr>
            </w:pPr>
            <w:r w:rsidRPr="005749EE">
              <w:rPr>
                <w:rFonts w:eastAsia="Times New Roman" w:cs="Times New Roman"/>
                <w:b/>
                <w:bCs/>
                <w:color w:val="FF0000"/>
                <w:sz w:val="16"/>
                <w:szCs w:val="16"/>
              </w:rPr>
              <w:t> </w:t>
            </w:r>
          </w:p>
        </w:tc>
        <w:tc>
          <w:tcPr>
            <w:tcW w:w="739" w:type="dxa"/>
            <w:tcBorders>
              <w:top w:val="nil"/>
              <w:left w:val="nil"/>
              <w:bottom w:val="nil"/>
              <w:right w:val="nil"/>
            </w:tcBorders>
            <w:shd w:val="clear" w:color="000000" w:fill="FFFFFF"/>
            <w:noWrap/>
            <w:vAlign w:val="bottom"/>
            <w:hideMark/>
          </w:tcPr>
          <w:p w14:paraId="12DCE54B"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3F55356E"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42EF85DE"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79EF655E"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7010D18A"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504387DA"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49BFA59D"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1493CC7D" w14:textId="77777777" w:rsidTr="005749EE">
        <w:trPr>
          <w:trHeight w:val="285"/>
        </w:trPr>
        <w:tc>
          <w:tcPr>
            <w:tcW w:w="2977" w:type="dxa"/>
            <w:tcBorders>
              <w:top w:val="nil"/>
              <w:left w:val="nil"/>
              <w:bottom w:val="nil"/>
              <w:right w:val="nil"/>
            </w:tcBorders>
            <w:shd w:val="clear" w:color="000000" w:fill="FFFFFF"/>
            <w:vAlign w:val="center"/>
            <w:hideMark/>
          </w:tcPr>
          <w:p w14:paraId="5D816973"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 xml:space="preserve">Социално осигуряване, подпомагане и грижи </w:t>
            </w:r>
          </w:p>
        </w:tc>
        <w:tc>
          <w:tcPr>
            <w:tcW w:w="957" w:type="dxa"/>
            <w:tcBorders>
              <w:top w:val="nil"/>
              <w:left w:val="nil"/>
              <w:bottom w:val="nil"/>
              <w:right w:val="nil"/>
            </w:tcBorders>
            <w:shd w:val="clear" w:color="000000" w:fill="FFFFFF"/>
            <w:noWrap/>
            <w:vAlign w:val="bottom"/>
            <w:hideMark/>
          </w:tcPr>
          <w:p w14:paraId="48B74E2C"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17 341,9</w:t>
            </w:r>
          </w:p>
        </w:tc>
        <w:tc>
          <w:tcPr>
            <w:tcW w:w="739" w:type="dxa"/>
            <w:tcBorders>
              <w:top w:val="nil"/>
              <w:left w:val="nil"/>
              <w:bottom w:val="nil"/>
              <w:right w:val="nil"/>
            </w:tcBorders>
            <w:shd w:val="clear" w:color="000000" w:fill="FFFFFF"/>
            <w:noWrap/>
            <w:vAlign w:val="bottom"/>
            <w:hideMark/>
          </w:tcPr>
          <w:p w14:paraId="3B3ECF51"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19 170,0</w:t>
            </w:r>
          </w:p>
        </w:tc>
        <w:tc>
          <w:tcPr>
            <w:tcW w:w="902" w:type="dxa"/>
            <w:tcBorders>
              <w:top w:val="nil"/>
              <w:left w:val="nil"/>
              <w:bottom w:val="nil"/>
              <w:right w:val="nil"/>
            </w:tcBorders>
            <w:shd w:val="clear" w:color="000000" w:fill="FFFFFF"/>
            <w:noWrap/>
            <w:vAlign w:val="bottom"/>
            <w:hideMark/>
          </w:tcPr>
          <w:p w14:paraId="73A42E64"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20 211,7</w:t>
            </w:r>
          </w:p>
        </w:tc>
        <w:tc>
          <w:tcPr>
            <w:tcW w:w="902" w:type="dxa"/>
            <w:tcBorders>
              <w:top w:val="nil"/>
              <w:left w:val="nil"/>
              <w:bottom w:val="nil"/>
              <w:right w:val="nil"/>
            </w:tcBorders>
            <w:shd w:val="clear" w:color="000000" w:fill="FFFFFF"/>
            <w:noWrap/>
            <w:vAlign w:val="bottom"/>
            <w:hideMark/>
          </w:tcPr>
          <w:p w14:paraId="7C94959B"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21 163,1</w:t>
            </w:r>
          </w:p>
        </w:tc>
        <w:tc>
          <w:tcPr>
            <w:tcW w:w="865" w:type="dxa"/>
            <w:tcBorders>
              <w:top w:val="nil"/>
              <w:left w:val="nil"/>
              <w:bottom w:val="nil"/>
              <w:right w:val="nil"/>
            </w:tcBorders>
            <w:shd w:val="clear" w:color="000000" w:fill="F2F2F2"/>
            <w:noWrap/>
            <w:vAlign w:val="bottom"/>
            <w:hideMark/>
          </w:tcPr>
          <w:p w14:paraId="6B3C4F12"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15,8%</w:t>
            </w:r>
          </w:p>
        </w:tc>
        <w:tc>
          <w:tcPr>
            <w:tcW w:w="880" w:type="dxa"/>
            <w:tcBorders>
              <w:top w:val="nil"/>
              <w:left w:val="nil"/>
              <w:bottom w:val="nil"/>
              <w:right w:val="nil"/>
            </w:tcBorders>
            <w:shd w:val="clear" w:color="000000" w:fill="F2F2F2"/>
            <w:noWrap/>
            <w:vAlign w:val="bottom"/>
            <w:hideMark/>
          </w:tcPr>
          <w:p w14:paraId="03B257CF"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16,0%</w:t>
            </w:r>
          </w:p>
        </w:tc>
        <w:tc>
          <w:tcPr>
            <w:tcW w:w="880" w:type="dxa"/>
            <w:tcBorders>
              <w:top w:val="nil"/>
              <w:left w:val="nil"/>
              <w:bottom w:val="nil"/>
              <w:right w:val="nil"/>
            </w:tcBorders>
            <w:shd w:val="clear" w:color="000000" w:fill="F2F2F2"/>
            <w:noWrap/>
            <w:vAlign w:val="bottom"/>
            <w:hideMark/>
          </w:tcPr>
          <w:p w14:paraId="6BDF53D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15,9%</w:t>
            </w:r>
          </w:p>
        </w:tc>
        <w:tc>
          <w:tcPr>
            <w:tcW w:w="880" w:type="dxa"/>
            <w:tcBorders>
              <w:top w:val="nil"/>
              <w:left w:val="nil"/>
              <w:bottom w:val="nil"/>
              <w:right w:val="nil"/>
            </w:tcBorders>
            <w:shd w:val="clear" w:color="000000" w:fill="F2F2F2"/>
            <w:noWrap/>
            <w:vAlign w:val="bottom"/>
            <w:hideMark/>
          </w:tcPr>
          <w:p w14:paraId="719FA542"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15,8%</w:t>
            </w:r>
          </w:p>
        </w:tc>
      </w:tr>
      <w:tr w:rsidR="005749EE" w:rsidRPr="005749EE" w14:paraId="7D28B3D5" w14:textId="77777777" w:rsidTr="005749EE">
        <w:trPr>
          <w:trHeight w:val="225"/>
        </w:trPr>
        <w:tc>
          <w:tcPr>
            <w:tcW w:w="2977" w:type="dxa"/>
            <w:tcBorders>
              <w:top w:val="nil"/>
              <w:left w:val="nil"/>
              <w:bottom w:val="nil"/>
              <w:right w:val="nil"/>
            </w:tcBorders>
            <w:shd w:val="clear" w:color="000000" w:fill="FFFFFF"/>
            <w:vAlign w:val="center"/>
            <w:hideMark/>
          </w:tcPr>
          <w:p w14:paraId="0518A677"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пенсии</w:t>
            </w:r>
          </w:p>
        </w:tc>
        <w:tc>
          <w:tcPr>
            <w:tcW w:w="957" w:type="dxa"/>
            <w:tcBorders>
              <w:top w:val="nil"/>
              <w:left w:val="nil"/>
              <w:bottom w:val="nil"/>
              <w:right w:val="nil"/>
            </w:tcBorders>
            <w:shd w:val="clear" w:color="000000" w:fill="FFFFFF"/>
            <w:noWrap/>
            <w:vAlign w:val="bottom"/>
            <w:hideMark/>
          </w:tcPr>
          <w:p w14:paraId="1DB6C88C"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12 389,0</w:t>
            </w:r>
          </w:p>
        </w:tc>
        <w:tc>
          <w:tcPr>
            <w:tcW w:w="739" w:type="dxa"/>
            <w:tcBorders>
              <w:top w:val="nil"/>
              <w:left w:val="nil"/>
              <w:bottom w:val="nil"/>
              <w:right w:val="nil"/>
            </w:tcBorders>
            <w:shd w:val="clear" w:color="000000" w:fill="FFFFFF"/>
            <w:noWrap/>
            <w:vAlign w:val="bottom"/>
            <w:hideMark/>
          </w:tcPr>
          <w:p w14:paraId="083867D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13 496,1</w:t>
            </w:r>
          </w:p>
        </w:tc>
        <w:tc>
          <w:tcPr>
            <w:tcW w:w="902" w:type="dxa"/>
            <w:tcBorders>
              <w:top w:val="nil"/>
              <w:left w:val="nil"/>
              <w:bottom w:val="nil"/>
              <w:right w:val="nil"/>
            </w:tcBorders>
            <w:shd w:val="clear" w:color="000000" w:fill="FFFFFF"/>
            <w:noWrap/>
            <w:vAlign w:val="bottom"/>
            <w:hideMark/>
          </w:tcPr>
          <w:p w14:paraId="76F594A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14 513,2</w:t>
            </w:r>
          </w:p>
        </w:tc>
        <w:tc>
          <w:tcPr>
            <w:tcW w:w="902" w:type="dxa"/>
            <w:tcBorders>
              <w:top w:val="nil"/>
              <w:left w:val="nil"/>
              <w:bottom w:val="nil"/>
              <w:right w:val="nil"/>
            </w:tcBorders>
            <w:shd w:val="clear" w:color="000000" w:fill="FFFFFF"/>
            <w:noWrap/>
            <w:vAlign w:val="bottom"/>
            <w:hideMark/>
          </w:tcPr>
          <w:p w14:paraId="46549ED0"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15 385,4</w:t>
            </w:r>
          </w:p>
        </w:tc>
        <w:tc>
          <w:tcPr>
            <w:tcW w:w="865" w:type="dxa"/>
            <w:tcBorders>
              <w:top w:val="nil"/>
              <w:left w:val="nil"/>
              <w:bottom w:val="nil"/>
              <w:right w:val="nil"/>
            </w:tcBorders>
            <w:shd w:val="clear" w:color="000000" w:fill="F2F2F2"/>
            <w:noWrap/>
            <w:vAlign w:val="bottom"/>
            <w:hideMark/>
          </w:tcPr>
          <w:p w14:paraId="375D6ACE"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11,3%</w:t>
            </w:r>
          </w:p>
        </w:tc>
        <w:tc>
          <w:tcPr>
            <w:tcW w:w="880" w:type="dxa"/>
            <w:tcBorders>
              <w:top w:val="nil"/>
              <w:left w:val="nil"/>
              <w:bottom w:val="nil"/>
              <w:right w:val="nil"/>
            </w:tcBorders>
            <w:shd w:val="clear" w:color="000000" w:fill="F2F2F2"/>
            <w:noWrap/>
            <w:vAlign w:val="bottom"/>
            <w:hideMark/>
          </w:tcPr>
          <w:p w14:paraId="15D72121"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11,2%</w:t>
            </w:r>
          </w:p>
        </w:tc>
        <w:tc>
          <w:tcPr>
            <w:tcW w:w="880" w:type="dxa"/>
            <w:tcBorders>
              <w:top w:val="nil"/>
              <w:left w:val="nil"/>
              <w:bottom w:val="nil"/>
              <w:right w:val="nil"/>
            </w:tcBorders>
            <w:shd w:val="clear" w:color="000000" w:fill="F2F2F2"/>
            <w:noWrap/>
            <w:vAlign w:val="bottom"/>
            <w:hideMark/>
          </w:tcPr>
          <w:p w14:paraId="791E9C9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11,4%</w:t>
            </w:r>
          </w:p>
        </w:tc>
        <w:tc>
          <w:tcPr>
            <w:tcW w:w="880" w:type="dxa"/>
            <w:tcBorders>
              <w:top w:val="nil"/>
              <w:left w:val="nil"/>
              <w:bottom w:val="nil"/>
              <w:right w:val="nil"/>
            </w:tcBorders>
            <w:shd w:val="clear" w:color="000000" w:fill="F2F2F2"/>
            <w:noWrap/>
            <w:vAlign w:val="bottom"/>
            <w:hideMark/>
          </w:tcPr>
          <w:p w14:paraId="266B4AF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11,5%</w:t>
            </w:r>
          </w:p>
        </w:tc>
      </w:tr>
      <w:tr w:rsidR="005749EE" w:rsidRPr="005749EE" w14:paraId="21E396C4" w14:textId="77777777" w:rsidTr="005749EE">
        <w:trPr>
          <w:trHeight w:val="225"/>
        </w:trPr>
        <w:tc>
          <w:tcPr>
            <w:tcW w:w="2977" w:type="dxa"/>
            <w:tcBorders>
              <w:top w:val="nil"/>
              <w:left w:val="nil"/>
              <w:bottom w:val="nil"/>
              <w:right w:val="nil"/>
            </w:tcBorders>
            <w:shd w:val="clear" w:color="000000" w:fill="FFFFFF"/>
            <w:vAlign w:val="center"/>
            <w:hideMark/>
          </w:tcPr>
          <w:p w14:paraId="1D87F01C"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социални помощи и обезщетения</w:t>
            </w:r>
          </w:p>
        </w:tc>
        <w:tc>
          <w:tcPr>
            <w:tcW w:w="957" w:type="dxa"/>
            <w:tcBorders>
              <w:top w:val="nil"/>
              <w:left w:val="nil"/>
              <w:bottom w:val="nil"/>
              <w:right w:val="nil"/>
            </w:tcBorders>
            <w:shd w:val="clear" w:color="000000" w:fill="FFFFFF"/>
            <w:noWrap/>
            <w:vAlign w:val="bottom"/>
            <w:hideMark/>
          </w:tcPr>
          <w:p w14:paraId="03133439"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3 217,4</w:t>
            </w:r>
          </w:p>
        </w:tc>
        <w:tc>
          <w:tcPr>
            <w:tcW w:w="739" w:type="dxa"/>
            <w:tcBorders>
              <w:top w:val="nil"/>
              <w:left w:val="nil"/>
              <w:bottom w:val="nil"/>
              <w:right w:val="nil"/>
            </w:tcBorders>
            <w:shd w:val="clear" w:color="000000" w:fill="FFFFFF"/>
            <w:noWrap/>
            <w:vAlign w:val="bottom"/>
            <w:hideMark/>
          </w:tcPr>
          <w:p w14:paraId="12C71E3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3 810,8</w:t>
            </w:r>
          </w:p>
        </w:tc>
        <w:tc>
          <w:tcPr>
            <w:tcW w:w="902" w:type="dxa"/>
            <w:tcBorders>
              <w:top w:val="nil"/>
              <w:left w:val="nil"/>
              <w:bottom w:val="nil"/>
              <w:right w:val="nil"/>
            </w:tcBorders>
            <w:shd w:val="clear" w:color="000000" w:fill="FFFFFF"/>
            <w:noWrap/>
            <w:vAlign w:val="bottom"/>
            <w:hideMark/>
          </w:tcPr>
          <w:p w14:paraId="7BDEDD9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4 017,7</w:t>
            </w:r>
          </w:p>
        </w:tc>
        <w:tc>
          <w:tcPr>
            <w:tcW w:w="902" w:type="dxa"/>
            <w:tcBorders>
              <w:top w:val="nil"/>
              <w:left w:val="nil"/>
              <w:bottom w:val="nil"/>
              <w:right w:val="nil"/>
            </w:tcBorders>
            <w:shd w:val="clear" w:color="000000" w:fill="FFFFFF"/>
            <w:noWrap/>
            <w:vAlign w:val="bottom"/>
            <w:hideMark/>
          </w:tcPr>
          <w:p w14:paraId="2FE84193"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4 103,0</w:t>
            </w:r>
          </w:p>
        </w:tc>
        <w:tc>
          <w:tcPr>
            <w:tcW w:w="865" w:type="dxa"/>
            <w:tcBorders>
              <w:top w:val="nil"/>
              <w:left w:val="nil"/>
              <w:bottom w:val="nil"/>
              <w:right w:val="nil"/>
            </w:tcBorders>
            <w:shd w:val="clear" w:color="000000" w:fill="F2F2F2"/>
            <w:noWrap/>
            <w:vAlign w:val="bottom"/>
            <w:hideMark/>
          </w:tcPr>
          <w:p w14:paraId="7C287C24"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2,9%</w:t>
            </w:r>
          </w:p>
        </w:tc>
        <w:tc>
          <w:tcPr>
            <w:tcW w:w="880" w:type="dxa"/>
            <w:tcBorders>
              <w:top w:val="nil"/>
              <w:left w:val="nil"/>
              <w:bottom w:val="nil"/>
              <w:right w:val="nil"/>
            </w:tcBorders>
            <w:shd w:val="clear" w:color="000000" w:fill="F2F2F2"/>
            <w:noWrap/>
            <w:vAlign w:val="bottom"/>
            <w:hideMark/>
          </w:tcPr>
          <w:p w14:paraId="382F65D1"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3,2%</w:t>
            </w:r>
          </w:p>
        </w:tc>
        <w:tc>
          <w:tcPr>
            <w:tcW w:w="880" w:type="dxa"/>
            <w:tcBorders>
              <w:top w:val="nil"/>
              <w:left w:val="nil"/>
              <w:bottom w:val="nil"/>
              <w:right w:val="nil"/>
            </w:tcBorders>
            <w:shd w:val="clear" w:color="000000" w:fill="F2F2F2"/>
            <w:noWrap/>
            <w:vAlign w:val="bottom"/>
            <w:hideMark/>
          </w:tcPr>
          <w:p w14:paraId="0D61DCC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3,2%</w:t>
            </w:r>
          </w:p>
        </w:tc>
        <w:tc>
          <w:tcPr>
            <w:tcW w:w="880" w:type="dxa"/>
            <w:tcBorders>
              <w:top w:val="nil"/>
              <w:left w:val="nil"/>
              <w:bottom w:val="nil"/>
              <w:right w:val="nil"/>
            </w:tcBorders>
            <w:shd w:val="clear" w:color="000000" w:fill="F2F2F2"/>
            <w:noWrap/>
            <w:vAlign w:val="bottom"/>
            <w:hideMark/>
          </w:tcPr>
          <w:p w14:paraId="7E5F1CD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3,1%</w:t>
            </w:r>
          </w:p>
        </w:tc>
      </w:tr>
      <w:tr w:rsidR="005749EE" w:rsidRPr="005749EE" w14:paraId="1DD5474D" w14:textId="77777777" w:rsidTr="005749EE">
        <w:trPr>
          <w:trHeight w:val="365"/>
        </w:trPr>
        <w:tc>
          <w:tcPr>
            <w:tcW w:w="2977" w:type="dxa"/>
            <w:tcBorders>
              <w:top w:val="nil"/>
              <w:left w:val="nil"/>
              <w:bottom w:val="single" w:sz="4" w:space="0" w:color="auto"/>
              <w:right w:val="nil"/>
            </w:tcBorders>
            <w:shd w:val="clear" w:color="000000" w:fill="FFFFFF"/>
            <w:vAlign w:val="center"/>
            <w:hideMark/>
          </w:tcPr>
          <w:p w14:paraId="331BAB81"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програми, дейности и служби по социалното осигуряване, подпомагане и заетостта</w:t>
            </w:r>
          </w:p>
        </w:tc>
        <w:tc>
          <w:tcPr>
            <w:tcW w:w="957" w:type="dxa"/>
            <w:tcBorders>
              <w:top w:val="nil"/>
              <w:left w:val="nil"/>
              <w:bottom w:val="single" w:sz="4" w:space="0" w:color="auto"/>
              <w:right w:val="nil"/>
            </w:tcBorders>
            <w:shd w:val="clear" w:color="000000" w:fill="FFFFFF"/>
            <w:noWrap/>
            <w:vAlign w:val="bottom"/>
            <w:hideMark/>
          </w:tcPr>
          <w:p w14:paraId="478F4695"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1 735,6</w:t>
            </w:r>
          </w:p>
        </w:tc>
        <w:tc>
          <w:tcPr>
            <w:tcW w:w="739" w:type="dxa"/>
            <w:tcBorders>
              <w:top w:val="nil"/>
              <w:left w:val="nil"/>
              <w:bottom w:val="single" w:sz="4" w:space="0" w:color="auto"/>
              <w:right w:val="nil"/>
            </w:tcBorders>
            <w:shd w:val="clear" w:color="000000" w:fill="FFFFFF"/>
            <w:noWrap/>
            <w:vAlign w:val="bottom"/>
            <w:hideMark/>
          </w:tcPr>
          <w:p w14:paraId="5E93B05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1 863,1</w:t>
            </w:r>
          </w:p>
        </w:tc>
        <w:tc>
          <w:tcPr>
            <w:tcW w:w="902" w:type="dxa"/>
            <w:tcBorders>
              <w:top w:val="nil"/>
              <w:left w:val="nil"/>
              <w:bottom w:val="single" w:sz="4" w:space="0" w:color="auto"/>
              <w:right w:val="nil"/>
            </w:tcBorders>
            <w:shd w:val="clear" w:color="000000" w:fill="FFFFFF"/>
            <w:noWrap/>
            <w:vAlign w:val="bottom"/>
            <w:hideMark/>
          </w:tcPr>
          <w:p w14:paraId="62E1279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1 680,8</w:t>
            </w:r>
          </w:p>
        </w:tc>
        <w:tc>
          <w:tcPr>
            <w:tcW w:w="902" w:type="dxa"/>
            <w:tcBorders>
              <w:top w:val="nil"/>
              <w:left w:val="nil"/>
              <w:bottom w:val="single" w:sz="4" w:space="0" w:color="auto"/>
              <w:right w:val="nil"/>
            </w:tcBorders>
            <w:shd w:val="clear" w:color="000000" w:fill="FFFFFF"/>
            <w:noWrap/>
            <w:vAlign w:val="bottom"/>
            <w:hideMark/>
          </w:tcPr>
          <w:p w14:paraId="72B89CD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1 674,7</w:t>
            </w:r>
          </w:p>
        </w:tc>
        <w:tc>
          <w:tcPr>
            <w:tcW w:w="865" w:type="dxa"/>
            <w:tcBorders>
              <w:top w:val="nil"/>
              <w:left w:val="nil"/>
              <w:bottom w:val="single" w:sz="4" w:space="0" w:color="auto"/>
              <w:right w:val="nil"/>
            </w:tcBorders>
            <w:shd w:val="clear" w:color="000000" w:fill="F2F2F2"/>
            <w:noWrap/>
            <w:vAlign w:val="bottom"/>
            <w:hideMark/>
          </w:tcPr>
          <w:p w14:paraId="2F663E99"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1,6%</w:t>
            </w:r>
          </w:p>
        </w:tc>
        <w:tc>
          <w:tcPr>
            <w:tcW w:w="880" w:type="dxa"/>
            <w:tcBorders>
              <w:top w:val="nil"/>
              <w:left w:val="nil"/>
              <w:bottom w:val="single" w:sz="4" w:space="0" w:color="auto"/>
              <w:right w:val="nil"/>
            </w:tcBorders>
            <w:shd w:val="clear" w:color="000000" w:fill="F2F2F2"/>
            <w:noWrap/>
            <w:vAlign w:val="bottom"/>
            <w:hideMark/>
          </w:tcPr>
          <w:p w14:paraId="007C408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1,6%</w:t>
            </w:r>
          </w:p>
        </w:tc>
        <w:tc>
          <w:tcPr>
            <w:tcW w:w="880" w:type="dxa"/>
            <w:tcBorders>
              <w:top w:val="nil"/>
              <w:left w:val="nil"/>
              <w:bottom w:val="single" w:sz="4" w:space="0" w:color="auto"/>
              <w:right w:val="nil"/>
            </w:tcBorders>
            <w:shd w:val="clear" w:color="000000" w:fill="F2F2F2"/>
            <w:noWrap/>
            <w:vAlign w:val="bottom"/>
            <w:hideMark/>
          </w:tcPr>
          <w:p w14:paraId="39C4902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w:t>
            </w:r>
          </w:p>
        </w:tc>
        <w:tc>
          <w:tcPr>
            <w:tcW w:w="880" w:type="dxa"/>
            <w:tcBorders>
              <w:top w:val="nil"/>
              <w:left w:val="nil"/>
              <w:bottom w:val="single" w:sz="4" w:space="0" w:color="auto"/>
              <w:right w:val="nil"/>
            </w:tcBorders>
            <w:shd w:val="clear" w:color="000000" w:fill="F2F2F2"/>
            <w:noWrap/>
            <w:vAlign w:val="bottom"/>
            <w:hideMark/>
          </w:tcPr>
          <w:p w14:paraId="44DAED7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w:t>
            </w:r>
          </w:p>
        </w:tc>
      </w:tr>
      <w:tr w:rsidR="005749EE" w:rsidRPr="005749EE" w14:paraId="7C87C914" w14:textId="77777777" w:rsidTr="005749EE">
        <w:trPr>
          <w:trHeight w:val="75"/>
        </w:trPr>
        <w:tc>
          <w:tcPr>
            <w:tcW w:w="2977" w:type="dxa"/>
            <w:tcBorders>
              <w:top w:val="nil"/>
              <w:left w:val="nil"/>
              <w:bottom w:val="nil"/>
              <w:right w:val="nil"/>
            </w:tcBorders>
            <w:shd w:val="clear" w:color="000000" w:fill="FFFFFF"/>
            <w:vAlign w:val="center"/>
            <w:hideMark/>
          </w:tcPr>
          <w:p w14:paraId="1A1D109E"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6813475A" w14:textId="77777777" w:rsidR="005749EE" w:rsidRPr="005749EE" w:rsidRDefault="005749EE" w:rsidP="005749EE">
            <w:pPr>
              <w:spacing w:after="0"/>
              <w:jc w:val="right"/>
              <w:rPr>
                <w:rFonts w:eastAsia="Times New Roman" w:cs="Times New Roman"/>
                <w:b/>
                <w:bCs/>
                <w:color w:val="FF0000"/>
                <w:sz w:val="16"/>
                <w:szCs w:val="16"/>
              </w:rPr>
            </w:pPr>
            <w:r w:rsidRPr="005749EE">
              <w:rPr>
                <w:rFonts w:eastAsia="Times New Roman" w:cs="Times New Roman"/>
                <w:b/>
                <w:bCs/>
                <w:color w:val="FF0000"/>
                <w:sz w:val="16"/>
                <w:szCs w:val="16"/>
              </w:rPr>
              <w:t> </w:t>
            </w:r>
          </w:p>
        </w:tc>
        <w:tc>
          <w:tcPr>
            <w:tcW w:w="739" w:type="dxa"/>
            <w:tcBorders>
              <w:top w:val="nil"/>
              <w:left w:val="nil"/>
              <w:bottom w:val="nil"/>
              <w:right w:val="nil"/>
            </w:tcBorders>
            <w:shd w:val="clear" w:color="000000" w:fill="FFFFFF"/>
            <w:noWrap/>
            <w:vAlign w:val="bottom"/>
            <w:hideMark/>
          </w:tcPr>
          <w:p w14:paraId="46A52C40"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499F63F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02CA2CCF"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2125B846"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3F1B1C51"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0E1A1377"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19696D03"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74770DEE" w14:textId="77777777" w:rsidTr="005749EE">
        <w:trPr>
          <w:trHeight w:val="540"/>
        </w:trPr>
        <w:tc>
          <w:tcPr>
            <w:tcW w:w="2977" w:type="dxa"/>
            <w:tcBorders>
              <w:top w:val="nil"/>
              <w:left w:val="nil"/>
              <w:bottom w:val="nil"/>
              <w:right w:val="nil"/>
            </w:tcBorders>
            <w:shd w:val="clear" w:color="000000" w:fill="FFFFFF"/>
            <w:vAlign w:val="center"/>
            <w:hideMark/>
          </w:tcPr>
          <w:p w14:paraId="0039FEED"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Жилищно строителство, благоустройство, комунално стопанство и опазване на околната среда</w:t>
            </w:r>
          </w:p>
        </w:tc>
        <w:tc>
          <w:tcPr>
            <w:tcW w:w="957" w:type="dxa"/>
            <w:tcBorders>
              <w:top w:val="nil"/>
              <w:left w:val="nil"/>
              <w:bottom w:val="nil"/>
              <w:right w:val="nil"/>
            </w:tcBorders>
            <w:shd w:val="clear" w:color="000000" w:fill="FFFFFF"/>
            <w:noWrap/>
            <w:vAlign w:val="bottom"/>
            <w:hideMark/>
          </w:tcPr>
          <w:p w14:paraId="4BF58AE9"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2 086,3</w:t>
            </w:r>
          </w:p>
        </w:tc>
        <w:tc>
          <w:tcPr>
            <w:tcW w:w="739" w:type="dxa"/>
            <w:tcBorders>
              <w:top w:val="nil"/>
              <w:left w:val="nil"/>
              <w:bottom w:val="nil"/>
              <w:right w:val="nil"/>
            </w:tcBorders>
            <w:shd w:val="clear" w:color="000000" w:fill="FFFFFF"/>
            <w:noWrap/>
            <w:vAlign w:val="bottom"/>
            <w:hideMark/>
          </w:tcPr>
          <w:p w14:paraId="25DEEB0F"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2 232,2</w:t>
            </w:r>
          </w:p>
        </w:tc>
        <w:tc>
          <w:tcPr>
            <w:tcW w:w="902" w:type="dxa"/>
            <w:tcBorders>
              <w:top w:val="nil"/>
              <w:left w:val="nil"/>
              <w:bottom w:val="nil"/>
              <w:right w:val="nil"/>
            </w:tcBorders>
            <w:shd w:val="clear" w:color="000000" w:fill="FFFFFF"/>
            <w:noWrap/>
            <w:vAlign w:val="bottom"/>
            <w:hideMark/>
          </w:tcPr>
          <w:p w14:paraId="73EC5B37"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2 488,0</w:t>
            </w:r>
          </w:p>
        </w:tc>
        <w:tc>
          <w:tcPr>
            <w:tcW w:w="902" w:type="dxa"/>
            <w:tcBorders>
              <w:top w:val="nil"/>
              <w:left w:val="nil"/>
              <w:bottom w:val="nil"/>
              <w:right w:val="nil"/>
            </w:tcBorders>
            <w:shd w:val="clear" w:color="000000" w:fill="FFFFFF"/>
            <w:noWrap/>
            <w:vAlign w:val="bottom"/>
            <w:hideMark/>
          </w:tcPr>
          <w:p w14:paraId="4D7432BC"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3 233,6</w:t>
            </w:r>
          </w:p>
        </w:tc>
        <w:tc>
          <w:tcPr>
            <w:tcW w:w="865" w:type="dxa"/>
            <w:tcBorders>
              <w:top w:val="nil"/>
              <w:left w:val="nil"/>
              <w:bottom w:val="nil"/>
              <w:right w:val="nil"/>
            </w:tcBorders>
            <w:shd w:val="clear" w:color="000000" w:fill="F2F2F2"/>
            <w:noWrap/>
            <w:vAlign w:val="bottom"/>
            <w:hideMark/>
          </w:tcPr>
          <w:p w14:paraId="7DCB238B"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1,9%</w:t>
            </w:r>
          </w:p>
        </w:tc>
        <w:tc>
          <w:tcPr>
            <w:tcW w:w="880" w:type="dxa"/>
            <w:tcBorders>
              <w:top w:val="nil"/>
              <w:left w:val="nil"/>
              <w:bottom w:val="nil"/>
              <w:right w:val="nil"/>
            </w:tcBorders>
            <w:shd w:val="clear" w:color="000000" w:fill="F2F2F2"/>
            <w:noWrap/>
            <w:vAlign w:val="bottom"/>
            <w:hideMark/>
          </w:tcPr>
          <w:p w14:paraId="751F961C"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1,9%</w:t>
            </w:r>
          </w:p>
        </w:tc>
        <w:tc>
          <w:tcPr>
            <w:tcW w:w="880" w:type="dxa"/>
            <w:tcBorders>
              <w:top w:val="nil"/>
              <w:left w:val="nil"/>
              <w:bottom w:val="nil"/>
              <w:right w:val="nil"/>
            </w:tcBorders>
            <w:shd w:val="clear" w:color="000000" w:fill="F2F2F2"/>
            <w:noWrap/>
            <w:vAlign w:val="bottom"/>
            <w:hideMark/>
          </w:tcPr>
          <w:p w14:paraId="57CEB1DF"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2,0%</w:t>
            </w:r>
          </w:p>
        </w:tc>
        <w:tc>
          <w:tcPr>
            <w:tcW w:w="880" w:type="dxa"/>
            <w:tcBorders>
              <w:top w:val="nil"/>
              <w:left w:val="nil"/>
              <w:bottom w:val="nil"/>
              <w:right w:val="nil"/>
            </w:tcBorders>
            <w:shd w:val="clear" w:color="000000" w:fill="F2F2F2"/>
            <w:noWrap/>
            <w:vAlign w:val="bottom"/>
            <w:hideMark/>
          </w:tcPr>
          <w:p w14:paraId="2F8AA209"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2,4%</w:t>
            </w:r>
          </w:p>
        </w:tc>
      </w:tr>
      <w:tr w:rsidR="005749EE" w:rsidRPr="005749EE" w14:paraId="371AF830" w14:textId="77777777" w:rsidTr="005749EE">
        <w:trPr>
          <w:trHeight w:val="450"/>
        </w:trPr>
        <w:tc>
          <w:tcPr>
            <w:tcW w:w="2977" w:type="dxa"/>
            <w:tcBorders>
              <w:top w:val="nil"/>
              <w:left w:val="nil"/>
              <w:bottom w:val="nil"/>
              <w:right w:val="nil"/>
            </w:tcBorders>
            <w:shd w:val="clear" w:color="000000" w:fill="FFFFFF"/>
            <w:vAlign w:val="center"/>
            <w:hideMark/>
          </w:tcPr>
          <w:p w14:paraId="165E5B6D"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жилищно строителство, благоустройство, комунално стопанство</w:t>
            </w:r>
          </w:p>
        </w:tc>
        <w:tc>
          <w:tcPr>
            <w:tcW w:w="957" w:type="dxa"/>
            <w:tcBorders>
              <w:top w:val="nil"/>
              <w:left w:val="nil"/>
              <w:bottom w:val="nil"/>
              <w:right w:val="nil"/>
            </w:tcBorders>
            <w:shd w:val="clear" w:color="000000" w:fill="FFFFFF"/>
            <w:noWrap/>
            <w:vAlign w:val="bottom"/>
            <w:hideMark/>
          </w:tcPr>
          <w:p w14:paraId="3CE610BB"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1 259,2</w:t>
            </w:r>
          </w:p>
        </w:tc>
        <w:tc>
          <w:tcPr>
            <w:tcW w:w="739" w:type="dxa"/>
            <w:tcBorders>
              <w:top w:val="nil"/>
              <w:left w:val="nil"/>
              <w:bottom w:val="nil"/>
              <w:right w:val="nil"/>
            </w:tcBorders>
            <w:shd w:val="clear" w:color="000000" w:fill="FFFFFF"/>
            <w:noWrap/>
            <w:vAlign w:val="bottom"/>
            <w:hideMark/>
          </w:tcPr>
          <w:p w14:paraId="611CAF3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1 359,4</w:t>
            </w:r>
          </w:p>
        </w:tc>
        <w:tc>
          <w:tcPr>
            <w:tcW w:w="902" w:type="dxa"/>
            <w:tcBorders>
              <w:top w:val="nil"/>
              <w:left w:val="nil"/>
              <w:bottom w:val="nil"/>
              <w:right w:val="nil"/>
            </w:tcBorders>
            <w:shd w:val="clear" w:color="000000" w:fill="FFFFFF"/>
            <w:noWrap/>
            <w:vAlign w:val="bottom"/>
            <w:hideMark/>
          </w:tcPr>
          <w:p w14:paraId="247BF18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1 468,8</w:t>
            </w:r>
          </w:p>
        </w:tc>
        <w:tc>
          <w:tcPr>
            <w:tcW w:w="902" w:type="dxa"/>
            <w:tcBorders>
              <w:top w:val="nil"/>
              <w:left w:val="nil"/>
              <w:bottom w:val="nil"/>
              <w:right w:val="nil"/>
            </w:tcBorders>
            <w:shd w:val="clear" w:color="000000" w:fill="FFFFFF"/>
            <w:noWrap/>
            <w:vAlign w:val="bottom"/>
            <w:hideMark/>
          </w:tcPr>
          <w:p w14:paraId="41ECD81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2 005,1</w:t>
            </w:r>
          </w:p>
        </w:tc>
        <w:tc>
          <w:tcPr>
            <w:tcW w:w="865" w:type="dxa"/>
            <w:tcBorders>
              <w:top w:val="nil"/>
              <w:left w:val="nil"/>
              <w:bottom w:val="nil"/>
              <w:right w:val="nil"/>
            </w:tcBorders>
            <w:shd w:val="clear" w:color="000000" w:fill="F2F2F2"/>
            <w:noWrap/>
            <w:vAlign w:val="bottom"/>
            <w:hideMark/>
          </w:tcPr>
          <w:p w14:paraId="362B290D"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1,1%</w:t>
            </w:r>
          </w:p>
        </w:tc>
        <w:tc>
          <w:tcPr>
            <w:tcW w:w="880" w:type="dxa"/>
            <w:tcBorders>
              <w:top w:val="nil"/>
              <w:left w:val="nil"/>
              <w:bottom w:val="nil"/>
              <w:right w:val="nil"/>
            </w:tcBorders>
            <w:shd w:val="clear" w:color="000000" w:fill="F2F2F2"/>
            <w:noWrap/>
            <w:vAlign w:val="bottom"/>
            <w:hideMark/>
          </w:tcPr>
          <w:p w14:paraId="30D295C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1,1%</w:t>
            </w:r>
          </w:p>
        </w:tc>
        <w:tc>
          <w:tcPr>
            <w:tcW w:w="880" w:type="dxa"/>
            <w:tcBorders>
              <w:top w:val="nil"/>
              <w:left w:val="nil"/>
              <w:bottom w:val="nil"/>
              <w:right w:val="nil"/>
            </w:tcBorders>
            <w:shd w:val="clear" w:color="000000" w:fill="F2F2F2"/>
            <w:noWrap/>
            <w:vAlign w:val="bottom"/>
            <w:hideMark/>
          </w:tcPr>
          <w:p w14:paraId="19C842F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1,2%</w:t>
            </w:r>
          </w:p>
        </w:tc>
        <w:tc>
          <w:tcPr>
            <w:tcW w:w="880" w:type="dxa"/>
            <w:tcBorders>
              <w:top w:val="nil"/>
              <w:left w:val="nil"/>
              <w:bottom w:val="nil"/>
              <w:right w:val="nil"/>
            </w:tcBorders>
            <w:shd w:val="clear" w:color="000000" w:fill="F2F2F2"/>
            <w:noWrap/>
            <w:vAlign w:val="bottom"/>
            <w:hideMark/>
          </w:tcPr>
          <w:p w14:paraId="32BDD180"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1,5%</w:t>
            </w:r>
          </w:p>
        </w:tc>
      </w:tr>
      <w:tr w:rsidR="005749EE" w:rsidRPr="005749EE" w14:paraId="3BDD96A0" w14:textId="77777777" w:rsidTr="005749EE">
        <w:trPr>
          <w:trHeight w:val="80"/>
        </w:trPr>
        <w:tc>
          <w:tcPr>
            <w:tcW w:w="2977" w:type="dxa"/>
            <w:tcBorders>
              <w:top w:val="nil"/>
              <w:left w:val="nil"/>
              <w:bottom w:val="single" w:sz="4" w:space="0" w:color="auto"/>
              <w:right w:val="nil"/>
            </w:tcBorders>
            <w:shd w:val="clear" w:color="000000" w:fill="FFFFFF"/>
            <w:vAlign w:val="center"/>
            <w:hideMark/>
          </w:tcPr>
          <w:p w14:paraId="20B0175D"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опазване на околната среда</w:t>
            </w:r>
          </w:p>
        </w:tc>
        <w:tc>
          <w:tcPr>
            <w:tcW w:w="957" w:type="dxa"/>
            <w:tcBorders>
              <w:top w:val="nil"/>
              <w:left w:val="nil"/>
              <w:bottom w:val="single" w:sz="4" w:space="0" w:color="auto"/>
              <w:right w:val="nil"/>
            </w:tcBorders>
            <w:shd w:val="clear" w:color="000000" w:fill="FFFFFF"/>
            <w:noWrap/>
            <w:vAlign w:val="bottom"/>
            <w:hideMark/>
          </w:tcPr>
          <w:p w14:paraId="1E7D2108"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827,1</w:t>
            </w:r>
          </w:p>
        </w:tc>
        <w:tc>
          <w:tcPr>
            <w:tcW w:w="739" w:type="dxa"/>
            <w:tcBorders>
              <w:top w:val="nil"/>
              <w:left w:val="nil"/>
              <w:bottom w:val="single" w:sz="4" w:space="0" w:color="auto"/>
              <w:right w:val="nil"/>
            </w:tcBorders>
            <w:shd w:val="clear" w:color="000000" w:fill="FFFFFF"/>
            <w:noWrap/>
            <w:vAlign w:val="bottom"/>
            <w:hideMark/>
          </w:tcPr>
          <w:p w14:paraId="4168E601"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872,8</w:t>
            </w:r>
          </w:p>
        </w:tc>
        <w:tc>
          <w:tcPr>
            <w:tcW w:w="902" w:type="dxa"/>
            <w:tcBorders>
              <w:top w:val="nil"/>
              <w:left w:val="nil"/>
              <w:bottom w:val="single" w:sz="4" w:space="0" w:color="auto"/>
              <w:right w:val="nil"/>
            </w:tcBorders>
            <w:shd w:val="clear" w:color="000000" w:fill="FFFFFF"/>
            <w:noWrap/>
            <w:vAlign w:val="bottom"/>
            <w:hideMark/>
          </w:tcPr>
          <w:p w14:paraId="704C93B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1 019,2</w:t>
            </w:r>
          </w:p>
        </w:tc>
        <w:tc>
          <w:tcPr>
            <w:tcW w:w="902" w:type="dxa"/>
            <w:tcBorders>
              <w:top w:val="nil"/>
              <w:left w:val="nil"/>
              <w:bottom w:val="single" w:sz="4" w:space="0" w:color="auto"/>
              <w:right w:val="nil"/>
            </w:tcBorders>
            <w:shd w:val="clear" w:color="000000" w:fill="FFFFFF"/>
            <w:noWrap/>
            <w:vAlign w:val="bottom"/>
            <w:hideMark/>
          </w:tcPr>
          <w:p w14:paraId="44CCE8F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1 228,5</w:t>
            </w:r>
          </w:p>
        </w:tc>
        <w:tc>
          <w:tcPr>
            <w:tcW w:w="865" w:type="dxa"/>
            <w:tcBorders>
              <w:top w:val="nil"/>
              <w:left w:val="nil"/>
              <w:bottom w:val="single" w:sz="4" w:space="0" w:color="auto"/>
              <w:right w:val="nil"/>
            </w:tcBorders>
            <w:shd w:val="clear" w:color="000000" w:fill="F2F2F2"/>
            <w:noWrap/>
            <w:vAlign w:val="bottom"/>
            <w:hideMark/>
          </w:tcPr>
          <w:p w14:paraId="0413339D"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0,8%</w:t>
            </w:r>
          </w:p>
        </w:tc>
        <w:tc>
          <w:tcPr>
            <w:tcW w:w="880" w:type="dxa"/>
            <w:tcBorders>
              <w:top w:val="nil"/>
              <w:left w:val="nil"/>
              <w:bottom w:val="single" w:sz="4" w:space="0" w:color="auto"/>
              <w:right w:val="nil"/>
            </w:tcBorders>
            <w:shd w:val="clear" w:color="000000" w:fill="F2F2F2"/>
            <w:noWrap/>
            <w:vAlign w:val="bottom"/>
            <w:hideMark/>
          </w:tcPr>
          <w:p w14:paraId="6FAFD19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0,7%</w:t>
            </w:r>
          </w:p>
        </w:tc>
        <w:tc>
          <w:tcPr>
            <w:tcW w:w="880" w:type="dxa"/>
            <w:tcBorders>
              <w:top w:val="nil"/>
              <w:left w:val="nil"/>
              <w:bottom w:val="single" w:sz="4" w:space="0" w:color="auto"/>
              <w:right w:val="nil"/>
            </w:tcBorders>
            <w:shd w:val="clear" w:color="000000" w:fill="F2F2F2"/>
            <w:noWrap/>
            <w:vAlign w:val="bottom"/>
            <w:hideMark/>
          </w:tcPr>
          <w:p w14:paraId="4709947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0,8%</w:t>
            </w:r>
          </w:p>
        </w:tc>
        <w:tc>
          <w:tcPr>
            <w:tcW w:w="880" w:type="dxa"/>
            <w:tcBorders>
              <w:top w:val="nil"/>
              <w:left w:val="nil"/>
              <w:bottom w:val="single" w:sz="4" w:space="0" w:color="auto"/>
              <w:right w:val="nil"/>
            </w:tcBorders>
            <w:shd w:val="clear" w:color="000000" w:fill="F2F2F2"/>
            <w:noWrap/>
            <w:vAlign w:val="bottom"/>
            <w:hideMark/>
          </w:tcPr>
          <w:p w14:paraId="5591224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0,9%</w:t>
            </w:r>
          </w:p>
        </w:tc>
      </w:tr>
      <w:tr w:rsidR="005749EE" w:rsidRPr="005749EE" w14:paraId="2E707F18" w14:textId="77777777" w:rsidTr="005749EE">
        <w:trPr>
          <w:trHeight w:val="75"/>
        </w:trPr>
        <w:tc>
          <w:tcPr>
            <w:tcW w:w="2977" w:type="dxa"/>
            <w:tcBorders>
              <w:top w:val="nil"/>
              <w:left w:val="nil"/>
              <w:bottom w:val="nil"/>
              <w:right w:val="nil"/>
            </w:tcBorders>
            <w:shd w:val="clear" w:color="000000" w:fill="FFFFFF"/>
            <w:vAlign w:val="center"/>
            <w:hideMark/>
          </w:tcPr>
          <w:p w14:paraId="3EE849DF"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7066D05E" w14:textId="77777777" w:rsidR="005749EE" w:rsidRPr="005749EE" w:rsidRDefault="005749EE" w:rsidP="005749EE">
            <w:pPr>
              <w:spacing w:after="0"/>
              <w:jc w:val="right"/>
              <w:rPr>
                <w:rFonts w:eastAsia="Times New Roman" w:cs="Times New Roman"/>
                <w:b/>
                <w:bCs/>
                <w:color w:val="FF0000"/>
                <w:sz w:val="16"/>
                <w:szCs w:val="16"/>
              </w:rPr>
            </w:pPr>
            <w:r w:rsidRPr="005749EE">
              <w:rPr>
                <w:rFonts w:eastAsia="Times New Roman" w:cs="Times New Roman"/>
                <w:b/>
                <w:bCs/>
                <w:color w:val="FF0000"/>
                <w:sz w:val="16"/>
                <w:szCs w:val="16"/>
              </w:rPr>
              <w:t> </w:t>
            </w:r>
          </w:p>
        </w:tc>
        <w:tc>
          <w:tcPr>
            <w:tcW w:w="739" w:type="dxa"/>
            <w:tcBorders>
              <w:top w:val="nil"/>
              <w:left w:val="nil"/>
              <w:bottom w:val="nil"/>
              <w:right w:val="nil"/>
            </w:tcBorders>
            <w:shd w:val="clear" w:color="000000" w:fill="FFFFFF"/>
            <w:noWrap/>
            <w:vAlign w:val="bottom"/>
            <w:hideMark/>
          </w:tcPr>
          <w:p w14:paraId="3354969E"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4F22F79A"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0B819E5F"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06A56AAC"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12F9F8E4"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1ACE0358"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6C630981"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52FCEC39" w14:textId="77777777" w:rsidTr="005749EE">
        <w:trPr>
          <w:trHeight w:val="300"/>
        </w:trPr>
        <w:tc>
          <w:tcPr>
            <w:tcW w:w="2977" w:type="dxa"/>
            <w:tcBorders>
              <w:top w:val="nil"/>
              <w:left w:val="nil"/>
              <w:bottom w:val="nil"/>
              <w:right w:val="nil"/>
            </w:tcBorders>
            <w:shd w:val="clear" w:color="000000" w:fill="FFFFFF"/>
            <w:vAlign w:val="center"/>
            <w:hideMark/>
          </w:tcPr>
          <w:p w14:paraId="2CC87E7B"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Култура, спорт, почивни дейности и религиозно дело</w:t>
            </w:r>
          </w:p>
        </w:tc>
        <w:tc>
          <w:tcPr>
            <w:tcW w:w="957" w:type="dxa"/>
            <w:tcBorders>
              <w:top w:val="nil"/>
              <w:left w:val="nil"/>
              <w:bottom w:val="nil"/>
              <w:right w:val="nil"/>
            </w:tcBorders>
            <w:shd w:val="clear" w:color="000000" w:fill="FFFFFF"/>
            <w:noWrap/>
            <w:vAlign w:val="bottom"/>
            <w:hideMark/>
          </w:tcPr>
          <w:p w14:paraId="22A90875"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776,2</w:t>
            </w:r>
          </w:p>
        </w:tc>
        <w:tc>
          <w:tcPr>
            <w:tcW w:w="739" w:type="dxa"/>
            <w:tcBorders>
              <w:top w:val="nil"/>
              <w:left w:val="nil"/>
              <w:bottom w:val="nil"/>
              <w:right w:val="nil"/>
            </w:tcBorders>
            <w:shd w:val="clear" w:color="000000" w:fill="FFFFFF"/>
            <w:noWrap/>
            <w:vAlign w:val="bottom"/>
            <w:hideMark/>
          </w:tcPr>
          <w:p w14:paraId="49B626D4"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868,9</w:t>
            </w:r>
          </w:p>
        </w:tc>
        <w:tc>
          <w:tcPr>
            <w:tcW w:w="902" w:type="dxa"/>
            <w:tcBorders>
              <w:top w:val="nil"/>
              <w:left w:val="nil"/>
              <w:bottom w:val="nil"/>
              <w:right w:val="nil"/>
            </w:tcBorders>
            <w:shd w:val="clear" w:color="000000" w:fill="FFFFFF"/>
            <w:noWrap/>
            <w:vAlign w:val="bottom"/>
            <w:hideMark/>
          </w:tcPr>
          <w:p w14:paraId="6BFC60F0"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808,0</w:t>
            </w:r>
          </w:p>
        </w:tc>
        <w:tc>
          <w:tcPr>
            <w:tcW w:w="902" w:type="dxa"/>
            <w:tcBorders>
              <w:top w:val="nil"/>
              <w:left w:val="nil"/>
              <w:bottom w:val="nil"/>
              <w:right w:val="nil"/>
            </w:tcBorders>
            <w:shd w:val="clear" w:color="000000" w:fill="FFFFFF"/>
            <w:noWrap/>
            <w:vAlign w:val="bottom"/>
            <w:hideMark/>
          </w:tcPr>
          <w:p w14:paraId="4C1FD3CB"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809,1</w:t>
            </w:r>
          </w:p>
        </w:tc>
        <w:tc>
          <w:tcPr>
            <w:tcW w:w="865" w:type="dxa"/>
            <w:tcBorders>
              <w:top w:val="nil"/>
              <w:left w:val="nil"/>
              <w:bottom w:val="nil"/>
              <w:right w:val="nil"/>
            </w:tcBorders>
            <w:shd w:val="clear" w:color="000000" w:fill="F2F2F2"/>
            <w:noWrap/>
            <w:vAlign w:val="bottom"/>
            <w:hideMark/>
          </w:tcPr>
          <w:p w14:paraId="7C0CEF47"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0,7%</w:t>
            </w:r>
          </w:p>
        </w:tc>
        <w:tc>
          <w:tcPr>
            <w:tcW w:w="880" w:type="dxa"/>
            <w:tcBorders>
              <w:top w:val="nil"/>
              <w:left w:val="nil"/>
              <w:bottom w:val="nil"/>
              <w:right w:val="nil"/>
            </w:tcBorders>
            <w:shd w:val="clear" w:color="000000" w:fill="F2F2F2"/>
            <w:noWrap/>
            <w:vAlign w:val="bottom"/>
            <w:hideMark/>
          </w:tcPr>
          <w:p w14:paraId="17448383"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0,7%</w:t>
            </w:r>
          </w:p>
        </w:tc>
        <w:tc>
          <w:tcPr>
            <w:tcW w:w="880" w:type="dxa"/>
            <w:tcBorders>
              <w:top w:val="nil"/>
              <w:left w:val="nil"/>
              <w:bottom w:val="nil"/>
              <w:right w:val="nil"/>
            </w:tcBorders>
            <w:shd w:val="clear" w:color="000000" w:fill="F2F2F2"/>
            <w:noWrap/>
            <w:vAlign w:val="bottom"/>
            <w:hideMark/>
          </w:tcPr>
          <w:p w14:paraId="3A75F0DD"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0,6%</w:t>
            </w:r>
          </w:p>
        </w:tc>
        <w:tc>
          <w:tcPr>
            <w:tcW w:w="880" w:type="dxa"/>
            <w:tcBorders>
              <w:top w:val="nil"/>
              <w:left w:val="nil"/>
              <w:bottom w:val="nil"/>
              <w:right w:val="nil"/>
            </w:tcBorders>
            <w:shd w:val="clear" w:color="000000" w:fill="F2F2F2"/>
            <w:noWrap/>
            <w:vAlign w:val="bottom"/>
            <w:hideMark/>
          </w:tcPr>
          <w:p w14:paraId="59A61192"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0,6%</w:t>
            </w:r>
          </w:p>
        </w:tc>
      </w:tr>
      <w:tr w:rsidR="005749EE" w:rsidRPr="005749EE" w14:paraId="25196663" w14:textId="77777777" w:rsidTr="005749EE">
        <w:trPr>
          <w:trHeight w:val="240"/>
        </w:trPr>
        <w:tc>
          <w:tcPr>
            <w:tcW w:w="2977" w:type="dxa"/>
            <w:tcBorders>
              <w:top w:val="nil"/>
              <w:left w:val="nil"/>
              <w:bottom w:val="nil"/>
              <w:right w:val="nil"/>
            </w:tcBorders>
            <w:shd w:val="clear" w:color="000000" w:fill="FFFFFF"/>
            <w:vAlign w:val="center"/>
            <w:hideMark/>
          </w:tcPr>
          <w:p w14:paraId="4BFF2CE9"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почивни дейности</w:t>
            </w:r>
          </w:p>
        </w:tc>
        <w:tc>
          <w:tcPr>
            <w:tcW w:w="957" w:type="dxa"/>
            <w:tcBorders>
              <w:top w:val="nil"/>
              <w:left w:val="nil"/>
              <w:bottom w:val="nil"/>
              <w:right w:val="nil"/>
            </w:tcBorders>
            <w:shd w:val="clear" w:color="000000" w:fill="FFFFFF"/>
            <w:noWrap/>
            <w:vAlign w:val="bottom"/>
            <w:hideMark/>
          </w:tcPr>
          <w:p w14:paraId="176AB732"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13,5</w:t>
            </w:r>
          </w:p>
        </w:tc>
        <w:tc>
          <w:tcPr>
            <w:tcW w:w="739" w:type="dxa"/>
            <w:tcBorders>
              <w:top w:val="nil"/>
              <w:left w:val="nil"/>
              <w:bottom w:val="nil"/>
              <w:right w:val="nil"/>
            </w:tcBorders>
            <w:shd w:val="clear" w:color="000000" w:fill="FFFFFF"/>
            <w:noWrap/>
            <w:vAlign w:val="bottom"/>
            <w:hideMark/>
          </w:tcPr>
          <w:p w14:paraId="7402B6C1"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14,9</w:t>
            </w:r>
          </w:p>
        </w:tc>
        <w:tc>
          <w:tcPr>
            <w:tcW w:w="902" w:type="dxa"/>
            <w:tcBorders>
              <w:top w:val="nil"/>
              <w:left w:val="nil"/>
              <w:bottom w:val="nil"/>
              <w:right w:val="nil"/>
            </w:tcBorders>
            <w:shd w:val="clear" w:color="000000" w:fill="FFFFFF"/>
            <w:noWrap/>
            <w:vAlign w:val="bottom"/>
            <w:hideMark/>
          </w:tcPr>
          <w:p w14:paraId="2729EFC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15,3</w:t>
            </w:r>
          </w:p>
        </w:tc>
        <w:tc>
          <w:tcPr>
            <w:tcW w:w="902" w:type="dxa"/>
            <w:tcBorders>
              <w:top w:val="nil"/>
              <w:left w:val="nil"/>
              <w:bottom w:val="nil"/>
              <w:right w:val="nil"/>
            </w:tcBorders>
            <w:shd w:val="clear" w:color="000000" w:fill="FFFFFF"/>
            <w:noWrap/>
            <w:vAlign w:val="bottom"/>
            <w:hideMark/>
          </w:tcPr>
          <w:p w14:paraId="0EE104F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15,6</w:t>
            </w:r>
          </w:p>
        </w:tc>
        <w:tc>
          <w:tcPr>
            <w:tcW w:w="865" w:type="dxa"/>
            <w:tcBorders>
              <w:top w:val="nil"/>
              <w:left w:val="nil"/>
              <w:bottom w:val="nil"/>
              <w:right w:val="nil"/>
            </w:tcBorders>
            <w:shd w:val="clear" w:color="000000" w:fill="F2F2F2"/>
            <w:noWrap/>
            <w:vAlign w:val="bottom"/>
            <w:hideMark/>
          </w:tcPr>
          <w:p w14:paraId="6987E60C"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0,0%</w:t>
            </w:r>
          </w:p>
        </w:tc>
        <w:tc>
          <w:tcPr>
            <w:tcW w:w="880" w:type="dxa"/>
            <w:tcBorders>
              <w:top w:val="nil"/>
              <w:left w:val="nil"/>
              <w:bottom w:val="nil"/>
              <w:right w:val="nil"/>
            </w:tcBorders>
            <w:shd w:val="clear" w:color="000000" w:fill="F2F2F2"/>
            <w:noWrap/>
            <w:vAlign w:val="bottom"/>
            <w:hideMark/>
          </w:tcPr>
          <w:p w14:paraId="1D91394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nil"/>
              <w:right w:val="nil"/>
            </w:tcBorders>
            <w:shd w:val="clear" w:color="000000" w:fill="F2F2F2"/>
            <w:noWrap/>
            <w:vAlign w:val="bottom"/>
            <w:hideMark/>
          </w:tcPr>
          <w:p w14:paraId="674FD16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nil"/>
              <w:right w:val="nil"/>
            </w:tcBorders>
            <w:shd w:val="clear" w:color="000000" w:fill="F2F2F2"/>
            <w:noWrap/>
            <w:vAlign w:val="bottom"/>
            <w:hideMark/>
          </w:tcPr>
          <w:p w14:paraId="7C21507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r>
      <w:tr w:rsidR="005749EE" w:rsidRPr="005749EE" w14:paraId="50BB1DEF" w14:textId="77777777" w:rsidTr="005749EE">
        <w:trPr>
          <w:trHeight w:val="240"/>
        </w:trPr>
        <w:tc>
          <w:tcPr>
            <w:tcW w:w="2977" w:type="dxa"/>
            <w:tcBorders>
              <w:top w:val="nil"/>
              <w:left w:val="nil"/>
              <w:bottom w:val="nil"/>
              <w:right w:val="nil"/>
            </w:tcBorders>
            <w:shd w:val="clear" w:color="000000" w:fill="FFFFFF"/>
            <w:vAlign w:val="center"/>
            <w:hideMark/>
          </w:tcPr>
          <w:p w14:paraId="5A79A66D"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физическа култура и спорт</w:t>
            </w:r>
          </w:p>
        </w:tc>
        <w:tc>
          <w:tcPr>
            <w:tcW w:w="957" w:type="dxa"/>
            <w:tcBorders>
              <w:top w:val="nil"/>
              <w:left w:val="nil"/>
              <w:bottom w:val="nil"/>
              <w:right w:val="nil"/>
            </w:tcBorders>
            <w:shd w:val="clear" w:color="000000" w:fill="FFFFFF"/>
            <w:noWrap/>
            <w:vAlign w:val="bottom"/>
            <w:hideMark/>
          </w:tcPr>
          <w:p w14:paraId="07F281DC"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127,9</w:t>
            </w:r>
          </w:p>
        </w:tc>
        <w:tc>
          <w:tcPr>
            <w:tcW w:w="739" w:type="dxa"/>
            <w:tcBorders>
              <w:top w:val="nil"/>
              <w:left w:val="nil"/>
              <w:bottom w:val="nil"/>
              <w:right w:val="nil"/>
            </w:tcBorders>
            <w:shd w:val="clear" w:color="000000" w:fill="FFFFFF"/>
            <w:noWrap/>
            <w:vAlign w:val="bottom"/>
            <w:hideMark/>
          </w:tcPr>
          <w:p w14:paraId="7D6C9BBA"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157,6</w:t>
            </w:r>
          </w:p>
        </w:tc>
        <w:tc>
          <w:tcPr>
            <w:tcW w:w="902" w:type="dxa"/>
            <w:tcBorders>
              <w:top w:val="nil"/>
              <w:left w:val="nil"/>
              <w:bottom w:val="nil"/>
              <w:right w:val="nil"/>
            </w:tcBorders>
            <w:shd w:val="clear" w:color="000000" w:fill="FFFFFF"/>
            <w:noWrap/>
            <w:vAlign w:val="bottom"/>
            <w:hideMark/>
          </w:tcPr>
          <w:p w14:paraId="4A9F215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135,9</w:t>
            </w:r>
          </w:p>
        </w:tc>
        <w:tc>
          <w:tcPr>
            <w:tcW w:w="902" w:type="dxa"/>
            <w:tcBorders>
              <w:top w:val="nil"/>
              <w:left w:val="nil"/>
              <w:bottom w:val="nil"/>
              <w:right w:val="nil"/>
            </w:tcBorders>
            <w:shd w:val="clear" w:color="000000" w:fill="FFFFFF"/>
            <w:noWrap/>
            <w:vAlign w:val="bottom"/>
            <w:hideMark/>
          </w:tcPr>
          <w:p w14:paraId="55CFAAC0"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138,8</w:t>
            </w:r>
          </w:p>
        </w:tc>
        <w:tc>
          <w:tcPr>
            <w:tcW w:w="865" w:type="dxa"/>
            <w:tcBorders>
              <w:top w:val="nil"/>
              <w:left w:val="nil"/>
              <w:bottom w:val="nil"/>
              <w:right w:val="nil"/>
            </w:tcBorders>
            <w:shd w:val="clear" w:color="000000" w:fill="F2F2F2"/>
            <w:noWrap/>
            <w:vAlign w:val="bottom"/>
            <w:hideMark/>
          </w:tcPr>
          <w:p w14:paraId="1AD669E9"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0,1%</w:t>
            </w:r>
          </w:p>
        </w:tc>
        <w:tc>
          <w:tcPr>
            <w:tcW w:w="880" w:type="dxa"/>
            <w:tcBorders>
              <w:top w:val="nil"/>
              <w:left w:val="nil"/>
              <w:bottom w:val="nil"/>
              <w:right w:val="nil"/>
            </w:tcBorders>
            <w:shd w:val="clear" w:color="000000" w:fill="F2F2F2"/>
            <w:noWrap/>
            <w:vAlign w:val="bottom"/>
            <w:hideMark/>
          </w:tcPr>
          <w:p w14:paraId="2EA9C12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c>
          <w:tcPr>
            <w:tcW w:w="880" w:type="dxa"/>
            <w:tcBorders>
              <w:top w:val="nil"/>
              <w:left w:val="nil"/>
              <w:bottom w:val="nil"/>
              <w:right w:val="nil"/>
            </w:tcBorders>
            <w:shd w:val="clear" w:color="000000" w:fill="F2F2F2"/>
            <w:noWrap/>
            <w:vAlign w:val="bottom"/>
            <w:hideMark/>
          </w:tcPr>
          <w:p w14:paraId="4164914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c>
          <w:tcPr>
            <w:tcW w:w="880" w:type="dxa"/>
            <w:tcBorders>
              <w:top w:val="nil"/>
              <w:left w:val="nil"/>
              <w:bottom w:val="nil"/>
              <w:right w:val="nil"/>
            </w:tcBorders>
            <w:shd w:val="clear" w:color="000000" w:fill="F2F2F2"/>
            <w:noWrap/>
            <w:vAlign w:val="bottom"/>
            <w:hideMark/>
          </w:tcPr>
          <w:p w14:paraId="4A26E20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0,1%</w:t>
            </w:r>
          </w:p>
        </w:tc>
      </w:tr>
      <w:tr w:rsidR="005749EE" w:rsidRPr="005749EE" w14:paraId="678152CE" w14:textId="77777777" w:rsidTr="005749EE">
        <w:trPr>
          <w:trHeight w:val="240"/>
        </w:trPr>
        <w:tc>
          <w:tcPr>
            <w:tcW w:w="2977" w:type="dxa"/>
            <w:tcBorders>
              <w:top w:val="nil"/>
              <w:left w:val="nil"/>
              <w:bottom w:val="nil"/>
              <w:right w:val="nil"/>
            </w:tcBorders>
            <w:shd w:val="clear" w:color="000000" w:fill="FFFFFF"/>
            <w:vAlign w:val="center"/>
            <w:hideMark/>
          </w:tcPr>
          <w:p w14:paraId="3578346A"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култура</w:t>
            </w:r>
          </w:p>
        </w:tc>
        <w:tc>
          <w:tcPr>
            <w:tcW w:w="957" w:type="dxa"/>
            <w:tcBorders>
              <w:top w:val="nil"/>
              <w:left w:val="nil"/>
              <w:bottom w:val="nil"/>
              <w:right w:val="nil"/>
            </w:tcBorders>
            <w:shd w:val="clear" w:color="000000" w:fill="FFFFFF"/>
            <w:noWrap/>
            <w:vAlign w:val="bottom"/>
            <w:hideMark/>
          </w:tcPr>
          <w:p w14:paraId="5F7F9123"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588,7</w:t>
            </w:r>
          </w:p>
        </w:tc>
        <w:tc>
          <w:tcPr>
            <w:tcW w:w="739" w:type="dxa"/>
            <w:tcBorders>
              <w:top w:val="nil"/>
              <w:left w:val="nil"/>
              <w:bottom w:val="nil"/>
              <w:right w:val="nil"/>
            </w:tcBorders>
            <w:shd w:val="clear" w:color="000000" w:fill="FFFFFF"/>
            <w:noWrap/>
            <w:vAlign w:val="bottom"/>
            <w:hideMark/>
          </w:tcPr>
          <w:p w14:paraId="3BEFC24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647,1</w:t>
            </w:r>
          </w:p>
        </w:tc>
        <w:tc>
          <w:tcPr>
            <w:tcW w:w="902" w:type="dxa"/>
            <w:tcBorders>
              <w:top w:val="nil"/>
              <w:left w:val="nil"/>
              <w:bottom w:val="nil"/>
              <w:right w:val="nil"/>
            </w:tcBorders>
            <w:shd w:val="clear" w:color="000000" w:fill="FFFFFF"/>
            <w:noWrap/>
            <w:vAlign w:val="bottom"/>
            <w:hideMark/>
          </w:tcPr>
          <w:p w14:paraId="77FC2FF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610,5</w:t>
            </w:r>
          </w:p>
        </w:tc>
        <w:tc>
          <w:tcPr>
            <w:tcW w:w="902" w:type="dxa"/>
            <w:tcBorders>
              <w:top w:val="nil"/>
              <w:left w:val="nil"/>
              <w:bottom w:val="nil"/>
              <w:right w:val="nil"/>
            </w:tcBorders>
            <w:shd w:val="clear" w:color="000000" w:fill="FFFFFF"/>
            <w:noWrap/>
            <w:vAlign w:val="bottom"/>
            <w:hideMark/>
          </w:tcPr>
          <w:p w14:paraId="20C84C2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608,5</w:t>
            </w:r>
          </w:p>
        </w:tc>
        <w:tc>
          <w:tcPr>
            <w:tcW w:w="865" w:type="dxa"/>
            <w:tcBorders>
              <w:top w:val="nil"/>
              <w:left w:val="nil"/>
              <w:bottom w:val="nil"/>
              <w:right w:val="nil"/>
            </w:tcBorders>
            <w:shd w:val="clear" w:color="000000" w:fill="F2F2F2"/>
            <w:noWrap/>
            <w:vAlign w:val="bottom"/>
            <w:hideMark/>
          </w:tcPr>
          <w:p w14:paraId="3F1F3E87"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0,5%</w:t>
            </w:r>
          </w:p>
        </w:tc>
        <w:tc>
          <w:tcPr>
            <w:tcW w:w="880" w:type="dxa"/>
            <w:tcBorders>
              <w:top w:val="nil"/>
              <w:left w:val="nil"/>
              <w:bottom w:val="nil"/>
              <w:right w:val="nil"/>
            </w:tcBorders>
            <w:shd w:val="clear" w:color="000000" w:fill="F2F2F2"/>
            <w:noWrap/>
            <w:vAlign w:val="bottom"/>
            <w:hideMark/>
          </w:tcPr>
          <w:p w14:paraId="2CAE954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0,5%</w:t>
            </w:r>
          </w:p>
        </w:tc>
        <w:tc>
          <w:tcPr>
            <w:tcW w:w="880" w:type="dxa"/>
            <w:tcBorders>
              <w:top w:val="nil"/>
              <w:left w:val="nil"/>
              <w:bottom w:val="nil"/>
              <w:right w:val="nil"/>
            </w:tcBorders>
            <w:shd w:val="clear" w:color="000000" w:fill="F2F2F2"/>
            <w:noWrap/>
            <w:vAlign w:val="bottom"/>
            <w:hideMark/>
          </w:tcPr>
          <w:p w14:paraId="40A10B7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0,5%</w:t>
            </w:r>
          </w:p>
        </w:tc>
        <w:tc>
          <w:tcPr>
            <w:tcW w:w="880" w:type="dxa"/>
            <w:tcBorders>
              <w:top w:val="nil"/>
              <w:left w:val="nil"/>
              <w:bottom w:val="nil"/>
              <w:right w:val="nil"/>
            </w:tcBorders>
            <w:shd w:val="clear" w:color="000000" w:fill="F2F2F2"/>
            <w:noWrap/>
            <w:vAlign w:val="bottom"/>
            <w:hideMark/>
          </w:tcPr>
          <w:p w14:paraId="7D41FC8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0,5%</w:t>
            </w:r>
          </w:p>
        </w:tc>
      </w:tr>
      <w:tr w:rsidR="005749EE" w:rsidRPr="005749EE" w14:paraId="0596115A" w14:textId="77777777" w:rsidTr="005749EE">
        <w:trPr>
          <w:trHeight w:val="80"/>
        </w:trPr>
        <w:tc>
          <w:tcPr>
            <w:tcW w:w="2977" w:type="dxa"/>
            <w:tcBorders>
              <w:top w:val="nil"/>
              <w:left w:val="nil"/>
              <w:bottom w:val="single" w:sz="4" w:space="0" w:color="auto"/>
              <w:right w:val="nil"/>
            </w:tcBorders>
            <w:shd w:val="clear" w:color="000000" w:fill="FFFFFF"/>
            <w:vAlign w:val="center"/>
            <w:hideMark/>
          </w:tcPr>
          <w:p w14:paraId="6752969B"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религиозно дело</w:t>
            </w:r>
          </w:p>
        </w:tc>
        <w:tc>
          <w:tcPr>
            <w:tcW w:w="957" w:type="dxa"/>
            <w:tcBorders>
              <w:top w:val="nil"/>
              <w:left w:val="nil"/>
              <w:bottom w:val="single" w:sz="4" w:space="0" w:color="auto"/>
              <w:right w:val="nil"/>
            </w:tcBorders>
            <w:shd w:val="clear" w:color="000000" w:fill="FFFFFF"/>
            <w:noWrap/>
            <w:vAlign w:val="bottom"/>
            <w:hideMark/>
          </w:tcPr>
          <w:p w14:paraId="6668961E"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46,2</w:t>
            </w:r>
          </w:p>
        </w:tc>
        <w:tc>
          <w:tcPr>
            <w:tcW w:w="739" w:type="dxa"/>
            <w:tcBorders>
              <w:top w:val="nil"/>
              <w:left w:val="nil"/>
              <w:bottom w:val="single" w:sz="4" w:space="0" w:color="auto"/>
              <w:right w:val="nil"/>
            </w:tcBorders>
            <w:shd w:val="clear" w:color="000000" w:fill="FFFFFF"/>
            <w:noWrap/>
            <w:vAlign w:val="bottom"/>
            <w:hideMark/>
          </w:tcPr>
          <w:p w14:paraId="5553E69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49,3</w:t>
            </w:r>
          </w:p>
        </w:tc>
        <w:tc>
          <w:tcPr>
            <w:tcW w:w="902" w:type="dxa"/>
            <w:tcBorders>
              <w:top w:val="nil"/>
              <w:left w:val="nil"/>
              <w:bottom w:val="single" w:sz="4" w:space="0" w:color="auto"/>
              <w:right w:val="nil"/>
            </w:tcBorders>
            <w:shd w:val="clear" w:color="000000" w:fill="FFFFFF"/>
            <w:noWrap/>
            <w:vAlign w:val="bottom"/>
            <w:hideMark/>
          </w:tcPr>
          <w:p w14:paraId="0EC346E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46,2</w:t>
            </w:r>
          </w:p>
        </w:tc>
        <w:tc>
          <w:tcPr>
            <w:tcW w:w="902" w:type="dxa"/>
            <w:tcBorders>
              <w:top w:val="nil"/>
              <w:left w:val="nil"/>
              <w:bottom w:val="single" w:sz="4" w:space="0" w:color="auto"/>
              <w:right w:val="nil"/>
            </w:tcBorders>
            <w:shd w:val="clear" w:color="000000" w:fill="FFFFFF"/>
            <w:noWrap/>
            <w:vAlign w:val="bottom"/>
            <w:hideMark/>
          </w:tcPr>
          <w:p w14:paraId="7484611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46,2</w:t>
            </w:r>
          </w:p>
        </w:tc>
        <w:tc>
          <w:tcPr>
            <w:tcW w:w="865" w:type="dxa"/>
            <w:tcBorders>
              <w:top w:val="nil"/>
              <w:left w:val="nil"/>
              <w:bottom w:val="single" w:sz="4" w:space="0" w:color="auto"/>
              <w:right w:val="nil"/>
            </w:tcBorders>
            <w:shd w:val="clear" w:color="000000" w:fill="F2F2F2"/>
            <w:noWrap/>
            <w:vAlign w:val="bottom"/>
            <w:hideMark/>
          </w:tcPr>
          <w:p w14:paraId="158D8048"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0,0%</w:t>
            </w:r>
          </w:p>
        </w:tc>
        <w:tc>
          <w:tcPr>
            <w:tcW w:w="880" w:type="dxa"/>
            <w:tcBorders>
              <w:top w:val="nil"/>
              <w:left w:val="nil"/>
              <w:bottom w:val="single" w:sz="4" w:space="0" w:color="auto"/>
              <w:right w:val="nil"/>
            </w:tcBorders>
            <w:shd w:val="clear" w:color="000000" w:fill="F2F2F2"/>
            <w:noWrap/>
            <w:vAlign w:val="bottom"/>
            <w:hideMark/>
          </w:tcPr>
          <w:p w14:paraId="707F043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single" w:sz="4" w:space="0" w:color="auto"/>
              <w:right w:val="nil"/>
            </w:tcBorders>
            <w:shd w:val="clear" w:color="000000" w:fill="F2F2F2"/>
            <w:noWrap/>
            <w:vAlign w:val="bottom"/>
            <w:hideMark/>
          </w:tcPr>
          <w:p w14:paraId="53D1F62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single" w:sz="4" w:space="0" w:color="auto"/>
              <w:right w:val="nil"/>
            </w:tcBorders>
            <w:shd w:val="clear" w:color="000000" w:fill="F2F2F2"/>
            <w:noWrap/>
            <w:vAlign w:val="bottom"/>
            <w:hideMark/>
          </w:tcPr>
          <w:p w14:paraId="38DCB19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r>
      <w:tr w:rsidR="005749EE" w:rsidRPr="005749EE" w14:paraId="297AEDE2" w14:textId="77777777" w:rsidTr="005749EE">
        <w:trPr>
          <w:trHeight w:val="120"/>
        </w:trPr>
        <w:tc>
          <w:tcPr>
            <w:tcW w:w="2977" w:type="dxa"/>
            <w:tcBorders>
              <w:top w:val="nil"/>
              <w:left w:val="nil"/>
              <w:bottom w:val="nil"/>
              <w:right w:val="nil"/>
            </w:tcBorders>
            <w:shd w:val="clear" w:color="000000" w:fill="FFFFFF"/>
            <w:vAlign w:val="center"/>
            <w:hideMark/>
          </w:tcPr>
          <w:p w14:paraId="69246A35"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350B5C28" w14:textId="77777777" w:rsidR="005749EE" w:rsidRPr="005749EE" w:rsidRDefault="005749EE" w:rsidP="005749EE">
            <w:pPr>
              <w:spacing w:after="0"/>
              <w:jc w:val="right"/>
              <w:rPr>
                <w:rFonts w:eastAsia="Times New Roman" w:cs="Times New Roman"/>
                <w:b/>
                <w:bCs/>
                <w:color w:val="FF0000"/>
                <w:sz w:val="16"/>
                <w:szCs w:val="16"/>
              </w:rPr>
            </w:pPr>
            <w:r w:rsidRPr="005749EE">
              <w:rPr>
                <w:rFonts w:eastAsia="Times New Roman" w:cs="Times New Roman"/>
                <w:b/>
                <w:bCs/>
                <w:color w:val="FF0000"/>
                <w:sz w:val="16"/>
                <w:szCs w:val="16"/>
              </w:rPr>
              <w:t> </w:t>
            </w:r>
          </w:p>
        </w:tc>
        <w:tc>
          <w:tcPr>
            <w:tcW w:w="739" w:type="dxa"/>
            <w:tcBorders>
              <w:top w:val="nil"/>
              <w:left w:val="nil"/>
              <w:bottom w:val="nil"/>
              <w:right w:val="nil"/>
            </w:tcBorders>
            <w:shd w:val="clear" w:color="000000" w:fill="FFFFFF"/>
            <w:noWrap/>
            <w:vAlign w:val="bottom"/>
            <w:hideMark/>
          </w:tcPr>
          <w:p w14:paraId="0FDB2966"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65CFF0BD"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902" w:type="dxa"/>
            <w:tcBorders>
              <w:top w:val="nil"/>
              <w:left w:val="nil"/>
              <w:bottom w:val="nil"/>
              <w:right w:val="nil"/>
            </w:tcBorders>
            <w:shd w:val="clear" w:color="000000" w:fill="FFFFFF"/>
            <w:noWrap/>
            <w:vAlign w:val="bottom"/>
            <w:hideMark/>
          </w:tcPr>
          <w:p w14:paraId="755375D2"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 </w:t>
            </w:r>
          </w:p>
        </w:tc>
        <w:tc>
          <w:tcPr>
            <w:tcW w:w="865" w:type="dxa"/>
            <w:tcBorders>
              <w:top w:val="nil"/>
              <w:left w:val="nil"/>
              <w:bottom w:val="nil"/>
              <w:right w:val="nil"/>
            </w:tcBorders>
            <w:shd w:val="clear" w:color="000000" w:fill="F2F2F2"/>
            <w:noWrap/>
            <w:vAlign w:val="bottom"/>
            <w:hideMark/>
          </w:tcPr>
          <w:p w14:paraId="1DDC0076"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1C0A7C6C"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5953EEA2"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03F6ADEC"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4D620035" w14:textId="77777777" w:rsidTr="005749EE">
        <w:trPr>
          <w:trHeight w:val="240"/>
        </w:trPr>
        <w:tc>
          <w:tcPr>
            <w:tcW w:w="2977" w:type="dxa"/>
            <w:tcBorders>
              <w:top w:val="nil"/>
              <w:left w:val="nil"/>
              <w:bottom w:val="nil"/>
              <w:right w:val="nil"/>
            </w:tcBorders>
            <w:shd w:val="clear" w:color="000000" w:fill="FFFFFF"/>
            <w:vAlign w:val="center"/>
            <w:hideMark/>
          </w:tcPr>
          <w:p w14:paraId="6C04C4F3"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Икономически дейности и услуги</w:t>
            </w:r>
          </w:p>
        </w:tc>
        <w:tc>
          <w:tcPr>
            <w:tcW w:w="957" w:type="dxa"/>
            <w:tcBorders>
              <w:top w:val="nil"/>
              <w:left w:val="nil"/>
              <w:bottom w:val="nil"/>
              <w:right w:val="nil"/>
            </w:tcBorders>
            <w:shd w:val="clear" w:color="000000" w:fill="FFFFFF"/>
            <w:noWrap/>
            <w:vAlign w:val="bottom"/>
            <w:hideMark/>
          </w:tcPr>
          <w:p w14:paraId="0E0493EB"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7 533,3</w:t>
            </w:r>
          </w:p>
        </w:tc>
        <w:tc>
          <w:tcPr>
            <w:tcW w:w="739" w:type="dxa"/>
            <w:tcBorders>
              <w:top w:val="nil"/>
              <w:left w:val="nil"/>
              <w:bottom w:val="nil"/>
              <w:right w:val="nil"/>
            </w:tcBorders>
            <w:shd w:val="clear" w:color="000000" w:fill="FFFFFF"/>
            <w:noWrap/>
            <w:vAlign w:val="bottom"/>
            <w:hideMark/>
          </w:tcPr>
          <w:p w14:paraId="60AB58BD"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7 642,2</w:t>
            </w:r>
          </w:p>
        </w:tc>
        <w:tc>
          <w:tcPr>
            <w:tcW w:w="902" w:type="dxa"/>
            <w:tcBorders>
              <w:top w:val="nil"/>
              <w:left w:val="nil"/>
              <w:bottom w:val="nil"/>
              <w:right w:val="nil"/>
            </w:tcBorders>
            <w:shd w:val="clear" w:color="000000" w:fill="FFFFFF"/>
            <w:noWrap/>
            <w:vAlign w:val="bottom"/>
            <w:hideMark/>
          </w:tcPr>
          <w:p w14:paraId="2878379C"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6 952,8</w:t>
            </w:r>
          </w:p>
        </w:tc>
        <w:tc>
          <w:tcPr>
            <w:tcW w:w="902" w:type="dxa"/>
            <w:tcBorders>
              <w:top w:val="nil"/>
              <w:left w:val="nil"/>
              <w:bottom w:val="nil"/>
              <w:right w:val="nil"/>
            </w:tcBorders>
            <w:shd w:val="clear" w:color="000000" w:fill="FFFFFF"/>
            <w:noWrap/>
            <w:vAlign w:val="bottom"/>
            <w:hideMark/>
          </w:tcPr>
          <w:p w14:paraId="26FA1332"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6 964,5</w:t>
            </w:r>
          </w:p>
        </w:tc>
        <w:tc>
          <w:tcPr>
            <w:tcW w:w="865" w:type="dxa"/>
            <w:tcBorders>
              <w:top w:val="nil"/>
              <w:left w:val="nil"/>
              <w:bottom w:val="nil"/>
              <w:right w:val="nil"/>
            </w:tcBorders>
            <w:shd w:val="clear" w:color="000000" w:fill="F2F2F2"/>
            <w:noWrap/>
            <w:vAlign w:val="bottom"/>
            <w:hideMark/>
          </w:tcPr>
          <w:p w14:paraId="62BF2F7E"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6,8%</w:t>
            </w:r>
          </w:p>
        </w:tc>
        <w:tc>
          <w:tcPr>
            <w:tcW w:w="880" w:type="dxa"/>
            <w:tcBorders>
              <w:top w:val="nil"/>
              <w:left w:val="nil"/>
              <w:bottom w:val="nil"/>
              <w:right w:val="nil"/>
            </w:tcBorders>
            <w:shd w:val="clear" w:color="000000" w:fill="F2F2F2"/>
            <w:noWrap/>
            <w:vAlign w:val="bottom"/>
            <w:hideMark/>
          </w:tcPr>
          <w:p w14:paraId="5B8DD5CE"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6,4%</w:t>
            </w:r>
          </w:p>
        </w:tc>
        <w:tc>
          <w:tcPr>
            <w:tcW w:w="880" w:type="dxa"/>
            <w:tcBorders>
              <w:top w:val="nil"/>
              <w:left w:val="nil"/>
              <w:bottom w:val="nil"/>
              <w:right w:val="nil"/>
            </w:tcBorders>
            <w:shd w:val="clear" w:color="000000" w:fill="F2F2F2"/>
            <w:noWrap/>
            <w:vAlign w:val="bottom"/>
            <w:hideMark/>
          </w:tcPr>
          <w:p w14:paraId="6B50224A"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5,5%</w:t>
            </w:r>
          </w:p>
        </w:tc>
        <w:tc>
          <w:tcPr>
            <w:tcW w:w="880" w:type="dxa"/>
            <w:tcBorders>
              <w:top w:val="nil"/>
              <w:left w:val="nil"/>
              <w:bottom w:val="nil"/>
              <w:right w:val="nil"/>
            </w:tcBorders>
            <w:shd w:val="clear" w:color="000000" w:fill="F2F2F2"/>
            <w:noWrap/>
            <w:vAlign w:val="bottom"/>
            <w:hideMark/>
          </w:tcPr>
          <w:p w14:paraId="7C4064A5"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5,2%</w:t>
            </w:r>
          </w:p>
        </w:tc>
      </w:tr>
      <w:tr w:rsidR="005749EE" w:rsidRPr="005749EE" w14:paraId="2ECD5859" w14:textId="77777777" w:rsidTr="005749EE">
        <w:trPr>
          <w:trHeight w:val="240"/>
        </w:trPr>
        <w:tc>
          <w:tcPr>
            <w:tcW w:w="2977" w:type="dxa"/>
            <w:tcBorders>
              <w:top w:val="nil"/>
              <w:left w:val="nil"/>
              <w:bottom w:val="nil"/>
              <w:right w:val="nil"/>
            </w:tcBorders>
            <w:shd w:val="clear" w:color="000000" w:fill="FFFFFF"/>
            <w:vAlign w:val="center"/>
            <w:hideMark/>
          </w:tcPr>
          <w:p w14:paraId="43AECB3E"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минно дело, горива и енергия</w:t>
            </w:r>
          </w:p>
        </w:tc>
        <w:tc>
          <w:tcPr>
            <w:tcW w:w="957" w:type="dxa"/>
            <w:tcBorders>
              <w:top w:val="nil"/>
              <w:left w:val="nil"/>
              <w:bottom w:val="nil"/>
              <w:right w:val="nil"/>
            </w:tcBorders>
            <w:shd w:val="clear" w:color="000000" w:fill="FFFFFF"/>
            <w:noWrap/>
            <w:vAlign w:val="bottom"/>
            <w:hideMark/>
          </w:tcPr>
          <w:p w14:paraId="23B7E922"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1 613,4</w:t>
            </w:r>
          </w:p>
        </w:tc>
        <w:tc>
          <w:tcPr>
            <w:tcW w:w="739" w:type="dxa"/>
            <w:tcBorders>
              <w:top w:val="nil"/>
              <w:left w:val="nil"/>
              <w:bottom w:val="nil"/>
              <w:right w:val="nil"/>
            </w:tcBorders>
            <w:shd w:val="clear" w:color="000000" w:fill="FFFFFF"/>
            <w:noWrap/>
            <w:vAlign w:val="bottom"/>
            <w:hideMark/>
          </w:tcPr>
          <w:p w14:paraId="61778E7F"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2 169,9</w:t>
            </w:r>
          </w:p>
        </w:tc>
        <w:tc>
          <w:tcPr>
            <w:tcW w:w="902" w:type="dxa"/>
            <w:tcBorders>
              <w:top w:val="nil"/>
              <w:left w:val="nil"/>
              <w:bottom w:val="nil"/>
              <w:right w:val="nil"/>
            </w:tcBorders>
            <w:shd w:val="clear" w:color="000000" w:fill="FFFFFF"/>
            <w:noWrap/>
            <w:vAlign w:val="bottom"/>
            <w:hideMark/>
          </w:tcPr>
          <w:p w14:paraId="42A2937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1 098,0</w:t>
            </w:r>
          </w:p>
        </w:tc>
        <w:tc>
          <w:tcPr>
            <w:tcW w:w="902" w:type="dxa"/>
            <w:tcBorders>
              <w:top w:val="nil"/>
              <w:left w:val="nil"/>
              <w:bottom w:val="nil"/>
              <w:right w:val="nil"/>
            </w:tcBorders>
            <w:shd w:val="clear" w:color="000000" w:fill="FFFFFF"/>
            <w:noWrap/>
            <w:vAlign w:val="bottom"/>
            <w:hideMark/>
          </w:tcPr>
          <w:p w14:paraId="7200740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1 163,3</w:t>
            </w:r>
          </w:p>
        </w:tc>
        <w:tc>
          <w:tcPr>
            <w:tcW w:w="865" w:type="dxa"/>
            <w:tcBorders>
              <w:top w:val="nil"/>
              <w:left w:val="nil"/>
              <w:bottom w:val="nil"/>
              <w:right w:val="nil"/>
            </w:tcBorders>
            <w:shd w:val="clear" w:color="000000" w:fill="F2F2F2"/>
            <w:noWrap/>
            <w:vAlign w:val="bottom"/>
            <w:hideMark/>
          </w:tcPr>
          <w:p w14:paraId="1670200A"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1,5%</w:t>
            </w:r>
          </w:p>
        </w:tc>
        <w:tc>
          <w:tcPr>
            <w:tcW w:w="880" w:type="dxa"/>
            <w:tcBorders>
              <w:top w:val="nil"/>
              <w:left w:val="nil"/>
              <w:bottom w:val="nil"/>
              <w:right w:val="nil"/>
            </w:tcBorders>
            <w:shd w:val="clear" w:color="000000" w:fill="F2F2F2"/>
            <w:noWrap/>
            <w:vAlign w:val="bottom"/>
            <w:hideMark/>
          </w:tcPr>
          <w:p w14:paraId="6689DDE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1,8%</w:t>
            </w:r>
          </w:p>
        </w:tc>
        <w:tc>
          <w:tcPr>
            <w:tcW w:w="880" w:type="dxa"/>
            <w:tcBorders>
              <w:top w:val="nil"/>
              <w:left w:val="nil"/>
              <w:bottom w:val="nil"/>
              <w:right w:val="nil"/>
            </w:tcBorders>
            <w:shd w:val="clear" w:color="000000" w:fill="F2F2F2"/>
            <w:noWrap/>
            <w:vAlign w:val="bottom"/>
            <w:hideMark/>
          </w:tcPr>
          <w:p w14:paraId="5212983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0,9%</w:t>
            </w:r>
          </w:p>
        </w:tc>
        <w:tc>
          <w:tcPr>
            <w:tcW w:w="880" w:type="dxa"/>
            <w:tcBorders>
              <w:top w:val="nil"/>
              <w:left w:val="nil"/>
              <w:bottom w:val="nil"/>
              <w:right w:val="nil"/>
            </w:tcBorders>
            <w:shd w:val="clear" w:color="000000" w:fill="F2F2F2"/>
            <w:noWrap/>
            <w:vAlign w:val="bottom"/>
            <w:hideMark/>
          </w:tcPr>
          <w:p w14:paraId="2E668A1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0,9%</w:t>
            </w:r>
          </w:p>
        </w:tc>
      </w:tr>
      <w:tr w:rsidR="005749EE" w:rsidRPr="005749EE" w14:paraId="4C937389" w14:textId="77777777" w:rsidTr="005749EE">
        <w:trPr>
          <w:trHeight w:val="240"/>
        </w:trPr>
        <w:tc>
          <w:tcPr>
            <w:tcW w:w="2977" w:type="dxa"/>
            <w:tcBorders>
              <w:top w:val="nil"/>
              <w:left w:val="nil"/>
              <w:bottom w:val="nil"/>
              <w:right w:val="nil"/>
            </w:tcBorders>
            <w:shd w:val="clear" w:color="000000" w:fill="FFFFFF"/>
            <w:vAlign w:val="center"/>
            <w:hideMark/>
          </w:tcPr>
          <w:p w14:paraId="16C311B2"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селско стопанство, горско стопанство, лов и риболов</w:t>
            </w:r>
          </w:p>
        </w:tc>
        <w:tc>
          <w:tcPr>
            <w:tcW w:w="957" w:type="dxa"/>
            <w:tcBorders>
              <w:top w:val="nil"/>
              <w:left w:val="nil"/>
              <w:bottom w:val="nil"/>
              <w:right w:val="nil"/>
            </w:tcBorders>
            <w:shd w:val="clear" w:color="000000" w:fill="FFFFFF"/>
            <w:noWrap/>
            <w:vAlign w:val="bottom"/>
            <w:hideMark/>
          </w:tcPr>
          <w:p w14:paraId="548A9874"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1 924,9</w:t>
            </w:r>
          </w:p>
        </w:tc>
        <w:tc>
          <w:tcPr>
            <w:tcW w:w="739" w:type="dxa"/>
            <w:tcBorders>
              <w:top w:val="nil"/>
              <w:left w:val="nil"/>
              <w:bottom w:val="nil"/>
              <w:right w:val="nil"/>
            </w:tcBorders>
            <w:shd w:val="clear" w:color="000000" w:fill="FFFFFF"/>
            <w:noWrap/>
            <w:vAlign w:val="bottom"/>
            <w:hideMark/>
          </w:tcPr>
          <w:p w14:paraId="64077C3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1 207,1</w:t>
            </w:r>
          </w:p>
        </w:tc>
        <w:tc>
          <w:tcPr>
            <w:tcW w:w="902" w:type="dxa"/>
            <w:tcBorders>
              <w:top w:val="nil"/>
              <w:left w:val="nil"/>
              <w:bottom w:val="nil"/>
              <w:right w:val="nil"/>
            </w:tcBorders>
            <w:shd w:val="clear" w:color="000000" w:fill="FFFFFF"/>
            <w:noWrap/>
            <w:vAlign w:val="bottom"/>
            <w:hideMark/>
          </w:tcPr>
          <w:p w14:paraId="0E3567A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1 251,9</w:t>
            </w:r>
          </w:p>
        </w:tc>
        <w:tc>
          <w:tcPr>
            <w:tcW w:w="902" w:type="dxa"/>
            <w:tcBorders>
              <w:top w:val="nil"/>
              <w:left w:val="nil"/>
              <w:bottom w:val="nil"/>
              <w:right w:val="nil"/>
            </w:tcBorders>
            <w:shd w:val="clear" w:color="000000" w:fill="FFFFFF"/>
            <w:noWrap/>
            <w:vAlign w:val="bottom"/>
            <w:hideMark/>
          </w:tcPr>
          <w:p w14:paraId="31D56BE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1 278,0</w:t>
            </w:r>
          </w:p>
        </w:tc>
        <w:tc>
          <w:tcPr>
            <w:tcW w:w="865" w:type="dxa"/>
            <w:tcBorders>
              <w:top w:val="nil"/>
              <w:left w:val="nil"/>
              <w:bottom w:val="nil"/>
              <w:right w:val="nil"/>
            </w:tcBorders>
            <w:shd w:val="clear" w:color="000000" w:fill="F2F2F2"/>
            <w:noWrap/>
            <w:vAlign w:val="bottom"/>
            <w:hideMark/>
          </w:tcPr>
          <w:p w14:paraId="639A0DCE"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1,7%</w:t>
            </w:r>
          </w:p>
        </w:tc>
        <w:tc>
          <w:tcPr>
            <w:tcW w:w="880" w:type="dxa"/>
            <w:tcBorders>
              <w:top w:val="nil"/>
              <w:left w:val="nil"/>
              <w:bottom w:val="nil"/>
              <w:right w:val="nil"/>
            </w:tcBorders>
            <w:shd w:val="clear" w:color="000000" w:fill="F2F2F2"/>
            <w:noWrap/>
            <w:vAlign w:val="bottom"/>
            <w:hideMark/>
          </w:tcPr>
          <w:p w14:paraId="2810863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1,0%</w:t>
            </w:r>
          </w:p>
        </w:tc>
        <w:tc>
          <w:tcPr>
            <w:tcW w:w="880" w:type="dxa"/>
            <w:tcBorders>
              <w:top w:val="nil"/>
              <w:left w:val="nil"/>
              <w:bottom w:val="nil"/>
              <w:right w:val="nil"/>
            </w:tcBorders>
            <w:shd w:val="clear" w:color="000000" w:fill="F2F2F2"/>
            <w:noWrap/>
            <w:vAlign w:val="bottom"/>
            <w:hideMark/>
          </w:tcPr>
          <w:p w14:paraId="1CF96816"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1,0%</w:t>
            </w:r>
          </w:p>
        </w:tc>
        <w:tc>
          <w:tcPr>
            <w:tcW w:w="880" w:type="dxa"/>
            <w:tcBorders>
              <w:top w:val="nil"/>
              <w:left w:val="nil"/>
              <w:bottom w:val="nil"/>
              <w:right w:val="nil"/>
            </w:tcBorders>
            <w:shd w:val="clear" w:color="000000" w:fill="F2F2F2"/>
            <w:noWrap/>
            <w:vAlign w:val="bottom"/>
            <w:hideMark/>
          </w:tcPr>
          <w:p w14:paraId="271ADCC0"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1,0%</w:t>
            </w:r>
          </w:p>
        </w:tc>
      </w:tr>
      <w:tr w:rsidR="005749EE" w:rsidRPr="005749EE" w14:paraId="7DED45CC" w14:textId="77777777" w:rsidTr="005749EE">
        <w:trPr>
          <w:trHeight w:val="240"/>
        </w:trPr>
        <w:tc>
          <w:tcPr>
            <w:tcW w:w="2977" w:type="dxa"/>
            <w:tcBorders>
              <w:top w:val="nil"/>
              <w:left w:val="nil"/>
              <w:bottom w:val="nil"/>
              <w:right w:val="nil"/>
            </w:tcBorders>
            <w:shd w:val="clear" w:color="000000" w:fill="FFFFFF"/>
            <w:vAlign w:val="center"/>
            <w:hideMark/>
          </w:tcPr>
          <w:p w14:paraId="4FC43B0A"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транспорт и съобщения</w:t>
            </w:r>
          </w:p>
        </w:tc>
        <w:tc>
          <w:tcPr>
            <w:tcW w:w="957" w:type="dxa"/>
            <w:tcBorders>
              <w:top w:val="nil"/>
              <w:left w:val="nil"/>
              <w:bottom w:val="nil"/>
              <w:right w:val="nil"/>
            </w:tcBorders>
            <w:shd w:val="clear" w:color="000000" w:fill="FFFFFF"/>
            <w:noWrap/>
            <w:vAlign w:val="bottom"/>
            <w:hideMark/>
          </w:tcPr>
          <w:p w14:paraId="3619DA88"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2 921,5</w:t>
            </w:r>
          </w:p>
        </w:tc>
        <w:tc>
          <w:tcPr>
            <w:tcW w:w="739" w:type="dxa"/>
            <w:tcBorders>
              <w:top w:val="nil"/>
              <w:left w:val="nil"/>
              <w:bottom w:val="nil"/>
              <w:right w:val="nil"/>
            </w:tcBorders>
            <w:shd w:val="clear" w:color="000000" w:fill="FFFFFF"/>
            <w:noWrap/>
            <w:vAlign w:val="bottom"/>
            <w:hideMark/>
          </w:tcPr>
          <w:p w14:paraId="18E15C77"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3 420,9</w:t>
            </w:r>
          </w:p>
        </w:tc>
        <w:tc>
          <w:tcPr>
            <w:tcW w:w="902" w:type="dxa"/>
            <w:tcBorders>
              <w:top w:val="nil"/>
              <w:left w:val="nil"/>
              <w:bottom w:val="nil"/>
              <w:right w:val="nil"/>
            </w:tcBorders>
            <w:shd w:val="clear" w:color="000000" w:fill="FFFFFF"/>
            <w:noWrap/>
            <w:vAlign w:val="bottom"/>
            <w:hideMark/>
          </w:tcPr>
          <w:p w14:paraId="18A4F88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3 787,2</w:t>
            </w:r>
          </w:p>
        </w:tc>
        <w:tc>
          <w:tcPr>
            <w:tcW w:w="902" w:type="dxa"/>
            <w:tcBorders>
              <w:top w:val="nil"/>
              <w:left w:val="nil"/>
              <w:bottom w:val="nil"/>
              <w:right w:val="nil"/>
            </w:tcBorders>
            <w:shd w:val="clear" w:color="000000" w:fill="FFFFFF"/>
            <w:noWrap/>
            <w:vAlign w:val="bottom"/>
            <w:hideMark/>
          </w:tcPr>
          <w:p w14:paraId="0BDF2ED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3 752,8</w:t>
            </w:r>
          </w:p>
        </w:tc>
        <w:tc>
          <w:tcPr>
            <w:tcW w:w="865" w:type="dxa"/>
            <w:tcBorders>
              <w:top w:val="nil"/>
              <w:left w:val="nil"/>
              <w:bottom w:val="nil"/>
              <w:right w:val="nil"/>
            </w:tcBorders>
            <w:shd w:val="clear" w:color="000000" w:fill="F2F2F2"/>
            <w:noWrap/>
            <w:vAlign w:val="bottom"/>
            <w:hideMark/>
          </w:tcPr>
          <w:p w14:paraId="0C14686A"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2,7%</w:t>
            </w:r>
          </w:p>
        </w:tc>
        <w:tc>
          <w:tcPr>
            <w:tcW w:w="880" w:type="dxa"/>
            <w:tcBorders>
              <w:top w:val="nil"/>
              <w:left w:val="nil"/>
              <w:bottom w:val="nil"/>
              <w:right w:val="nil"/>
            </w:tcBorders>
            <w:shd w:val="clear" w:color="000000" w:fill="F2F2F2"/>
            <w:noWrap/>
            <w:vAlign w:val="bottom"/>
            <w:hideMark/>
          </w:tcPr>
          <w:p w14:paraId="05F6657B"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2,8%</w:t>
            </w:r>
          </w:p>
        </w:tc>
        <w:tc>
          <w:tcPr>
            <w:tcW w:w="880" w:type="dxa"/>
            <w:tcBorders>
              <w:top w:val="nil"/>
              <w:left w:val="nil"/>
              <w:bottom w:val="nil"/>
              <w:right w:val="nil"/>
            </w:tcBorders>
            <w:shd w:val="clear" w:color="000000" w:fill="F2F2F2"/>
            <w:noWrap/>
            <w:vAlign w:val="bottom"/>
            <w:hideMark/>
          </w:tcPr>
          <w:p w14:paraId="589FD149"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3,0%</w:t>
            </w:r>
          </w:p>
        </w:tc>
        <w:tc>
          <w:tcPr>
            <w:tcW w:w="880" w:type="dxa"/>
            <w:tcBorders>
              <w:top w:val="nil"/>
              <w:left w:val="nil"/>
              <w:bottom w:val="nil"/>
              <w:right w:val="nil"/>
            </w:tcBorders>
            <w:shd w:val="clear" w:color="000000" w:fill="F2F2F2"/>
            <w:noWrap/>
            <w:vAlign w:val="bottom"/>
            <w:hideMark/>
          </w:tcPr>
          <w:p w14:paraId="062CC0C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2,8%</w:t>
            </w:r>
          </w:p>
        </w:tc>
      </w:tr>
      <w:tr w:rsidR="005749EE" w:rsidRPr="005749EE" w14:paraId="60E50277" w14:textId="77777777" w:rsidTr="005749EE">
        <w:trPr>
          <w:trHeight w:val="240"/>
        </w:trPr>
        <w:tc>
          <w:tcPr>
            <w:tcW w:w="2977" w:type="dxa"/>
            <w:tcBorders>
              <w:top w:val="nil"/>
              <w:left w:val="nil"/>
              <w:bottom w:val="nil"/>
              <w:right w:val="nil"/>
            </w:tcBorders>
            <w:shd w:val="clear" w:color="000000" w:fill="FFFFFF"/>
            <w:vAlign w:val="center"/>
            <w:hideMark/>
          </w:tcPr>
          <w:p w14:paraId="129B8E56"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промишленост и строителство</w:t>
            </w:r>
          </w:p>
        </w:tc>
        <w:tc>
          <w:tcPr>
            <w:tcW w:w="957" w:type="dxa"/>
            <w:tcBorders>
              <w:top w:val="nil"/>
              <w:left w:val="nil"/>
              <w:bottom w:val="nil"/>
              <w:right w:val="nil"/>
            </w:tcBorders>
            <w:shd w:val="clear" w:color="000000" w:fill="FFFFFF"/>
            <w:noWrap/>
            <w:vAlign w:val="bottom"/>
            <w:hideMark/>
          </w:tcPr>
          <w:p w14:paraId="74B02A05"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2,7</w:t>
            </w:r>
          </w:p>
        </w:tc>
        <w:tc>
          <w:tcPr>
            <w:tcW w:w="739" w:type="dxa"/>
            <w:tcBorders>
              <w:top w:val="nil"/>
              <w:left w:val="nil"/>
              <w:bottom w:val="nil"/>
              <w:right w:val="nil"/>
            </w:tcBorders>
            <w:shd w:val="clear" w:color="000000" w:fill="FFFFFF"/>
            <w:noWrap/>
            <w:vAlign w:val="bottom"/>
            <w:hideMark/>
          </w:tcPr>
          <w:p w14:paraId="2548E52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1,8</w:t>
            </w:r>
          </w:p>
        </w:tc>
        <w:tc>
          <w:tcPr>
            <w:tcW w:w="902" w:type="dxa"/>
            <w:tcBorders>
              <w:top w:val="nil"/>
              <w:left w:val="nil"/>
              <w:bottom w:val="nil"/>
              <w:right w:val="nil"/>
            </w:tcBorders>
            <w:shd w:val="clear" w:color="000000" w:fill="FFFFFF"/>
            <w:noWrap/>
            <w:vAlign w:val="bottom"/>
            <w:hideMark/>
          </w:tcPr>
          <w:p w14:paraId="788C9D6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1,8</w:t>
            </w:r>
          </w:p>
        </w:tc>
        <w:tc>
          <w:tcPr>
            <w:tcW w:w="902" w:type="dxa"/>
            <w:tcBorders>
              <w:top w:val="nil"/>
              <w:left w:val="nil"/>
              <w:bottom w:val="nil"/>
              <w:right w:val="nil"/>
            </w:tcBorders>
            <w:shd w:val="clear" w:color="000000" w:fill="FFFFFF"/>
            <w:noWrap/>
            <w:vAlign w:val="bottom"/>
            <w:hideMark/>
          </w:tcPr>
          <w:p w14:paraId="458053A3"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1,8</w:t>
            </w:r>
          </w:p>
        </w:tc>
        <w:tc>
          <w:tcPr>
            <w:tcW w:w="865" w:type="dxa"/>
            <w:tcBorders>
              <w:top w:val="nil"/>
              <w:left w:val="nil"/>
              <w:bottom w:val="nil"/>
              <w:right w:val="nil"/>
            </w:tcBorders>
            <w:shd w:val="clear" w:color="000000" w:fill="F2F2F2"/>
            <w:noWrap/>
            <w:vAlign w:val="bottom"/>
            <w:hideMark/>
          </w:tcPr>
          <w:p w14:paraId="67156390"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0,0%</w:t>
            </w:r>
          </w:p>
        </w:tc>
        <w:tc>
          <w:tcPr>
            <w:tcW w:w="880" w:type="dxa"/>
            <w:tcBorders>
              <w:top w:val="nil"/>
              <w:left w:val="nil"/>
              <w:bottom w:val="nil"/>
              <w:right w:val="nil"/>
            </w:tcBorders>
            <w:shd w:val="clear" w:color="000000" w:fill="F2F2F2"/>
            <w:noWrap/>
            <w:vAlign w:val="bottom"/>
            <w:hideMark/>
          </w:tcPr>
          <w:p w14:paraId="3A9972D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nil"/>
              <w:right w:val="nil"/>
            </w:tcBorders>
            <w:shd w:val="clear" w:color="000000" w:fill="F2F2F2"/>
            <w:noWrap/>
            <w:vAlign w:val="bottom"/>
            <w:hideMark/>
          </w:tcPr>
          <w:p w14:paraId="2BD8632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nil"/>
              <w:right w:val="nil"/>
            </w:tcBorders>
            <w:shd w:val="clear" w:color="000000" w:fill="F2F2F2"/>
            <w:noWrap/>
            <w:vAlign w:val="bottom"/>
            <w:hideMark/>
          </w:tcPr>
          <w:p w14:paraId="2761757D"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r>
      <w:tr w:rsidR="005749EE" w:rsidRPr="005749EE" w14:paraId="2508F013" w14:textId="77777777" w:rsidTr="005749EE">
        <w:trPr>
          <w:trHeight w:val="240"/>
        </w:trPr>
        <w:tc>
          <w:tcPr>
            <w:tcW w:w="2977" w:type="dxa"/>
            <w:tcBorders>
              <w:top w:val="nil"/>
              <w:left w:val="nil"/>
              <w:bottom w:val="nil"/>
              <w:right w:val="nil"/>
            </w:tcBorders>
            <w:shd w:val="clear" w:color="000000" w:fill="FFFFFF"/>
            <w:vAlign w:val="center"/>
            <w:hideMark/>
          </w:tcPr>
          <w:p w14:paraId="4C9C8910"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туризъм</w:t>
            </w:r>
          </w:p>
        </w:tc>
        <w:tc>
          <w:tcPr>
            <w:tcW w:w="957" w:type="dxa"/>
            <w:tcBorders>
              <w:top w:val="nil"/>
              <w:left w:val="nil"/>
              <w:bottom w:val="nil"/>
              <w:right w:val="nil"/>
            </w:tcBorders>
            <w:shd w:val="clear" w:color="000000" w:fill="FFFFFF"/>
            <w:noWrap/>
            <w:vAlign w:val="bottom"/>
            <w:hideMark/>
          </w:tcPr>
          <w:p w14:paraId="2C4311FE"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41,4</w:t>
            </w:r>
          </w:p>
        </w:tc>
        <w:tc>
          <w:tcPr>
            <w:tcW w:w="739" w:type="dxa"/>
            <w:tcBorders>
              <w:top w:val="nil"/>
              <w:left w:val="nil"/>
              <w:bottom w:val="nil"/>
              <w:right w:val="nil"/>
            </w:tcBorders>
            <w:shd w:val="clear" w:color="000000" w:fill="FFFFFF"/>
            <w:noWrap/>
            <w:vAlign w:val="bottom"/>
            <w:hideMark/>
          </w:tcPr>
          <w:p w14:paraId="2415F55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18,6</w:t>
            </w:r>
          </w:p>
        </w:tc>
        <w:tc>
          <w:tcPr>
            <w:tcW w:w="902" w:type="dxa"/>
            <w:tcBorders>
              <w:top w:val="nil"/>
              <w:left w:val="nil"/>
              <w:bottom w:val="nil"/>
              <w:right w:val="nil"/>
            </w:tcBorders>
            <w:shd w:val="clear" w:color="000000" w:fill="FFFFFF"/>
            <w:noWrap/>
            <w:vAlign w:val="bottom"/>
            <w:hideMark/>
          </w:tcPr>
          <w:p w14:paraId="79711F8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23,2</w:t>
            </w:r>
          </w:p>
        </w:tc>
        <w:tc>
          <w:tcPr>
            <w:tcW w:w="902" w:type="dxa"/>
            <w:tcBorders>
              <w:top w:val="nil"/>
              <w:left w:val="nil"/>
              <w:bottom w:val="nil"/>
              <w:right w:val="nil"/>
            </w:tcBorders>
            <w:shd w:val="clear" w:color="000000" w:fill="FFFFFF"/>
            <w:noWrap/>
            <w:vAlign w:val="bottom"/>
            <w:hideMark/>
          </w:tcPr>
          <w:p w14:paraId="03D38EF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24,7</w:t>
            </w:r>
          </w:p>
        </w:tc>
        <w:tc>
          <w:tcPr>
            <w:tcW w:w="865" w:type="dxa"/>
            <w:tcBorders>
              <w:top w:val="nil"/>
              <w:left w:val="nil"/>
              <w:bottom w:val="nil"/>
              <w:right w:val="nil"/>
            </w:tcBorders>
            <w:shd w:val="clear" w:color="000000" w:fill="F2F2F2"/>
            <w:noWrap/>
            <w:vAlign w:val="bottom"/>
            <w:hideMark/>
          </w:tcPr>
          <w:p w14:paraId="66200BDE"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0,0%</w:t>
            </w:r>
          </w:p>
        </w:tc>
        <w:tc>
          <w:tcPr>
            <w:tcW w:w="880" w:type="dxa"/>
            <w:tcBorders>
              <w:top w:val="nil"/>
              <w:left w:val="nil"/>
              <w:bottom w:val="nil"/>
              <w:right w:val="nil"/>
            </w:tcBorders>
            <w:shd w:val="clear" w:color="000000" w:fill="F2F2F2"/>
            <w:noWrap/>
            <w:vAlign w:val="bottom"/>
            <w:hideMark/>
          </w:tcPr>
          <w:p w14:paraId="76742CB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nil"/>
              <w:right w:val="nil"/>
            </w:tcBorders>
            <w:shd w:val="clear" w:color="000000" w:fill="F2F2F2"/>
            <w:noWrap/>
            <w:vAlign w:val="bottom"/>
            <w:hideMark/>
          </w:tcPr>
          <w:p w14:paraId="61E39BD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c>
          <w:tcPr>
            <w:tcW w:w="880" w:type="dxa"/>
            <w:tcBorders>
              <w:top w:val="nil"/>
              <w:left w:val="nil"/>
              <w:bottom w:val="nil"/>
              <w:right w:val="nil"/>
            </w:tcBorders>
            <w:shd w:val="clear" w:color="000000" w:fill="F2F2F2"/>
            <w:noWrap/>
            <w:vAlign w:val="bottom"/>
            <w:hideMark/>
          </w:tcPr>
          <w:p w14:paraId="73DDF4E5"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0,0%</w:t>
            </w:r>
          </w:p>
        </w:tc>
      </w:tr>
      <w:tr w:rsidR="005749EE" w:rsidRPr="005749EE" w14:paraId="093B8206" w14:textId="77777777" w:rsidTr="005749EE">
        <w:trPr>
          <w:trHeight w:val="80"/>
        </w:trPr>
        <w:tc>
          <w:tcPr>
            <w:tcW w:w="2977" w:type="dxa"/>
            <w:tcBorders>
              <w:top w:val="nil"/>
              <w:left w:val="nil"/>
              <w:bottom w:val="single" w:sz="4" w:space="0" w:color="auto"/>
              <w:right w:val="nil"/>
            </w:tcBorders>
            <w:shd w:val="clear" w:color="000000" w:fill="FFFFFF"/>
            <w:vAlign w:val="center"/>
            <w:hideMark/>
          </w:tcPr>
          <w:p w14:paraId="62EEDE8B" w14:textId="77777777" w:rsidR="005749EE" w:rsidRPr="005749EE" w:rsidRDefault="005749EE" w:rsidP="005749EE">
            <w:pPr>
              <w:spacing w:after="0"/>
              <w:jc w:val="left"/>
              <w:rPr>
                <w:rFonts w:eastAsia="Times New Roman" w:cs="Times New Roman"/>
                <w:color w:val="000000"/>
                <w:sz w:val="16"/>
                <w:szCs w:val="16"/>
              </w:rPr>
            </w:pPr>
            <w:r w:rsidRPr="005749EE">
              <w:rPr>
                <w:rFonts w:eastAsia="Times New Roman" w:cs="Times New Roman"/>
                <w:color w:val="000000"/>
                <w:sz w:val="16"/>
                <w:szCs w:val="16"/>
              </w:rPr>
              <w:t xml:space="preserve"> - други дейности по икономиката</w:t>
            </w:r>
          </w:p>
        </w:tc>
        <w:tc>
          <w:tcPr>
            <w:tcW w:w="957" w:type="dxa"/>
            <w:tcBorders>
              <w:top w:val="nil"/>
              <w:left w:val="nil"/>
              <w:bottom w:val="single" w:sz="4" w:space="0" w:color="auto"/>
              <w:right w:val="nil"/>
            </w:tcBorders>
            <w:shd w:val="clear" w:color="000000" w:fill="FFFFFF"/>
            <w:noWrap/>
            <w:vAlign w:val="bottom"/>
            <w:hideMark/>
          </w:tcPr>
          <w:p w14:paraId="00DC6BF1"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1 029,4</w:t>
            </w:r>
          </w:p>
        </w:tc>
        <w:tc>
          <w:tcPr>
            <w:tcW w:w="739" w:type="dxa"/>
            <w:tcBorders>
              <w:top w:val="nil"/>
              <w:left w:val="nil"/>
              <w:bottom w:val="single" w:sz="4" w:space="0" w:color="auto"/>
              <w:right w:val="nil"/>
            </w:tcBorders>
            <w:shd w:val="clear" w:color="000000" w:fill="FFFFFF"/>
            <w:noWrap/>
            <w:vAlign w:val="bottom"/>
            <w:hideMark/>
          </w:tcPr>
          <w:p w14:paraId="2325B02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823,8</w:t>
            </w:r>
          </w:p>
        </w:tc>
        <w:tc>
          <w:tcPr>
            <w:tcW w:w="902" w:type="dxa"/>
            <w:tcBorders>
              <w:top w:val="nil"/>
              <w:left w:val="nil"/>
              <w:bottom w:val="single" w:sz="4" w:space="0" w:color="auto"/>
              <w:right w:val="nil"/>
            </w:tcBorders>
            <w:shd w:val="clear" w:color="000000" w:fill="FFFFFF"/>
            <w:noWrap/>
            <w:vAlign w:val="bottom"/>
            <w:hideMark/>
          </w:tcPr>
          <w:p w14:paraId="77E48DF4"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790,8</w:t>
            </w:r>
          </w:p>
        </w:tc>
        <w:tc>
          <w:tcPr>
            <w:tcW w:w="902" w:type="dxa"/>
            <w:tcBorders>
              <w:top w:val="nil"/>
              <w:left w:val="nil"/>
              <w:bottom w:val="single" w:sz="4" w:space="0" w:color="auto"/>
              <w:right w:val="nil"/>
            </w:tcBorders>
            <w:shd w:val="clear" w:color="000000" w:fill="FFFFFF"/>
            <w:noWrap/>
            <w:vAlign w:val="bottom"/>
            <w:hideMark/>
          </w:tcPr>
          <w:p w14:paraId="1626CCA8"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743,9</w:t>
            </w:r>
          </w:p>
        </w:tc>
        <w:tc>
          <w:tcPr>
            <w:tcW w:w="865" w:type="dxa"/>
            <w:tcBorders>
              <w:top w:val="nil"/>
              <w:left w:val="nil"/>
              <w:bottom w:val="single" w:sz="4" w:space="0" w:color="auto"/>
              <w:right w:val="nil"/>
            </w:tcBorders>
            <w:shd w:val="clear" w:color="000000" w:fill="F2F2F2"/>
            <w:noWrap/>
            <w:vAlign w:val="bottom"/>
            <w:hideMark/>
          </w:tcPr>
          <w:p w14:paraId="69860067" w14:textId="77777777" w:rsidR="005749EE" w:rsidRPr="005749EE" w:rsidRDefault="005749EE" w:rsidP="005749EE">
            <w:pPr>
              <w:spacing w:after="0"/>
              <w:jc w:val="right"/>
              <w:rPr>
                <w:rFonts w:eastAsia="Times New Roman" w:cs="Times New Roman"/>
                <w:color w:val="000000"/>
                <w:sz w:val="16"/>
                <w:szCs w:val="16"/>
              </w:rPr>
            </w:pPr>
            <w:r w:rsidRPr="005749EE">
              <w:rPr>
                <w:rFonts w:eastAsia="Times New Roman" w:cs="Times New Roman"/>
                <w:color w:val="000000"/>
                <w:sz w:val="16"/>
                <w:szCs w:val="16"/>
              </w:rPr>
              <w:t>0,9%</w:t>
            </w:r>
          </w:p>
        </w:tc>
        <w:tc>
          <w:tcPr>
            <w:tcW w:w="880" w:type="dxa"/>
            <w:tcBorders>
              <w:top w:val="nil"/>
              <w:left w:val="nil"/>
              <w:bottom w:val="single" w:sz="4" w:space="0" w:color="auto"/>
              <w:right w:val="nil"/>
            </w:tcBorders>
            <w:shd w:val="clear" w:color="000000" w:fill="F2F2F2"/>
            <w:noWrap/>
            <w:vAlign w:val="bottom"/>
            <w:hideMark/>
          </w:tcPr>
          <w:p w14:paraId="54CA522C"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0,7%</w:t>
            </w:r>
          </w:p>
        </w:tc>
        <w:tc>
          <w:tcPr>
            <w:tcW w:w="880" w:type="dxa"/>
            <w:tcBorders>
              <w:top w:val="nil"/>
              <w:left w:val="nil"/>
              <w:bottom w:val="single" w:sz="4" w:space="0" w:color="auto"/>
              <w:right w:val="nil"/>
            </w:tcBorders>
            <w:shd w:val="clear" w:color="000000" w:fill="F2F2F2"/>
            <w:noWrap/>
            <w:vAlign w:val="bottom"/>
            <w:hideMark/>
          </w:tcPr>
          <w:p w14:paraId="70BF4B42"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0,6%</w:t>
            </w:r>
          </w:p>
        </w:tc>
        <w:tc>
          <w:tcPr>
            <w:tcW w:w="880" w:type="dxa"/>
            <w:tcBorders>
              <w:top w:val="nil"/>
              <w:left w:val="nil"/>
              <w:bottom w:val="single" w:sz="4" w:space="0" w:color="auto"/>
              <w:right w:val="nil"/>
            </w:tcBorders>
            <w:shd w:val="clear" w:color="000000" w:fill="F2F2F2"/>
            <w:noWrap/>
            <w:vAlign w:val="bottom"/>
            <w:hideMark/>
          </w:tcPr>
          <w:p w14:paraId="75B704AE" w14:textId="77777777" w:rsidR="005749EE" w:rsidRPr="005749EE" w:rsidRDefault="005749EE" w:rsidP="005749EE">
            <w:pPr>
              <w:spacing w:after="0"/>
              <w:jc w:val="right"/>
              <w:rPr>
                <w:rFonts w:eastAsia="Times New Roman" w:cs="Times New Roman"/>
                <w:sz w:val="16"/>
                <w:szCs w:val="16"/>
              </w:rPr>
            </w:pPr>
            <w:r w:rsidRPr="005749EE">
              <w:rPr>
                <w:rFonts w:eastAsia="Times New Roman" w:cs="Times New Roman"/>
                <w:sz w:val="16"/>
                <w:szCs w:val="16"/>
              </w:rPr>
              <w:t>0,6%</w:t>
            </w:r>
          </w:p>
        </w:tc>
      </w:tr>
      <w:tr w:rsidR="005749EE" w:rsidRPr="005749EE" w14:paraId="6038A13C" w14:textId="77777777" w:rsidTr="005749EE">
        <w:trPr>
          <w:trHeight w:val="75"/>
        </w:trPr>
        <w:tc>
          <w:tcPr>
            <w:tcW w:w="2977" w:type="dxa"/>
            <w:tcBorders>
              <w:top w:val="nil"/>
              <w:left w:val="nil"/>
              <w:bottom w:val="nil"/>
              <w:right w:val="nil"/>
            </w:tcBorders>
            <w:shd w:val="clear" w:color="000000" w:fill="FFFFFF"/>
            <w:vAlign w:val="center"/>
            <w:hideMark/>
          </w:tcPr>
          <w:p w14:paraId="4AF7C891"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957" w:type="dxa"/>
            <w:tcBorders>
              <w:top w:val="nil"/>
              <w:left w:val="nil"/>
              <w:bottom w:val="nil"/>
              <w:right w:val="nil"/>
            </w:tcBorders>
            <w:shd w:val="clear" w:color="000000" w:fill="FFFFFF"/>
            <w:noWrap/>
            <w:vAlign w:val="bottom"/>
            <w:hideMark/>
          </w:tcPr>
          <w:p w14:paraId="1ED638D8"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739" w:type="dxa"/>
            <w:tcBorders>
              <w:top w:val="nil"/>
              <w:left w:val="nil"/>
              <w:bottom w:val="nil"/>
              <w:right w:val="nil"/>
            </w:tcBorders>
            <w:shd w:val="clear" w:color="000000" w:fill="FFFFFF"/>
            <w:noWrap/>
            <w:vAlign w:val="bottom"/>
            <w:hideMark/>
          </w:tcPr>
          <w:p w14:paraId="1B4F8BF7"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902" w:type="dxa"/>
            <w:tcBorders>
              <w:top w:val="nil"/>
              <w:left w:val="nil"/>
              <w:bottom w:val="nil"/>
              <w:right w:val="nil"/>
            </w:tcBorders>
            <w:shd w:val="clear" w:color="000000" w:fill="FFFFFF"/>
            <w:noWrap/>
            <w:vAlign w:val="bottom"/>
            <w:hideMark/>
          </w:tcPr>
          <w:p w14:paraId="55B93FDF"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902" w:type="dxa"/>
            <w:tcBorders>
              <w:top w:val="nil"/>
              <w:left w:val="nil"/>
              <w:bottom w:val="nil"/>
              <w:right w:val="nil"/>
            </w:tcBorders>
            <w:shd w:val="clear" w:color="000000" w:fill="FFFFFF"/>
            <w:noWrap/>
            <w:vAlign w:val="bottom"/>
            <w:hideMark/>
          </w:tcPr>
          <w:p w14:paraId="3ED4303E"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65" w:type="dxa"/>
            <w:tcBorders>
              <w:top w:val="nil"/>
              <w:left w:val="nil"/>
              <w:bottom w:val="nil"/>
              <w:right w:val="nil"/>
            </w:tcBorders>
            <w:shd w:val="clear" w:color="000000" w:fill="F2F2F2"/>
            <w:noWrap/>
            <w:vAlign w:val="bottom"/>
            <w:hideMark/>
          </w:tcPr>
          <w:p w14:paraId="6D4B9961" w14:textId="77777777" w:rsidR="005749EE" w:rsidRPr="005749EE" w:rsidRDefault="005749EE" w:rsidP="005749EE">
            <w:pPr>
              <w:spacing w:after="0"/>
              <w:jc w:val="right"/>
              <w:rPr>
                <w:rFonts w:eastAsia="Times New Roman" w:cs="Times New Roman"/>
                <w:b/>
                <w:bCs/>
                <w:i/>
                <w:iCs/>
                <w:color w:val="000000"/>
                <w:sz w:val="16"/>
                <w:szCs w:val="16"/>
              </w:rPr>
            </w:pPr>
            <w:r w:rsidRPr="005749EE">
              <w:rPr>
                <w:rFonts w:eastAsia="Times New Roman" w:cs="Times New Roman"/>
                <w:b/>
                <w:bCs/>
                <w:i/>
                <w:iCs/>
                <w:color w:val="000000"/>
                <w:sz w:val="16"/>
                <w:szCs w:val="16"/>
              </w:rPr>
              <w:t> </w:t>
            </w:r>
          </w:p>
        </w:tc>
        <w:tc>
          <w:tcPr>
            <w:tcW w:w="880" w:type="dxa"/>
            <w:tcBorders>
              <w:top w:val="nil"/>
              <w:left w:val="nil"/>
              <w:bottom w:val="nil"/>
              <w:right w:val="nil"/>
            </w:tcBorders>
            <w:shd w:val="clear" w:color="000000" w:fill="F2F2F2"/>
            <w:noWrap/>
            <w:vAlign w:val="bottom"/>
            <w:hideMark/>
          </w:tcPr>
          <w:p w14:paraId="08481CCC"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518569A4"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c>
          <w:tcPr>
            <w:tcW w:w="880" w:type="dxa"/>
            <w:tcBorders>
              <w:top w:val="nil"/>
              <w:left w:val="nil"/>
              <w:bottom w:val="nil"/>
              <w:right w:val="nil"/>
            </w:tcBorders>
            <w:shd w:val="clear" w:color="000000" w:fill="F2F2F2"/>
            <w:noWrap/>
            <w:vAlign w:val="bottom"/>
            <w:hideMark/>
          </w:tcPr>
          <w:p w14:paraId="0632A6E0" w14:textId="77777777" w:rsidR="005749EE" w:rsidRPr="005749EE" w:rsidRDefault="005749EE" w:rsidP="005749EE">
            <w:pPr>
              <w:spacing w:after="0"/>
              <w:jc w:val="right"/>
              <w:rPr>
                <w:rFonts w:eastAsia="Times New Roman" w:cs="Times New Roman"/>
                <w:b/>
                <w:bCs/>
                <w:i/>
                <w:iCs/>
                <w:sz w:val="16"/>
                <w:szCs w:val="16"/>
              </w:rPr>
            </w:pPr>
            <w:r w:rsidRPr="005749EE">
              <w:rPr>
                <w:rFonts w:eastAsia="Times New Roman" w:cs="Times New Roman"/>
                <w:b/>
                <w:bCs/>
                <w:i/>
                <w:iCs/>
                <w:sz w:val="16"/>
                <w:szCs w:val="16"/>
              </w:rPr>
              <w:t> </w:t>
            </w:r>
          </w:p>
        </w:tc>
      </w:tr>
      <w:tr w:rsidR="005749EE" w:rsidRPr="005749EE" w14:paraId="403EE25A" w14:textId="77777777" w:rsidTr="005749EE">
        <w:trPr>
          <w:trHeight w:val="210"/>
        </w:trPr>
        <w:tc>
          <w:tcPr>
            <w:tcW w:w="2977" w:type="dxa"/>
            <w:tcBorders>
              <w:top w:val="nil"/>
              <w:left w:val="nil"/>
              <w:bottom w:val="single" w:sz="4" w:space="0" w:color="595959"/>
              <w:right w:val="nil"/>
            </w:tcBorders>
            <w:shd w:val="clear" w:color="000000" w:fill="FFFFFF"/>
            <w:vAlign w:val="center"/>
            <w:hideMark/>
          </w:tcPr>
          <w:p w14:paraId="778E6E09" w14:textId="77777777" w:rsidR="005749EE" w:rsidRPr="005749EE" w:rsidRDefault="005749EE" w:rsidP="005749EE">
            <w:pPr>
              <w:spacing w:after="0"/>
              <w:jc w:val="left"/>
              <w:rPr>
                <w:rFonts w:eastAsia="Times New Roman" w:cs="Times New Roman"/>
                <w:b/>
                <w:bCs/>
                <w:color w:val="000000"/>
                <w:sz w:val="16"/>
                <w:szCs w:val="16"/>
              </w:rPr>
            </w:pPr>
            <w:r w:rsidRPr="005749EE">
              <w:rPr>
                <w:rFonts w:eastAsia="Times New Roman" w:cs="Times New Roman"/>
                <w:b/>
                <w:bCs/>
                <w:color w:val="000000"/>
                <w:sz w:val="16"/>
                <w:szCs w:val="16"/>
              </w:rPr>
              <w:t>Р-ди некласифицирани в другите функции</w:t>
            </w:r>
          </w:p>
        </w:tc>
        <w:tc>
          <w:tcPr>
            <w:tcW w:w="957" w:type="dxa"/>
            <w:tcBorders>
              <w:top w:val="nil"/>
              <w:left w:val="nil"/>
              <w:bottom w:val="single" w:sz="4" w:space="0" w:color="595959"/>
              <w:right w:val="nil"/>
            </w:tcBorders>
            <w:shd w:val="clear" w:color="000000" w:fill="FFFFFF"/>
            <w:noWrap/>
            <w:vAlign w:val="bottom"/>
            <w:hideMark/>
          </w:tcPr>
          <w:p w14:paraId="2E20370C"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830,0</w:t>
            </w:r>
          </w:p>
        </w:tc>
        <w:tc>
          <w:tcPr>
            <w:tcW w:w="739" w:type="dxa"/>
            <w:tcBorders>
              <w:top w:val="nil"/>
              <w:left w:val="nil"/>
              <w:bottom w:val="single" w:sz="4" w:space="0" w:color="595959"/>
              <w:right w:val="nil"/>
            </w:tcBorders>
            <w:shd w:val="clear" w:color="000000" w:fill="FFFFFF"/>
            <w:noWrap/>
            <w:vAlign w:val="bottom"/>
            <w:hideMark/>
          </w:tcPr>
          <w:p w14:paraId="24EC90DE"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1 098,2</w:t>
            </w:r>
          </w:p>
        </w:tc>
        <w:tc>
          <w:tcPr>
            <w:tcW w:w="902" w:type="dxa"/>
            <w:tcBorders>
              <w:top w:val="nil"/>
              <w:left w:val="nil"/>
              <w:bottom w:val="single" w:sz="4" w:space="0" w:color="595959"/>
              <w:right w:val="nil"/>
            </w:tcBorders>
            <w:shd w:val="clear" w:color="000000" w:fill="FFFFFF"/>
            <w:noWrap/>
            <w:vAlign w:val="bottom"/>
            <w:hideMark/>
          </w:tcPr>
          <w:p w14:paraId="227E4F65"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1 447,2</w:t>
            </w:r>
          </w:p>
        </w:tc>
        <w:tc>
          <w:tcPr>
            <w:tcW w:w="902" w:type="dxa"/>
            <w:tcBorders>
              <w:top w:val="nil"/>
              <w:left w:val="nil"/>
              <w:bottom w:val="single" w:sz="4" w:space="0" w:color="595959"/>
              <w:right w:val="nil"/>
            </w:tcBorders>
            <w:shd w:val="clear" w:color="000000" w:fill="FFFFFF"/>
            <w:noWrap/>
            <w:vAlign w:val="bottom"/>
            <w:hideMark/>
          </w:tcPr>
          <w:p w14:paraId="62B898C0"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1 758,1</w:t>
            </w:r>
          </w:p>
        </w:tc>
        <w:tc>
          <w:tcPr>
            <w:tcW w:w="865" w:type="dxa"/>
            <w:tcBorders>
              <w:top w:val="nil"/>
              <w:left w:val="nil"/>
              <w:bottom w:val="single" w:sz="4" w:space="0" w:color="595959"/>
              <w:right w:val="nil"/>
            </w:tcBorders>
            <w:shd w:val="clear" w:color="000000" w:fill="F2F2F2"/>
            <w:noWrap/>
            <w:vAlign w:val="bottom"/>
            <w:hideMark/>
          </w:tcPr>
          <w:p w14:paraId="5EC8ED64" w14:textId="77777777" w:rsidR="005749EE" w:rsidRPr="005749EE" w:rsidRDefault="005749EE" w:rsidP="005749EE">
            <w:pPr>
              <w:spacing w:after="0"/>
              <w:jc w:val="right"/>
              <w:rPr>
                <w:rFonts w:eastAsia="Times New Roman" w:cs="Times New Roman"/>
                <w:b/>
                <w:bCs/>
                <w:color w:val="000000"/>
                <w:sz w:val="16"/>
                <w:szCs w:val="16"/>
              </w:rPr>
            </w:pPr>
            <w:r w:rsidRPr="005749EE">
              <w:rPr>
                <w:rFonts w:eastAsia="Times New Roman" w:cs="Times New Roman"/>
                <w:b/>
                <w:bCs/>
                <w:color w:val="000000"/>
                <w:sz w:val="16"/>
                <w:szCs w:val="16"/>
              </w:rPr>
              <w:t>0,8%</w:t>
            </w:r>
          </w:p>
        </w:tc>
        <w:tc>
          <w:tcPr>
            <w:tcW w:w="880" w:type="dxa"/>
            <w:tcBorders>
              <w:top w:val="nil"/>
              <w:left w:val="nil"/>
              <w:bottom w:val="single" w:sz="4" w:space="0" w:color="595959"/>
              <w:right w:val="nil"/>
            </w:tcBorders>
            <w:shd w:val="clear" w:color="000000" w:fill="F2F2F2"/>
            <w:noWrap/>
            <w:vAlign w:val="bottom"/>
            <w:hideMark/>
          </w:tcPr>
          <w:p w14:paraId="5D4807E4"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0,9%</w:t>
            </w:r>
          </w:p>
        </w:tc>
        <w:tc>
          <w:tcPr>
            <w:tcW w:w="880" w:type="dxa"/>
            <w:tcBorders>
              <w:top w:val="nil"/>
              <w:left w:val="nil"/>
              <w:bottom w:val="single" w:sz="4" w:space="0" w:color="595959"/>
              <w:right w:val="nil"/>
            </w:tcBorders>
            <w:shd w:val="clear" w:color="000000" w:fill="F2F2F2"/>
            <w:noWrap/>
            <w:vAlign w:val="bottom"/>
            <w:hideMark/>
          </w:tcPr>
          <w:p w14:paraId="2F63AB9E"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1,1%</w:t>
            </w:r>
          </w:p>
        </w:tc>
        <w:tc>
          <w:tcPr>
            <w:tcW w:w="880" w:type="dxa"/>
            <w:tcBorders>
              <w:top w:val="nil"/>
              <w:left w:val="nil"/>
              <w:bottom w:val="single" w:sz="4" w:space="0" w:color="595959"/>
              <w:right w:val="nil"/>
            </w:tcBorders>
            <w:shd w:val="clear" w:color="000000" w:fill="F2F2F2"/>
            <w:noWrap/>
            <w:vAlign w:val="bottom"/>
            <w:hideMark/>
          </w:tcPr>
          <w:p w14:paraId="1DBB948F" w14:textId="77777777" w:rsidR="005749EE" w:rsidRPr="005749EE" w:rsidRDefault="005749EE" w:rsidP="005749EE">
            <w:pPr>
              <w:spacing w:after="0"/>
              <w:jc w:val="right"/>
              <w:rPr>
                <w:rFonts w:eastAsia="Times New Roman" w:cs="Times New Roman"/>
                <w:b/>
                <w:bCs/>
                <w:sz w:val="16"/>
                <w:szCs w:val="16"/>
              </w:rPr>
            </w:pPr>
            <w:r w:rsidRPr="005749EE">
              <w:rPr>
                <w:rFonts w:eastAsia="Times New Roman" w:cs="Times New Roman"/>
                <w:b/>
                <w:bCs/>
                <w:sz w:val="16"/>
                <w:szCs w:val="16"/>
              </w:rPr>
              <w:t>1,3%</w:t>
            </w:r>
          </w:p>
        </w:tc>
      </w:tr>
      <w:tr w:rsidR="005749EE" w:rsidRPr="005749EE" w14:paraId="4D5571A9" w14:textId="77777777" w:rsidTr="005749EE">
        <w:trPr>
          <w:trHeight w:val="105"/>
        </w:trPr>
        <w:tc>
          <w:tcPr>
            <w:tcW w:w="2977" w:type="dxa"/>
            <w:tcBorders>
              <w:top w:val="nil"/>
              <w:left w:val="nil"/>
              <w:bottom w:val="nil"/>
              <w:right w:val="nil"/>
            </w:tcBorders>
            <w:shd w:val="clear" w:color="auto" w:fill="auto"/>
            <w:vAlign w:val="center"/>
            <w:hideMark/>
          </w:tcPr>
          <w:p w14:paraId="477E7D92" w14:textId="77777777" w:rsidR="005749EE" w:rsidRPr="005749EE" w:rsidRDefault="005749EE" w:rsidP="005749EE">
            <w:pPr>
              <w:spacing w:after="0"/>
              <w:jc w:val="right"/>
              <w:rPr>
                <w:rFonts w:eastAsia="Times New Roman" w:cs="Times New Roman"/>
                <w:b/>
                <w:bCs/>
                <w:sz w:val="16"/>
                <w:szCs w:val="16"/>
              </w:rPr>
            </w:pPr>
          </w:p>
        </w:tc>
        <w:tc>
          <w:tcPr>
            <w:tcW w:w="957" w:type="dxa"/>
            <w:tcBorders>
              <w:top w:val="nil"/>
              <w:left w:val="nil"/>
              <w:bottom w:val="nil"/>
              <w:right w:val="nil"/>
            </w:tcBorders>
            <w:shd w:val="clear" w:color="auto" w:fill="auto"/>
            <w:noWrap/>
            <w:vAlign w:val="bottom"/>
            <w:hideMark/>
          </w:tcPr>
          <w:p w14:paraId="5AA432F0" w14:textId="77777777" w:rsidR="005749EE" w:rsidRPr="005749EE" w:rsidRDefault="005749EE" w:rsidP="005749EE">
            <w:pPr>
              <w:spacing w:after="0"/>
              <w:jc w:val="right"/>
              <w:rPr>
                <w:rFonts w:eastAsia="Times New Roman" w:cs="Times New Roman"/>
                <w:sz w:val="20"/>
                <w:szCs w:val="20"/>
              </w:rPr>
            </w:pPr>
          </w:p>
        </w:tc>
        <w:tc>
          <w:tcPr>
            <w:tcW w:w="739" w:type="dxa"/>
            <w:tcBorders>
              <w:top w:val="nil"/>
              <w:left w:val="nil"/>
              <w:bottom w:val="nil"/>
              <w:right w:val="nil"/>
            </w:tcBorders>
            <w:shd w:val="clear" w:color="auto" w:fill="auto"/>
            <w:noWrap/>
            <w:vAlign w:val="bottom"/>
            <w:hideMark/>
          </w:tcPr>
          <w:p w14:paraId="6843066A" w14:textId="77777777" w:rsidR="005749EE" w:rsidRPr="005749EE" w:rsidRDefault="005749EE" w:rsidP="005749EE">
            <w:pPr>
              <w:spacing w:after="0"/>
              <w:jc w:val="right"/>
              <w:rPr>
                <w:rFonts w:eastAsia="Times New Roman" w:cs="Times New Roman"/>
                <w:sz w:val="20"/>
                <w:szCs w:val="20"/>
              </w:rPr>
            </w:pPr>
          </w:p>
        </w:tc>
        <w:tc>
          <w:tcPr>
            <w:tcW w:w="902" w:type="dxa"/>
            <w:tcBorders>
              <w:top w:val="nil"/>
              <w:left w:val="nil"/>
              <w:bottom w:val="nil"/>
              <w:right w:val="nil"/>
            </w:tcBorders>
            <w:shd w:val="clear" w:color="auto" w:fill="auto"/>
            <w:noWrap/>
            <w:vAlign w:val="bottom"/>
            <w:hideMark/>
          </w:tcPr>
          <w:p w14:paraId="6E59F98E" w14:textId="77777777" w:rsidR="005749EE" w:rsidRPr="005749EE" w:rsidRDefault="005749EE" w:rsidP="005749EE">
            <w:pPr>
              <w:spacing w:after="0"/>
              <w:jc w:val="right"/>
              <w:rPr>
                <w:rFonts w:eastAsia="Times New Roman" w:cs="Times New Roman"/>
                <w:sz w:val="20"/>
                <w:szCs w:val="20"/>
              </w:rPr>
            </w:pPr>
          </w:p>
        </w:tc>
        <w:tc>
          <w:tcPr>
            <w:tcW w:w="902" w:type="dxa"/>
            <w:tcBorders>
              <w:top w:val="nil"/>
              <w:left w:val="nil"/>
              <w:bottom w:val="nil"/>
              <w:right w:val="nil"/>
            </w:tcBorders>
            <w:shd w:val="clear" w:color="auto" w:fill="auto"/>
            <w:noWrap/>
            <w:vAlign w:val="bottom"/>
            <w:hideMark/>
          </w:tcPr>
          <w:p w14:paraId="0CC7AFC1" w14:textId="77777777" w:rsidR="005749EE" w:rsidRPr="005749EE" w:rsidRDefault="005749EE" w:rsidP="005749EE">
            <w:pPr>
              <w:spacing w:after="0"/>
              <w:jc w:val="right"/>
              <w:rPr>
                <w:rFonts w:eastAsia="Times New Roman" w:cs="Times New Roman"/>
                <w:sz w:val="20"/>
                <w:szCs w:val="20"/>
              </w:rPr>
            </w:pPr>
          </w:p>
        </w:tc>
        <w:tc>
          <w:tcPr>
            <w:tcW w:w="865" w:type="dxa"/>
            <w:tcBorders>
              <w:top w:val="nil"/>
              <w:left w:val="nil"/>
              <w:bottom w:val="nil"/>
              <w:right w:val="nil"/>
            </w:tcBorders>
            <w:shd w:val="clear" w:color="auto" w:fill="auto"/>
            <w:noWrap/>
            <w:vAlign w:val="bottom"/>
            <w:hideMark/>
          </w:tcPr>
          <w:p w14:paraId="63AE39A1" w14:textId="77777777" w:rsidR="005749EE" w:rsidRPr="005749EE" w:rsidRDefault="005749EE" w:rsidP="005749EE">
            <w:pPr>
              <w:spacing w:after="0"/>
              <w:jc w:val="right"/>
              <w:rPr>
                <w:rFonts w:eastAsia="Times New Roman" w:cs="Times New Roman"/>
                <w:sz w:val="20"/>
                <w:szCs w:val="20"/>
              </w:rPr>
            </w:pPr>
          </w:p>
        </w:tc>
        <w:tc>
          <w:tcPr>
            <w:tcW w:w="880" w:type="dxa"/>
            <w:tcBorders>
              <w:top w:val="nil"/>
              <w:left w:val="nil"/>
              <w:bottom w:val="nil"/>
              <w:right w:val="nil"/>
            </w:tcBorders>
            <w:shd w:val="clear" w:color="auto" w:fill="auto"/>
            <w:noWrap/>
            <w:vAlign w:val="bottom"/>
            <w:hideMark/>
          </w:tcPr>
          <w:p w14:paraId="2DE5D05F" w14:textId="77777777" w:rsidR="005749EE" w:rsidRPr="005749EE" w:rsidRDefault="005749EE" w:rsidP="005749EE">
            <w:pPr>
              <w:spacing w:after="0"/>
              <w:jc w:val="right"/>
              <w:rPr>
                <w:rFonts w:eastAsia="Times New Roman" w:cs="Times New Roman"/>
                <w:sz w:val="20"/>
                <w:szCs w:val="20"/>
              </w:rPr>
            </w:pPr>
          </w:p>
        </w:tc>
        <w:tc>
          <w:tcPr>
            <w:tcW w:w="880" w:type="dxa"/>
            <w:tcBorders>
              <w:top w:val="nil"/>
              <w:left w:val="nil"/>
              <w:bottom w:val="nil"/>
              <w:right w:val="nil"/>
            </w:tcBorders>
            <w:shd w:val="clear" w:color="auto" w:fill="auto"/>
            <w:noWrap/>
            <w:vAlign w:val="bottom"/>
            <w:hideMark/>
          </w:tcPr>
          <w:p w14:paraId="6477A227" w14:textId="77777777" w:rsidR="005749EE" w:rsidRPr="005749EE" w:rsidRDefault="005749EE" w:rsidP="005749EE">
            <w:pPr>
              <w:spacing w:after="0"/>
              <w:jc w:val="right"/>
              <w:rPr>
                <w:rFonts w:eastAsia="Times New Roman" w:cs="Times New Roman"/>
                <w:sz w:val="20"/>
                <w:szCs w:val="20"/>
              </w:rPr>
            </w:pPr>
          </w:p>
        </w:tc>
        <w:tc>
          <w:tcPr>
            <w:tcW w:w="880" w:type="dxa"/>
            <w:tcBorders>
              <w:top w:val="nil"/>
              <w:left w:val="nil"/>
              <w:bottom w:val="nil"/>
              <w:right w:val="nil"/>
            </w:tcBorders>
            <w:shd w:val="clear" w:color="auto" w:fill="auto"/>
            <w:noWrap/>
            <w:vAlign w:val="bottom"/>
            <w:hideMark/>
          </w:tcPr>
          <w:p w14:paraId="5C94A39C" w14:textId="77777777" w:rsidR="005749EE" w:rsidRPr="005749EE" w:rsidRDefault="005749EE" w:rsidP="005749EE">
            <w:pPr>
              <w:spacing w:after="0"/>
              <w:jc w:val="right"/>
              <w:rPr>
                <w:rFonts w:eastAsia="Times New Roman" w:cs="Times New Roman"/>
                <w:sz w:val="20"/>
                <w:szCs w:val="20"/>
              </w:rPr>
            </w:pPr>
          </w:p>
        </w:tc>
      </w:tr>
    </w:tbl>
    <w:p w14:paraId="61F64000" w14:textId="77777777" w:rsidR="001A0F3E" w:rsidRDefault="001A0F3E" w:rsidP="00FD495F">
      <w:pPr>
        <w:ind w:right="-706"/>
        <w:contextualSpacing/>
        <w:jc w:val="right"/>
        <w:rPr>
          <w:rFonts w:eastAsia="Batang" w:cs="Times New Roman"/>
          <w:sz w:val="18"/>
          <w:szCs w:val="18"/>
        </w:rPr>
      </w:pPr>
      <w:r w:rsidRPr="00AA3F66">
        <w:rPr>
          <w:rFonts w:eastAsia="Batang" w:cs="Times New Roman"/>
          <w:sz w:val="18"/>
          <w:szCs w:val="18"/>
        </w:rPr>
        <w:t>Източник: МФ</w:t>
      </w:r>
    </w:p>
    <w:p w14:paraId="3F023783" w14:textId="77777777" w:rsidR="00083361" w:rsidRPr="00AA3F66" w:rsidRDefault="00083361" w:rsidP="00074767">
      <w:pPr>
        <w:pStyle w:val="Heading3"/>
        <w:ind w:left="0"/>
      </w:pPr>
      <w:bookmarkStart w:id="304" w:name="_Toc465070468"/>
      <w:bookmarkStart w:id="305" w:name="_Toc465205518"/>
      <w:r w:rsidRPr="00AA3F66">
        <w:lastRenderedPageBreak/>
        <w:t>Политика по доходите</w:t>
      </w:r>
      <w:bookmarkEnd w:id="304"/>
      <w:bookmarkEnd w:id="305"/>
    </w:p>
    <w:p w14:paraId="53186B90" w14:textId="77777777" w:rsidR="00702E19" w:rsidRPr="00702E19" w:rsidRDefault="00702E19" w:rsidP="00702E19">
      <w:pPr>
        <w:rPr>
          <w:rFonts w:cs="Times New Roman"/>
          <w:szCs w:val="24"/>
        </w:rPr>
      </w:pPr>
      <w:r w:rsidRPr="00702E19">
        <w:rPr>
          <w:rFonts w:cs="Times New Roman"/>
          <w:szCs w:val="24"/>
        </w:rPr>
        <w:t xml:space="preserve">В разчетите за периода 2026-2028 г. е взето предвид увеличението на размера на минималната работна заплата от 1 януари 2026 г. на </w:t>
      </w:r>
      <w:r w:rsidR="00FF1CE8" w:rsidRPr="00FF1CE8">
        <w:rPr>
          <w:rFonts w:cs="Times New Roman"/>
          <w:szCs w:val="24"/>
        </w:rPr>
        <w:t>620,20</w:t>
      </w:r>
      <w:r w:rsidRPr="00702E19">
        <w:rPr>
          <w:rFonts w:cs="Times New Roman"/>
          <w:szCs w:val="24"/>
        </w:rPr>
        <w:t xml:space="preserve"> евро.</w:t>
      </w:r>
    </w:p>
    <w:p w14:paraId="6AE35E62" w14:textId="77777777" w:rsidR="00135A28" w:rsidRDefault="00702E19" w:rsidP="00702E19">
      <w:pPr>
        <w:rPr>
          <w:rFonts w:cs="Times New Roman"/>
          <w:szCs w:val="24"/>
        </w:rPr>
      </w:pPr>
      <w:r w:rsidRPr="005518F3">
        <w:rPr>
          <w:rFonts w:cs="Times New Roman"/>
          <w:szCs w:val="24"/>
        </w:rPr>
        <w:t xml:space="preserve">В Бюджет 2026 е разчетено увеличение на разходите за персонал с </w:t>
      </w:r>
      <w:r w:rsidR="005518F3">
        <w:rPr>
          <w:rFonts w:cs="Times New Roman"/>
          <w:szCs w:val="24"/>
        </w:rPr>
        <w:t>10</w:t>
      </w:r>
      <w:r w:rsidRPr="005518F3">
        <w:rPr>
          <w:rFonts w:cs="Times New Roman"/>
          <w:szCs w:val="24"/>
        </w:rPr>
        <w:t>%.</w:t>
      </w:r>
    </w:p>
    <w:p w14:paraId="2FA8C519" w14:textId="77777777" w:rsidR="00135A28" w:rsidRPr="00135A28" w:rsidRDefault="00F9226F" w:rsidP="00135A28">
      <w:pPr>
        <w:rPr>
          <w:rFonts w:cs="Times New Roman"/>
          <w:szCs w:val="24"/>
        </w:rPr>
      </w:pPr>
      <w:r>
        <w:rPr>
          <w:rFonts w:cs="Times New Roman"/>
          <w:szCs w:val="24"/>
        </w:rPr>
        <w:t>С предложения</w:t>
      </w:r>
      <w:r w:rsidR="00135A28" w:rsidRPr="00135A28">
        <w:rPr>
          <w:rFonts w:cs="Times New Roman"/>
          <w:szCs w:val="24"/>
        </w:rPr>
        <w:t xml:space="preserve"> общ подход за </w:t>
      </w:r>
      <w:r w:rsidR="00135A28" w:rsidRPr="00135A28">
        <w:rPr>
          <w:rFonts w:cs="Times New Roman"/>
          <w:bCs/>
          <w:szCs w:val="24"/>
        </w:rPr>
        <w:t>повишаване на разходите за персонал с 10%</w:t>
      </w:r>
      <w:r w:rsidR="00135A28" w:rsidRPr="00135A28">
        <w:rPr>
          <w:rFonts w:cs="Times New Roman"/>
          <w:szCs w:val="24"/>
        </w:rPr>
        <w:t xml:space="preserve"> в бюджетните организации </w:t>
      </w:r>
      <w:r w:rsidR="00F6534A">
        <w:rPr>
          <w:rFonts w:cs="Times New Roman"/>
          <w:szCs w:val="24"/>
        </w:rPr>
        <w:t xml:space="preserve">се </w:t>
      </w:r>
      <w:r w:rsidR="00135A28" w:rsidRPr="00135A28">
        <w:rPr>
          <w:rFonts w:cs="Times New Roman"/>
          <w:szCs w:val="24"/>
        </w:rPr>
        <w:t>осигурява предвидимост и прозрачност на политиката по доходите. Предложеният подход позволява:</w:t>
      </w:r>
    </w:p>
    <w:p w14:paraId="789E0E58" w14:textId="77777777" w:rsidR="00135A28" w:rsidRPr="00135A28" w:rsidRDefault="00135A28" w:rsidP="00135A28">
      <w:pPr>
        <w:numPr>
          <w:ilvl w:val="0"/>
          <w:numId w:val="42"/>
        </w:numPr>
        <w:rPr>
          <w:rFonts w:cs="Times New Roman"/>
          <w:szCs w:val="24"/>
        </w:rPr>
      </w:pPr>
      <w:r w:rsidRPr="00135A28">
        <w:rPr>
          <w:rFonts w:cs="Times New Roman"/>
          <w:szCs w:val="24"/>
        </w:rPr>
        <w:t>съгласуван и справедлив растеж на възнагражденията в различните системи;</w:t>
      </w:r>
    </w:p>
    <w:p w14:paraId="629943FF" w14:textId="77777777" w:rsidR="00135A28" w:rsidRPr="00135A28" w:rsidRDefault="00135A28" w:rsidP="00135A28">
      <w:pPr>
        <w:numPr>
          <w:ilvl w:val="0"/>
          <w:numId w:val="42"/>
        </w:numPr>
        <w:rPr>
          <w:rFonts w:cs="Times New Roman"/>
          <w:szCs w:val="24"/>
        </w:rPr>
      </w:pPr>
      <w:r w:rsidRPr="00135A28">
        <w:rPr>
          <w:rFonts w:cs="Times New Roman"/>
          <w:szCs w:val="24"/>
        </w:rPr>
        <w:t>ограничаване на риска от несъразмерно разширяване на разходите;</w:t>
      </w:r>
    </w:p>
    <w:p w14:paraId="2CD27B8F" w14:textId="77777777" w:rsidR="00135A28" w:rsidRPr="00135A28" w:rsidRDefault="00135A28" w:rsidP="00135A28">
      <w:pPr>
        <w:numPr>
          <w:ilvl w:val="0"/>
          <w:numId w:val="42"/>
        </w:numPr>
        <w:rPr>
          <w:rFonts w:cs="Times New Roman"/>
          <w:szCs w:val="24"/>
        </w:rPr>
      </w:pPr>
      <w:r w:rsidRPr="00135A28">
        <w:rPr>
          <w:rFonts w:cs="Times New Roman"/>
          <w:szCs w:val="24"/>
        </w:rPr>
        <w:t>предотвратяване на натиск върху частния сектор, който може да доведе до дисбаланси на пазара на труда.</w:t>
      </w:r>
    </w:p>
    <w:p w14:paraId="21DAE256" w14:textId="77777777" w:rsidR="00135A28" w:rsidRPr="00135A28" w:rsidRDefault="00135A28" w:rsidP="00135A28">
      <w:pPr>
        <w:rPr>
          <w:rFonts w:cs="Times New Roman"/>
          <w:szCs w:val="24"/>
        </w:rPr>
      </w:pPr>
      <w:r w:rsidRPr="00135A28">
        <w:rPr>
          <w:rFonts w:cs="Times New Roman"/>
          <w:szCs w:val="24"/>
        </w:rPr>
        <w:t>Във връзка с изпълнението на общата политика</w:t>
      </w:r>
      <w:r w:rsidR="00F6548E">
        <w:rPr>
          <w:rFonts w:cs="Times New Roman"/>
          <w:szCs w:val="24"/>
        </w:rPr>
        <w:t xml:space="preserve"> по доходите</w:t>
      </w:r>
      <w:r w:rsidRPr="00135A28">
        <w:rPr>
          <w:rFonts w:cs="Times New Roman"/>
          <w:szCs w:val="24"/>
        </w:rPr>
        <w:t xml:space="preserve"> за 2026 г. се предвижда </w:t>
      </w:r>
      <w:r w:rsidR="00F6548E">
        <w:rPr>
          <w:rFonts w:cs="Times New Roman"/>
          <w:szCs w:val="24"/>
        </w:rPr>
        <w:t>отпадане</w:t>
      </w:r>
      <w:r w:rsidRPr="00135A28">
        <w:rPr>
          <w:rFonts w:cs="Times New Roman"/>
          <w:szCs w:val="24"/>
        </w:rPr>
        <w:t xml:space="preserve"> на  автоматичните механизми</w:t>
      </w:r>
      <w:r w:rsidR="00F6548E">
        <w:rPr>
          <w:rFonts w:cs="Times New Roman"/>
          <w:szCs w:val="24"/>
        </w:rPr>
        <w:t xml:space="preserve"> за определяне на възнагражденията</w:t>
      </w:r>
      <w:r w:rsidRPr="00135A28">
        <w:rPr>
          <w:rFonts w:cs="Times New Roman"/>
          <w:szCs w:val="24"/>
        </w:rPr>
        <w:t xml:space="preserve">, обвързани със средната работна заплата. Чрез този подход се цели избягване на автоматични, инертни и трудно контролируеми разходни ефекти в бюджетната </w:t>
      </w:r>
      <w:r w:rsidR="00F6548E">
        <w:rPr>
          <w:rFonts w:cs="Times New Roman"/>
          <w:szCs w:val="24"/>
        </w:rPr>
        <w:t>сфера</w:t>
      </w:r>
      <w:r w:rsidRPr="00135A28">
        <w:rPr>
          <w:rFonts w:cs="Times New Roman"/>
          <w:szCs w:val="24"/>
        </w:rPr>
        <w:t>.</w:t>
      </w:r>
    </w:p>
    <w:p w14:paraId="6529B85C" w14:textId="77777777" w:rsidR="00135A28" w:rsidRPr="00135A28" w:rsidRDefault="00135A28" w:rsidP="00135A28">
      <w:pPr>
        <w:rPr>
          <w:rFonts w:cs="Times New Roman"/>
          <w:szCs w:val="24"/>
        </w:rPr>
      </w:pPr>
      <w:r w:rsidRPr="00135A28">
        <w:rPr>
          <w:rFonts w:cs="Times New Roman"/>
          <w:szCs w:val="24"/>
        </w:rPr>
        <w:t>Политиката по доходите с цел ефективното управление на публичните разходи, в това число на разходите за персонал в бюджетната сфера, изисква системен подход към анализа на числеността на персонала, оптималното разпределение на функциите и адаптиране на структурата към реалните нужди на администрацията и обществото. В последните години в редица бюджетни организации се наблюдават трайно незаети щатни бройки, което е индикатор за структурни дисбаланси, несъответствие между нормативно утвърдената численост и фактическите потребности или затруднения в привличането на квалифициран персонал.</w:t>
      </w:r>
    </w:p>
    <w:p w14:paraId="0C928754" w14:textId="77777777" w:rsidR="00135A28" w:rsidRDefault="00135A28" w:rsidP="00135A28">
      <w:pPr>
        <w:rPr>
          <w:rFonts w:cs="Times New Roman"/>
          <w:szCs w:val="24"/>
        </w:rPr>
      </w:pPr>
      <w:r w:rsidRPr="00135A28">
        <w:rPr>
          <w:rFonts w:cs="Times New Roman"/>
          <w:szCs w:val="24"/>
        </w:rPr>
        <w:t xml:space="preserve">Съгласно актуални данни, в системата на публичния сектор </w:t>
      </w:r>
      <w:r w:rsidR="00D56932">
        <w:rPr>
          <w:rFonts w:cs="Times New Roman"/>
          <w:szCs w:val="24"/>
        </w:rPr>
        <w:t>са налице</w:t>
      </w:r>
      <w:r w:rsidRPr="00135A28">
        <w:rPr>
          <w:rFonts w:cs="Times New Roman"/>
          <w:bCs/>
          <w:szCs w:val="24"/>
        </w:rPr>
        <w:t xml:space="preserve"> 5</w:t>
      </w:r>
      <w:r w:rsidR="00797289">
        <w:rPr>
          <w:rFonts w:cs="Times New Roman"/>
          <w:bCs/>
          <w:szCs w:val="24"/>
        </w:rPr>
        <w:t xml:space="preserve"> </w:t>
      </w:r>
      <w:r w:rsidRPr="00135A28">
        <w:rPr>
          <w:rFonts w:cs="Times New Roman"/>
          <w:bCs/>
          <w:szCs w:val="24"/>
        </w:rPr>
        <w:t>500 трайно незаети щатни бройки</w:t>
      </w:r>
      <w:r w:rsidRPr="00135A28">
        <w:rPr>
          <w:rFonts w:cs="Times New Roman"/>
          <w:szCs w:val="24"/>
        </w:rPr>
        <w:t xml:space="preserve">. Поддържането на </w:t>
      </w:r>
      <w:r w:rsidR="00D56932">
        <w:rPr>
          <w:rFonts w:cs="Times New Roman"/>
          <w:szCs w:val="24"/>
        </w:rPr>
        <w:t>такива</w:t>
      </w:r>
      <w:r w:rsidRPr="00135A28">
        <w:rPr>
          <w:rFonts w:cs="Times New Roman"/>
          <w:szCs w:val="24"/>
        </w:rPr>
        <w:t xml:space="preserve"> бройки </w:t>
      </w:r>
      <w:r w:rsidR="00D56932">
        <w:rPr>
          <w:rFonts w:cs="Times New Roman"/>
          <w:szCs w:val="24"/>
        </w:rPr>
        <w:t>нарушава</w:t>
      </w:r>
      <w:r w:rsidRPr="00135A28">
        <w:rPr>
          <w:rFonts w:cs="Times New Roman"/>
          <w:szCs w:val="24"/>
        </w:rPr>
        <w:t xml:space="preserve"> връзката между ресурсите и резултатите от дейностите, както и ограничава възможностите за пренасочване на средства към приоритетни политики.</w:t>
      </w:r>
      <w:r>
        <w:rPr>
          <w:rFonts w:cs="Times New Roman"/>
          <w:szCs w:val="24"/>
        </w:rPr>
        <w:t xml:space="preserve"> </w:t>
      </w:r>
      <w:r w:rsidRPr="00135A28">
        <w:rPr>
          <w:rFonts w:cs="Times New Roman"/>
          <w:szCs w:val="24"/>
        </w:rPr>
        <w:t xml:space="preserve">С оглед на това възниква необходимост от нормативна </w:t>
      </w:r>
      <w:r w:rsidR="0008265A">
        <w:rPr>
          <w:rFonts w:cs="Times New Roman"/>
          <w:szCs w:val="24"/>
        </w:rPr>
        <w:t>уредба</w:t>
      </w:r>
      <w:r w:rsidRPr="00135A28">
        <w:rPr>
          <w:rFonts w:cs="Times New Roman"/>
          <w:szCs w:val="24"/>
        </w:rPr>
        <w:t xml:space="preserve">, която да </w:t>
      </w:r>
      <w:r w:rsidR="00D56932">
        <w:rPr>
          <w:rFonts w:cs="Times New Roman"/>
          <w:szCs w:val="24"/>
        </w:rPr>
        <w:t>осигур</w:t>
      </w:r>
      <w:r w:rsidR="0008265A">
        <w:rPr>
          <w:rFonts w:cs="Times New Roman"/>
          <w:szCs w:val="24"/>
        </w:rPr>
        <w:t>и</w:t>
      </w:r>
      <w:r w:rsidRPr="00135A28">
        <w:rPr>
          <w:rFonts w:cs="Times New Roman"/>
          <w:szCs w:val="24"/>
        </w:rPr>
        <w:t xml:space="preserve"> извършването на </w:t>
      </w:r>
      <w:r w:rsidRPr="00135A28">
        <w:rPr>
          <w:rFonts w:cs="Times New Roman"/>
          <w:bCs/>
          <w:szCs w:val="24"/>
        </w:rPr>
        <w:t xml:space="preserve">цялостен преглед и </w:t>
      </w:r>
      <w:r w:rsidR="00D56932">
        <w:rPr>
          <w:rFonts w:cs="Times New Roman"/>
          <w:bCs/>
          <w:szCs w:val="24"/>
        </w:rPr>
        <w:t>оценка</w:t>
      </w:r>
      <w:r w:rsidRPr="00135A28">
        <w:rPr>
          <w:rFonts w:cs="Times New Roman"/>
          <w:bCs/>
          <w:szCs w:val="24"/>
        </w:rPr>
        <w:t xml:space="preserve"> на функциите, числеността и заетостта</w:t>
      </w:r>
      <w:r w:rsidRPr="00135A28">
        <w:rPr>
          <w:rFonts w:cs="Times New Roman"/>
          <w:szCs w:val="24"/>
        </w:rPr>
        <w:t xml:space="preserve"> в бюджетните организации, както и от механизъм за </w:t>
      </w:r>
      <w:r w:rsidRPr="00135A28">
        <w:rPr>
          <w:rFonts w:cs="Times New Roman"/>
          <w:bCs/>
          <w:szCs w:val="24"/>
        </w:rPr>
        <w:t>оптимизация на</w:t>
      </w:r>
      <w:r w:rsidR="00D56932">
        <w:rPr>
          <w:rFonts w:cs="Times New Roman"/>
          <w:bCs/>
          <w:szCs w:val="24"/>
        </w:rPr>
        <w:t xml:space="preserve"> общата численост на персонала на администрацията</w:t>
      </w:r>
      <w:r w:rsidRPr="00135A28">
        <w:rPr>
          <w:rFonts w:cs="Times New Roman"/>
          <w:bCs/>
          <w:szCs w:val="24"/>
        </w:rPr>
        <w:t xml:space="preserve"> </w:t>
      </w:r>
      <w:r w:rsidR="00D56932">
        <w:rPr>
          <w:rFonts w:cs="Times New Roman"/>
          <w:bCs/>
          <w:szCs w:val="24"/>
        </w:rPr>
        <w:t xml:space="preserve"> </w:t>
      </w:r>
      <w:r w:rsidRPr="00135A28">
        <w:rPr>
          <w:rFonts w:cs="Times New Roman"/>
          <w:szCs w:val="24"/>
        </w:rPr>
        <w:t>при запазване на качеството на публичните услуги.</w:t>
      </w:r>
    </w:p>
    <w:p w14:paraId="6C5E5630" w14:textId="77777777" w:rsidR="00B04A8B" w:rsidRDefault="00B04A8B" w:rsidP="00135A28">
      <w:pPr>
        <w:rPr>
          <w:rFonts w:cs="Times New Roman"/>
          <w:szCs w:val="24"/>
        </w:rPr>
      </w:pPr>
      <w:r w:rsidRPr="00580843">
        <w:rPr>
          <w:rFonts w:cs="Times New Roman"/>
          <w:szCs w:val="24"/>
        </w:rPr>
        <w:t>През 2026 г. се очаква да се съкратят 1 833 трайно незаети щатни бройки с ефект за бюджета  - намаление в разходите от 50 млн. евро.</w:t>
      </w:r>
    </w:p>
    <w:p w14:paraId="7A1D63DF" w14:textId="77777777" w:rsidR="00083361" w:rsidRPr="00AA3F66" w:rsidRDefault="00083361" w:rsidP="00074767">
      <w:pPr>
        <w:pStyle w:val="Heading3"/>
        <w:ind w:left="0"/>
      </w:pPr>
      <w:bookmarkStart w:id="306" w:name="_Toc465070469"/>
      <w:bookmarkStart w:id="307" w:name="_Toc465205519"/>
      <w:r w:rsidRPr="00AA3F66">
        <w:t>Пенсионна политика</w:t>
      </w:r>
      <w:bookmarkEnd w:id="306"/>
      <w:bookmarkEnd w:id="307"/>
    </w:p>
    <w:p w14:paraId="548D6CB4" w14:textId="77777777" w:rsidR="00702E19" w:rsidRPr="00702E19" w:rsidRDefault="00702E19" w:rsidP="00702E19">
      <w:pPr>
        <w:shd w:val="clear" w:color="auto" w:fill="FFFFFF"/>
        <w:rPr>
          <w:rFonts w:eastAsia="Times New Roman" w:cs="Times New Roman"/>
          <w:szCs w:val="24"/>
        </w:rPr>
      </w:pPr>
      <w:r w:rsidRPr="00702E19">
        <w:rPr>
          <w:rFonts w:eastAsia="Times New Roman" w:cs="Times New Roman"/>
          <w:szCs w:val="24"/>
        </w:rPr>
        <w:t>При разработването на прогнозата за разходите за пенсии за периода 2026-2028 г. са взети предвид действащото законодателство в Кодекса за социално осигуряване (КСО) и параметрите на Закона за бюджета на държавното обществено осигуряване (ЗБДОО) за 2025 г. (обн., ДВ , бр. 25 от 2025 г.), в т.ч.:</w:t>
      </w:r>
    </w:p>
    <w:p w14:paraId="5090179F"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 xml:space="preserve">чл. 68, ал. 1-2 от КСО – от 1 януари на всяка календарна година продължава увеличаването на възрастта за придобиване право на пенсия с по 2 месеца за </w:t>
      </w:r>
      <w:r w:rsidRPr="00702E19">
        <w:rPr>
          <w:rFonts w:eastAsia="Times New Roman" w:cs="Times New Roman"/>
          <w:szCs w:val="24"/>
        </w:rPr>
        <w:lastRenderedPageBreak/>
        <w:t>жените и с по 1 месец за мъжете, както и на необходимия осигурителен стаж за придобиване право на пенсия с по 2 месеца и за двата пола до достигане на 37 години з</w:t>
      </w:r>
      <w:r>
        <w:rPr>
          <w:rFonts w:eastAsia="Times New Roman" w:cs="Times New Roman"/>
          <w:szCs w:val="24"/>
        </w:rPr>
        <w:t>а жените и 40 години за мъжете през</w:t>
      </w:r>
      <w:r w:rsidRPr="00702E19">
        <w:rPr>
          <w:rFonts w:eastAsia="Times New Roman" w:cs="Times New Roman"/>
          <w:szCs w:val="24"/>
        </w:rPr>
        <w:t xml:space="preserve"> 2027 г. През 2026 г. необходимите условия за пенсиониране за работещите при условията на трета категория труд са 62 години и 6 месеца навършена възраст и 36 години и 10 месеца осигурителен стаж за жените и 64 години и 9 месеца навършена възраст и 39 години и 10 месеца осигурителен стаж за мъжете;</w:t>
      </w:r>
    </w:p>
    <w:p w14:paraId="42E70D9F"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 xml:space="preserve">чл. 68, </w:t>
      </w:r>
      <w:r>
        <w:rPr>
          <w:rFonts w:eastAsia="Times New Roman" w:cs="Times New Roman"/>
          <w:szCs w:val="24"/>
        </w:rPr>
        <w:t>ал. 3 от КСО – в периода 2026-</w:t>
      </w:r>
      <w:r w:rsidRPr="00702E19">
        <w:rPr>
          <w:rFonts w:eastAsia="Times New Roman" w:cs="Times New Roman"/>
          <w:szCs w:val="24"/>
        </w:rPr>
        <w:t>2028 г. пенсионната възраст се запазва на достигнатото през 2023 г. ниво от 67 години за двата пола;</w:t>
      </w:r>
    </w:p>
    <w:p w14:paraId="350264F4"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чл. 69, ал. 1, 2, 3, 5, 5а и 6 на КСО – минималната възраст за пенсиониране на работещите в сектор „Отбрана и сигурност” продължава да се увеличава с по 2 месеца до достигане на 54 години и 10</w:t>
      </w:r>
      <w:r>
        <w:rPr>
          <w:rFonts w:eastAsia="Times New Roman" w:cs="Times New Roman"/>
          <w:szCs w:val="24"/>
        </w:rPr>
        <w:t xml:space="preserve"> месеца през</w:t>
      </w:r>
      <w:r w:rsidRPr="00702E19">
        <w:rPr>
          <w:rFonts w:eastAsia="Times New Roman" w:cs="Times New Roman"/>
          <w:szCs w:val="24"/>
        </w:rPr>
        <w:t xml:space="preserve"> 2028 г.; </w:t>
      </w:r>
    </w:p>
    <w:p w14:paraId="37E7B677"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чл. 69б – минималната възраст за пенсиониране на лицата, работили при условията на първа и втора категория труд, които не отговарят на условията за пенсиониране от професионален пенсионен фонд по чл. 168 на КСО или са променили осигуряването си по чл. 4в на КСО, продължава да се увеличава с по 4 месеца за жените и с по 2 месеца за мъжете до достигане в 2028 г. на 52 години за жените и 54 години и 10 месеца за мъжете от първа категория и на 57 години за жените и 59 години и 10 месеца за мъжете от втора категория труд;</w:t>
      </w:r>
    </w:p>
    <w:p w14:paraId="4F4FB431"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В периода 2026-2028 г. пенсиите за трудова дейност, отпуснати до 31 декември на предходната година, се осъвременяват от 1 юли всяка година с процент по чл. 100 от КСО, определен като сбора от 50 на сто от нарастването на осигурителния доход и 50 на сто от индекса на потребителските цени пре</w:t>
      </w:r>
      <w:r w:rsidR="00222474">
        <w:rPr>
          <w:rFonts w:eastAsia="Times New Roman" w:cs="Times New Roman"/>
          <w:szCs w:val="24"/>
        </w:rPr>
        <w:t>з предходната календарна година</w:t>
      </w:r>
      <w:r w:rsidRPr="00702E19">
        <w:rPr>
          <w:rFonts w:eastAsia="Times New Roman" w:cs="Times New Roman"/>
          <w:szCs w:val="24"/>
        </w:rPr>
        <w:t xml:space="preserve">; </w:t>
      </w:r>
    </w:p>
    <w:p w14:paraId="3FC0A826"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 xml:space="preserve">Считано от 1 юли 2026 г. минималният размер на пенсията за осигурителен стаж и възраст и свързаните с нея минимални размери на пенсиите за трудова дейност се увеличават с процента, определен по чл. 100 от КСО. </w:t>
      </w:r>
    </w:p>
    <w:p w14:paraId="5CFF864E"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Считано от 1 юли 2026 г. размерът на социалната пенсия за старост и свързаните с нея пенсии и добавки се увеличава с процента, определен по чл. 100 от КСО;</w:t>
      </w:r>
    </w:p>
    <w:p w14:paraId="51D049A2" w14:textId="77777777" w:rsidR="00702E19" w:rsidRPr="00702E19" w:rsidRDefault="00702E19" w:rsidP="005B790D">
      <w:pPr>
        <w:numPr>
          <w:ilvl w:val="0"/>
          <w:numId w:val="21"/>
        </w:numPr>
        <w:shd w:val="clear" w:color="auto" w:fill="FFFFFF"/>
        <w:rPr>
          <w:rFonts w:eastAsia="Times New Roman" w:cs="Times New Roman"/>
          <w:szCs w:val="24"/>
        </w:rPr>
      </w:pPr>
      <w:r w:rsidRPr="00702E19">
        <w:rPr>
          <w:rFonts w:eastAsia="Times New Roman" w:cs="Times New Roman"/>
          <w:szCs w:val="24"/>
        </w:rPr>
        <w:t>В периода 2026-2028 г. максималният размер на получаваните една или повече пенсии се запазва на достигнато през 2022 г. ниво о</w:t>
      </w:r>
      <w:r w:rsidR="00E829FB">
        <w:rPr>
          <w:rFonts w:eastAsia="Times New Roman" w:cs="Times New Roman"/>
          <w:szCs w:val="24"/>
        </w:rPr>
        <w:t>т 1 738,40</w:t>
      </w:r>
      <w:r w:rsidRPr="00702E19">
        <w:rPr>
          <w:rFonts w:eastAsia="Times New Roman" w:cs="Times New Roman"/>
          <w:szCs w:val="24"/>
        </w:rPr>
        <w:t xml:space="preserve"> евро.</w:t>
      </w:r>
    </w:p>
    <w:p w14:paraId="3EA5A9E3" w14:textId="77777777" w:rsidR="00702E19" w:rsidRPr="00702E19" w:rsidRDefault="00702E19" w:rsidP="00702E19">
      <w:pPr>
        <w:shd w:val="clear" w:color="auto" w:fill="FFFFFF"/>
        <w:rPr>
          <w:rFonts w:eastAsia="Times New Roman" w:cs="Times New Roman"/>
          <w:szCs w:val="24"/>
        </w:rPr>
      </w:pPr>
      <w:r w:rsidRPr="00702E19">
        <w:rPr>
          <w:rFonts w:eastAsia="Times New Roman" w:cs="Times New Roman"/>
          <w:szCs w:val="24"/>
        </w:rPr>
        <w:t>В резултат на посочените по-горе допускания през 2026 г. разход</w:t>
      </w:r>
      <w:r w:rsidR="00203012">
        <w:rPr>
          <w:rFonts w:eastAsia="Times New Roman" w:cs="Times New Roman"/>
          <w:szCs w:val="24"/>
        </w:rPr>
        <w:t>ите за пенсии по бюджета на ДОО</w:t>
      </w:r>
      <w:r w:rsidRPr="00702E19">
        <w:rPr>
          <w:rFonts w:eastAsia="Times New Roman" w:cs="Times New Roman"/>
          <w:szCs w:val="24"/>
        </w:rPr>
        <w:t xml:space="preserve"> нарастват с </w:t>
      </w:r>
      <w:r w:rsidRPr="008A5C40">
        <w:rPr>
          <w:rFonts w:eastAsia="Times New Roman" w:cs="Times New Roman"/>
          <w:szCs w:val="24"/>
        </w:rPr>
        <w:t>1</w:t>
      </w:r>
      <w:r w:rsidRPr="00702E19">
        <w:rPr>
          <w:rFonts w:eastAsia="Times New Roman" w:cs="Times New Roman"/>
          <w:szCs w:val="24"/>
          <w:lang w:val="en-US"/>
        </w:rPr>
        <w:t> </w:t>
      </w:r>
      <w:r w:rsidRPr="008A5C40">
        <w:rPr>
          <w:rFonts w:eastAsia="Times New Roman" w:cs="Times New Roman"/>
          <w:szCs w:val="24"/>
        </w:rPr>
        <w:t>097</w:t>
      </w:r>
      <w:r w:rsidRPr="00702E19">
        <w:rPr>
          <w:rFonts w:eastAsia="Times New Roman" w:cs="Times New Roman"/>
          <w:szCs w:val="24"/>
        </w:rPr>
        <w:t>,6 млн. евро спрямо закона за 202</w:t>
      </w:r>
      <w:r w:rsidRPr="008A5C40">
        <w:rPr>
          <w:rFonts w:eastAsia="Times New Roman" w:cs="Times New Roman"/>
          <w:szCs w:val="24"/>
        </w:rPr>
        <w:t>5</w:t>
      </w:r>
      <w:r w:rsidRPr="00702E19">
        <w:rPr>
          <w:rFonts w:eastAsia="Times New Roman" w:cs="Times New Roman"/>
          <w:szCs w:val="24"/>
        </w:rPr>
        <w:t xml:space="preserve"> г.</w:t>
      </w:r>
    </w:p>
    <w:p w14:paraId="747341BA" w14:textId="77777777" w:rsidR="00702E19" w:rsidRDefault="00702E19" w:rsidP="00A2777A">
      <w:pPr>
        <w:shd w:val="clear" w:color="auto" w:fill="FFFFFF"/>
        <w:rPr>
          <w:rFonts w:eastAsia="Times New Roman" w:cs="Times New Roman"/>
          <w:szCs w:val="24"/>
        </w:rPr>
      </w:pPr>
      <w:r w:rsidRPr="00702E19">
        <w:rPr>
          <w:rFonts w:eastAsia="Times New Roman" w:cs="Times New Roman"/>
          <w:szCs w:val="24"/>
        </w:rPr>
        <w:t xml:space="preserve">През 2027 г. и 2028 г. ръстовете в разходите за пенсии по бюджета на ДОО спрямо предходната година са съответно </w:t>
      </w:r>
      <w:r w:rsidRPr="008A5C40">
        <w:rPr>
          <w:rFonts w:eastAsia="Times New Roman" w:cs="Times New Roman"/>
          <w:szCs w:val="24"/>
        </w:rPr>
        <w:t>1 003</w:t>
      </w:r>
      <w:r w:rsidRPr="00702E19">
        <w:rPr>
          <w:rFonts w:eastAsia="Times New Roman" w:cs="Times New Roman"/>
          <w:szCs w:val="24"/>
        </w:rPr>
        <w:t>,</w:t>
      </w:r>
      <w:r w:rsidRPr="008A5C40">
        <w:rPr>
          <w:rFonts w:eastAsia="Times New Roman" w:cs="Times New Roman"/>
          <w:szCs w:val="24"/>
        </w:rPr>
        <w:t>4</w:t>
      </w:r>
      <w:r w:rsidRPr="00702E19">
        <w:rPr>
          <w:rFonts w:eastAsia="Times New Roman" w:cs="Times New Roman"/>
          <w:szCs w:val="24"/>
        </w:rPr>
        <w:t xml:space="preserve"> млн. евро и 857,9 млн. евро.</w:t>
      </w:r>
    </w:p>
    <w:p w14:paraId="04AD7BBA" w14:textId="77777777" w:rsidR="00E927FC" w:rsidRPr="00AA3F66" w:rsidRDefault="00E927FC" w:rsidP="00074767">
      <w:pPr>
        <w:pStyle w:val="Heading3"/>
        <w:ind w:left="0"/>
      </w:pPr>
      <w:r w:rsidRPr="00AA3F66">
        <w:t>Социална политика</w:t>
      </w:r>
    </w:p>
    <w:p w14:paraId="0E704B7E" w14:textId="77777777" w:rsidR="000279A5" w:rsidRPr="000279A5" w:rsidRDefault="000279A5" w:rsidP="000279A5">
      <w:pPr>
        <w:rPr>
          <w:rFonts w:eastAsia="Batang" w:cs="Times New Roman"/>
          <w:szCs w:val="24"/>
        </w:rPr>
      </w:pPr>
      <w:r w:rsidRPr="000279A5">
        <w:rPr>
          <w:rFonts w:eastAsia="Batang" w:cs="Times New Roman"/>
          <w:szCs w:val="24"/>
        </w:rPr>
        <w:t>По отношение на политиката, свързана със социалните помощи и обезщетения, изплащани от бюджета на ДОО в съответствие с действащото законодателство в КСО, се предвижда:</w:t>
      </w:r>
    </w:p>
    <w:p w14:paraId="050CC7BD" w14:textId="77777777" w:rsidR="000279A5" w:rsidRDefault="000279A5" w:rsidP="000279A5">
      <w:pPr>
        <w:numPr>
          <w:ilvl w:val="0"/>
          <w:numId w:val="11"/>
        </w:numPr>
        <w:rPr>
          <w:rFonts w:eastAsia="Batang" w:cs="Times New Roman"/>
          <w:szCs w:val="24"/>
        </w:rPr>
      </w:pPr>
      <w:r w:rsidRPr="000279A5">
        <w:rPr>
          <w:rFonts w:eastAsia="Batang" w:cs="Times New Roman"/>
          <w:szCs w:val="24"/>
        </w:rPr>
        <w:lastRenderedPageBreak/>
        <w:t>Запазват се минималният дневен размер на обезщетението за безработица – 9,21 евро и максималният дневен размер – 54,78 евро за целия период до 2028 г. включително;</w:t>
      </w:r>
    </w:p>
    <w:p w14:paraId="56576285" w14:textId="77777777" w:rsidR="00392531" w:rsidRPr="00392531" w:rsidRDefault="00392531" w:rsidP="00392531">
      <w:pPr>
        <w:numPr>
          <w:ilvl w:val="0"/>
          <w:numId w:val="11"/>
        </w:numPr>
        <w:rPr>
          <w:rFonts w:eastAsia="Batang" w:cs="Times New Roman"/>
          <w:szCs w:val="24"/>
        </w:rPr>
      </w:pPr>
      <w:r w:rsidRPr="00392531">
        <w:rPr>
          <w:rFonts w:eastAsia="Batang" w:cs="Times New Roman"/>
          <w:szCs w:val="24"/>
        </w:rPr>
        <w:t>Увеличава се размерът на обезщетени</w:t>
      </w:r>
      <w:r w:rsidR="00F5456F">
        <w:rPr>
          <w:rFonts w:eastAsia="Batang" w:cs="Times New Roman"/>
          <w:szCs w:val="24"/>
        </w:rPr>
        <w:t>ето за отглеждане на дете до 2-</w:t>
      </w:r>
      <w:r w:rsidRPr="00392531">
        <w:rPr>
          <w:rFonts w:eastAsia="Batang" w:cs="Times New Roman"/>
          <w:szCs w:val="24"/>
        </w:rPr>
        <w:t>годишна</w:t>
      </w:r>
      <w:r w:rsidR="00203012">
        <w:rPr>
          <w:rFonts w:eastAsia="Batang" w:cs="Times New Roman"/>
          <w:szCs w:val="24"/>
        </w:rPr>
        <w:t xml:space="preserve"> възраст </w:t>
      </w:r>
      <w:r w:rsidRPr="00392531">
        <w:rPr>
          <w:rFonts w:eastAsia="Batang" w:cs="Times New Roman"/>
          <w:szCs w:val="24"/>
        </w:rPr>
        <w:t>на 460,17 евро за целия период до 2028 г. включително;</w:t>
      </w:r>
    </w:p>
    <w:p w14:paraId="716B5F61" w14:textId="77777777" w:rsidR="00392531" w:rsidRPr="00392531" w:rsidRDefault="00392531" w:rsidP="00392531">
      <w:pPr>
        <w:numPr>
          <w:ilvl w:val="0"/>
          <w:numId w:val="11"/>
        </w:numPr>
        <w:rPr>
          <w:rFonts w:eastAsia="Batang" w:cs="Times New Roman"/>
          <w:szCs w:val="24"/>
        </w:rPr>
      </w:pPr>
      <w:r w:rsidRPr="00392531">
        <w:rPr>
          <w:rFonts w:eastAsia="Batang" w:cs="Times New Roman"/>
          <w:szCs w:val="24"/>
        </w:rPr>
        <w:t xml:space="preserve">Увеличава се </w:t>
      </w:r>
      <w:r w:rsidR="00F5456F">
        <w:rPr>
          <w:rFonts w:eastAsia="Batang" w:cs="Times New Roman"/>
          <w:szCs w:val="24"/>
        </w:rPr>
        <w:t xml:space="preserve">размерът на </w:t>
      </w:r>
      <w:r w:rsidRPr="00392531">
        <w:rPr>
          <w:rFonts w:eastAsia="Batang" w:cs="Times New Roman"/>
          <w:szCs w:val="24"/>
        </w:rPr>
        <w:t>паричното обезщетение за отглеждане на дете до 8-годишна възраст от бащата (осиновителя)</w:t>
      </w:r>
      <w:r w:rsidR="004A1CDE">
        <w:rPr>
          <w:rFonts w:eastAsia="Batang" w:cs="Times New Roman"/>
          <w:szCs w:val="24"/>
        </w:rPr>
        <w:t xml:space="preserve"> </w:t>
      </w:r>
      <w:r w:rsidRPr="00392531">
        <w:rPr>
          <w:rFonts w:eastAsia="Batang" w:cs="Times New Roman"/>
          <w:szCs w:val="24"/>
        </w:rPr>
        <w:t>на 460,17 евро за целия период до 2028 г. включително;</w:t>
      </w:r>
    </w:p>
    <w:p w14:paraId="3F370EFD" w14:textId="77777777" w:rsidR="00392531" w:rsidRPr="00392531" w:rsidRDefault="00392531" w:rsidP="00392531">
      <w:pPr>
        <w:numPr>
          <w:ilvl w:val="0"/>
          <w:numId w:val="11"/>
        </w:numPr>
        <w:rPr>
          <w:rFonts w:eastAsia="Batang" w:cs="Times New Roman"/>
          <w:szCs w:val="24"/>
        </w:rPr>
      </w:pPr>
      <w:r>
        <w:rPr>
          <w:rFonts w:eastAsia="Batang" w:cs="Times New Roman"/>
          <w:szCs w:val="24"/>
        </w:rPr>
        <w:t>Повишава се размерът</w:t>
      </w:r>
      <w:r w:rsidRPr="00392531">
        <w:rPr>
          <w:rFonts w:eastAsia="Batang" w:cs="Times New Roman"/>
          <w:szCs w:val="24"/>
        </w:rPr>
        <w:t xml:space="preserve"> от 50 на сто на 75 на сто на паричното обезщетение при </w:t>
      </w:r>
      <w:proofErr w:type="spellStart"/>
      <w:r w:rsidRPr="00392531">
        <w:rPr>
          <w:rFonts w:eastAsia="Batang" w:cs="Times New Roman"/>
          <w:szCs w:val="24"/>
        </w:rPr>
        <w:t>неизползване</w:t>
      </w:r>
      <w:proofErr w:type="spellEnd"/>
      <w:r w:rsidRPr="00392531">
        <w:rPr>
          <w:rFonts w:eastAsia="Batang" w:cs="Times New Roman"/>
          <w:szCs w:val="24"/>
        </w:rPr>
        <w:t xml:space="preserve"> на отпуска за бременност и раждане по чл. 50а от КСО, за </w:t>
      </w:r>
      <w:proofErr w:type="spellStart"/>
      <w:r w:rsidRPr="00392531">
        <w:rPr>
          <w:rFonts w:eastAsia="Batang" w:cs="Times New Roman"/>
          <w:szCs w:val="24"/>
        </w:rPr>
        <w:t>неизползване</w:t>
      </w:r>
      <w:proofErr w:type="spellEnd"/>
      <w:r w:rsidRPr="00392531">
        <w:rPr>
          <w:rFonts w:eastAsia="Batang" w:cs="Times New Roman"/>
          <w:szCs w:val="24"/>
        </w:rPr>
        <w:t xml:space="preserve"> на отпуска за отглеждане на дете до 2-годишна възраст по чл. 54 от КСО и при </w:t>
      </w:r>
      <w:proofErr w:type="spellStart"/>
      <w:r w:rsidRPr="00392531">
        <w:rPr>
          <w:rFonts w:eastAsia="Batang" w:cs="Times New Roman"/>
          <w:szCs w:val="24"/>
        </w:rPr>
        <w:t>неизползване</w:t>
      </w:r>
      <w:proofErr w:type="spellEnd"/>
      <w:r w:rsidRPr="00392531">
        <w:rPr>
          <w:rFonts w:eastAsia="Batang" w:cs="Times New Roman"/>
          <w:szCs w:val="24"/>
        </w:rPr>
        <w:t xml:space="preserve"> на отпуска при осиновяване на дете до 5-годишна възраст по чл.53г от КСО;</w:t>
      </w:r>
    </w:p>
    <w:p w14:paraId="3E46D867" w14:textId="77777777" w:rsidR="000279A5" w:rsidRPr="000279A5" w:rsidRDefault="000279A5" w:rsidP="000279A5">
      <w:pPr>
        <w:numPr>
          <w:ilvl w:val="0"/>
          <w:numId w:val="11"/>
        </w:numPr>
        <w:tabs>
          <w:tab w:val="num" w:pos="4046"/>
        </w:tabs>
        <w:rPr>
          <w:rFonts w:eastAsia="Batang" w:cs="Times New Roman"/>
          <w:szCs w:val="24"/>
        </w:rPr>
      </w:pPr>
      <w:r w:rsidRPr="000279A5">
        <w:rPr>
          <w:rFonts w:eastAsia="Batang" w:cs="Times New Roman"/>
          <w:szCs w:val="24"/>
        </w:rPr>
        <w:t>Запазва се периодът, от който се изчисляват краткосрочните обезщетения при временна неработоспособност – 18 календарни месеца, бременност и раждане и безработица – 24 месеца за целия период до 2028 г. включително;</w:t>
      </w:r>
    </w:p>
    <w:p w14:paraId="3EE8AEC0" w14:textId="77777777" w:rsidR="000279A5" w:rsidRPr="000279A5" w:rsidRDefault="000279A5" w:rsidP="000279A5">
      <w:pPr>
        <w:numPr>
          <w:ilvl w:val="0"/>
          <w:numId w:val="11"/>
        </w:numPr>
        <w:tabs>
          <w:tab w:val="num" w:pos="4046"/>
        </w:tabs>
        <w:rPr>
          <w:rFonts w:eastAsia="Batang" w:cs="Times New Roman"/>
          <w:szCs w:val="24"/>
        </w:rPr>
      </w:pPr>
      <w:r w:rsidRPr="000279A5">
        <w:rPr>
          <w:rFonts w:eastAsia="Batang" w:cs="Times New Roman"/>
          <w:szCs w:val="24"/>
        </w:rPr>
        <w:t>Запазва се размерът на еднократната помощ при смърт на осигурено лице – 276,10 евро за целия прогнозен период;</w:t>
      </w:r>
    </w:p>
    <w:p w14:paraId="7F84D297" w14:textId="77777777" w:rsidR="000279A5" w:rsidRPr="000279A5" w:rsidRDefault="000279A5" w:rsidP="000279A5">
      <w:pPr>
        <w:numPr>
          <w:ilvl w:val="0"/>
          <w:numId w:val="11"/>
        </w:numPr>
        <w:tabs>
          <w:tab w:val="num" w:pos="4046"/>
        </w:tabs>
        <w:rPr>
          <w:rFonts w:eastAsia="Batang" w:cs="Times New Roman"/>
          <w:szCs w:val="24"/>
        </w:rPr>
      </w:pPr>
      <w:r w:rsidRPr="000279A5">
        <w:rPr>
          <w:rFonts w:eastAsia="Batang" w:cs="Times New Roman"/>
          <w:szCs w:val="24"/>
        </w:rPr>
        <w:t>За периода 2026-2028 г. не се правят вноски за фонд „Гарантирани вземания на работниците и служителите”, като се запазва разпоредбата на чл. 22, ал. 2 от ЗГВРСНР, относно максималния месечен размер на гарантираното вземане, който не може да бъде по-малък от 2,5 минимални работни заплати.</w:t>
      </w:r>
    </w:p>
    <w:p w14:paraId="258FD8B4" w14:textId="77777777" w:rsidR="000279A5" w:rsidRPr="000279A5" w:rsidRDefault="000279A5" w:rsidP="000279A5">
      <w:pPr>
        <w:rPr>
          <w:rFonts w:eastAsia="Batang" w:cs="Times New Roman"/>
          <w:szCs w:val="24"/>
        </w:rPr>
      </w:pPr>
      <w:r w:rsidRPr="000279A5">
        <w:rPr>
          <w:rFonts w:eastAsia="Batang" w:cs="Times New Roman"/>
          <w:szCs w:val="24"/>
        </w:rPr>
        <w:t xml:space="preserve">Прогнозата за разходите за обезщетения и помощи за периода 2026-2028 г. по </w:t>
      </w:r>
      <w:r w:rsidR="00B3032D">
        <w:rPr>
          <w:rFonts w:eastAsia="Batang" w:cs="Times New Roman"/>
          <w:szCs w:val="24"/>
        </w:rPr>
        <w:t>проекто</w:t>
      </w:r>
      <w:r w:rsidRPr="000279A5">
        <w:rPr>
          <w:rFonts w:eastAsia="Batang" w:cs="Times New Roman"/>
          <w:szCs w:val="24"/>
        </w:rPr>
        <w:t>бюджета на държавното обществено осигуряване е съобразена с отчетените разходи за 2024 г., ЗБДОО за 2025 г., динамиката в прогнозирания брой на осигурените лица, нарастването на осигурителния им доход, в т.ч. и за предходни години, доколкото размерът на повечето парични обезщетения се определя от референтен доход за предишните 18 или 24 календарни месеца преди настъпване на риска, както и с отчетни данни за броя на получателите на парични обезщетения и помощи, дневните размери на паричните обезщетения и изплатените работни дни на осигурените лица, и др.</w:t>
      </w:r>
    </w:p>
    <w:p w14:paraId="1A792FF5" w14:textId="77777777" w:rsidR="000279A5" w:rsidRPr="000279A5" w:rsidRDefault="000279A5" w:rsidP="000279A5">
      <w:pPr>
        <w:rPr>
          <w:rFonts w:eastAsia="Batang" w:cs="Times New Roman"/>
          <w:szCs w:val="24"/>
        </w:rPr>
      </w:pPr>
      <w:r w:rsidRPr="000279A5">
        <w:rPr>
          <w:rFonts w:eastAsia="Batang" w:cs="Times New Roman"/>
          <w:szCs w:val="24"/>
        </w:rPr>
        <w:t>В резултат на тези допускания разходите за обезщетения и помощи по бюджета на ДОО през 2026 г. нарастват с</w:t>
      </w:r>
      <w:r w:rsidR="004A1CDE">
        <w:rPr>
          <w:rFonts w:eastAsia="Batang" w:cs="Times New Roman"/>
          <w:szCs w:val="24"/>
        </w:rPr>
        <w:t>ъс</w:t>
      </w:r>
      <w:r w:rsidRPr="000279A5">
        <w:rPr>
          <w:rFonts w:eastAsia="Batang" w:cs="Times New Roman"/>
          <w:szCs w:val="24"/>
        </w:rPr>
        <w:t xml:space="preserve"> </w:t>
      </w:r>
      <w:r w:rsidR="000E4403" w:rsidRPr="000E4403">
        <w:rPr>
          <w:rFonts w:eastAsia="Batang" w:cs="Times New Roman"/>
          <w:szCs w:val="24"/>
        </w:rPr>
        <w:t>150,2</w:t>
      </w:r>
      <w:r w:rsidRPr="000279A5">
        <w:rPr>
          <w:rFonts w:eastAsia="Batang" w:cs="Times New Roman"/>
          <w:szCs w:val="24"/>
        </w:rPr>
        <w:t xml:space="preserve"> млн. евро спрямо закона за 2025 г.</w:t>
      </w:r>
    </w:p>
    <w:p w14:paraId="3631972E" w14:textId="77777777" w:rsidR="000279A5" w:rsidRPr="000279A5" w:rsidRDefault="000279A5" w:rsidP="000279A5">
      <w:pPr>
        <w:rPr>
          <w:rFonts w:eastAsia="Batang" w:cs="Times New Roman"/>
          <w:szCs w:val="24"/>
        </w:rPr>
      </w:pPr>
      <w:r w:rsidRPr="000279A5">
        <w:rPr>
          <w:rFonts w:eastAsia="Batang" w:cs="Times New Roman"/>
          <w:bCs/>
          <w:szCs w:val="24"/>
        </w:rPr>
        <w:t xml:space="preserve">По </w:t>
      </w:r>
      <w:r w:rsidR="00B3032D">
        <w:rPr>
          <w:rFonts w:eastAsia="Batang" w:cs="Times New Roman"/>
          <w:bCs/>
          <w:szCs w:val="24"/>
        </w:rPr>
        <w:t>проекто</w:t>
      </w:r>
      <w:r w:rsidRPr="000279A5">
        <w:rPr>
          <w:rFonts w:eastAsia="Batang" w:cs="Times New Roman"/>
          <w:bCs/>
          <w:szCs w:val="24"/>
        </w:rPr>
        <w:t xml:space="preserve">бюджета на </w:t>
      </w:r>
      <w:r w:rsidRPr="00300C21">
        <w:rPr>
          <w:rFonts w:eastAsia="Batang" w:cs="Times New Roman"/>
          <w:bCs/>
          <w:szCs w:val="24"/>
        </w:rPr>
        <w:t>Министерството на труда и социалната политика</w:t>
      </w:r>
      <w:r w:rsidRPr="000279A5">
        <w:rPr>
          <w:rFonts w:eastAsia="Batang" w:cs="Times New Roman"/>
          <w:bCs/>
          <w:szCs w:val="24"/>
        </w:rPr>
        <w:t xml:space="preserve"> за 2026 г. за помощи и обезщетения са предвидени допълнителни разходи в размер на</w:t>
      </w:r>
      <w:r w:rsidRPr="000279A5">
        <w:rPr>
          <w:rFonts w:eastAsia="Batang" w:cs="Times New Roman"/>
          <w:szCs w:val="24"/>
        </w:rPr>
        <w:t xml:space="preserve"> </w:t>
      </w:r>
      <w:r w:rsidR="000E4403" w:rsidRPr="000E4403">
        <w:rPr>
          <w:rFonts w:eastAsia="Batang" w:cs="Times New Roman"/>
          <w:szCs w:val="24"/>
        </w:rPr>
        <w:t>486,7</w:t>
      </w:r>
      <w:r w:rsidRPr="000279A5">
        <w:rPr>
          <w:rFonts w:eastAsia="Batang" w:cs="Times New Roman"/>
          <w:szCs w:val="24"/>
        </w:rPr>
        <w:t xml:space="preserve"> млн. евро, както следва:</w:t>
      </w:r>
    </w:p>
    <w:p w14:paraId="27819D00" w14:textId="77777777" w:rsidR="000279A5" w:rsidRPr="000279A5" w:rsidRDefault="000E4403" w:rsidP="000279A5">
      <w:pPr>
        <w:numPr>
          <w:ilvl w:val="0"/>
          <w:numId w:val="11"/>
        </w:numPr>
        <w:rPr>
          <w:rFonts w:eastAsia="Batang" w:cs="Times New Roman"/>
          <w:szCs w:val="24"/>
        </w:rPr>
      </w:pPr>
      <w:r>
        <w:rPr>
          <w:rFonts w:eastAsia="Batang" w:cs="Times New Roman"/>
          <w:szCs w:val="24"/>
        </w:rPr>
        <w:t>291,6</w:t>
      </w:r>
      <w:r w:rsidR="000279A5" w:rsidRPr="000279A5">
        <w:rPr>
          <w:rFonts w:eastAsia="Batang" w:cs="Times New Roman"/>
          <w:szCs w:val="24"/>
        </w:rPr>
        <w:t xml:space="preserve"> млн. евро във връзка с ефекта от промяна на МРЗ</w:t>
      </w:r>
      <w:r w:rsidR="000279A5" w:rsidRPr="000279A5">
        <w:rPr>
          <w:rFonts w:eastAsia="Batang" w:cs="Times New Roman"/>
          <w:szCs w:val="24"/>
          <w:vertAlign w:val="superscript"/>
        </w:rPr>
        <w:footnoteReference w:id="27"/>
      </w:r>
      <w:r w:rsidR="000279A5" w:rsidRPr="000279A5">
        <w:rPr>
          <w:rFonts w:eastAsia="Batang" w:cs="Times New Roman"/>
          <w:szCs w:val="24"/>
        </w:rPr>
        <w:t xml:space="preserve"> от 1</w:t>
      </w:r>
      <w:r>
        <w:rPr>
          <w:rFonts w:eastAsia="Batang" w:cs="Times New Roman"/>
          <w:szCs w:val="24"/>
        </w:rPr>
        <w:t xml:space="preserve"> </w:t>
      </w:r>
      <w:r w:rsidR="000279A5" w:rsidRPr="000279A5">
        <w:rPr>
          <w:rFonts w:eastAsia="Batang" w:cs="Times New Roman"/>
          <w:szCs w:val="24"/>
        </w:rPr>
        <w:t xml:space="preserve">януари 2026 г. на </w:t>
      </w:r>
      <w:r w:rsidRPr="000E4403">
        <w:rPr>
          <w:rFonts w:eastAsia="Batang" w:cs="Times New Roman"/>
          <w:szCs w:val="24"/>
        </w:rPr>
        <w:t>620,20</w:t>
      </w:r>
      <w:r w:rsidR="000279A5" w:rsidRPr="000279A5">
        <w:rPr>
          <w:rFonts w:eastAsia="Batang" w:cs="Times New Roman"/>
          <w:szCs w:val="24"/>
        </w:rPr>
        <w:t xml:space="preserve"> евро, в т.ч. </w:t>
      </w:r>
      <w:r w:rsidRPr="000E4403">
        <w:rPr>
          <w:rFonts w:eastAsia="Batang" w:cs="Times New Roman"/>
          <w:szCs w:val="24"/>
        </w:rPr>
        <w:t>289,1</w:t>
      </w:r>
      <w:r w:rsidR="000279A5" w:rsidRPr="000279A5">
        <w:rPr>
          <w:rFonts w:eastAsia="Batang" w:cs="Times New Roman"/>
          <w:szCs w:val="24"/>
        </w:rPr>
        <w:t xml:space="preserve"> млн. евро при определяне възнагражденията на личните асистенти по Механизма лична помощ по Закона за личната помощ, като е отчетена и динамиката в броя на ползвателите и 2,</w:t>
      </w:r>
      <w:r>
        <w:rPr>
          <w:rFonts w:eastAsia="Batang" w:cs="Times New Roman"/>
          <w:szCs w:val="24"/>
        </w:rPr>
        <w:t>5</w:t>
      </w:r>
      <w:r w:rsidR="000279A5" w:rsidRPr="000279A5">
        <w:rPr>
          <w:rFonts w:eastAsia="Batang" w:cs="Times New Roman"/>
          <w:szCs w:val="24"/>
        </w:rPr>
        <w:t xml:space="preserve"> млн. евро за възнаграждения за професионалните приемни семейства по Закона за закрила на детето;</w:t>
      </w:r>
    </w:p>
    <w:p w14:paraId="3270C1F2" w14:textId="77777777" w:rsidR="000279A5" w:rsidRPr="000279A5" w:rsidRDefault="000279A5" w:rsidP="000279A5">
      <w:pPr>
        <w:numPr>
          <w:ilvl w:val="0"/>
          <w:numId w:val="11"/>
        </w:numPr>
        <w:rPr>
          <w:rFonts w:eastAsia="Batang" w:cs="Times New Roman"/>
          <w:szCs w:val="24"/>
        </w:rPr>
      </w:pPr>
      <w:r w:rsidRPr="000279A5">
        <w:rPr>
          <w:rFonts w:eastAsia="Batang" w:cs="Times New Roman"/>
          <w:szCs w:val="24"/>
        </w:rPr>
        <w:lastRenderedPageBreak/>
        <w:t>170,7 млн. евро за социални плащания във връзка с определения нов размер на линията на бедност 390,63 евро за 2026 г., в т.ч. 35,6 млн. евро допълнителни разходи за помощите по Закона за социално подпомагане, 133,5 млн. евро допълнителни разходи при определяне на финансовата подкрепа по Закона за хората с увреждания и 1,6 млн. евро за помощите</w:t>
      </w:r>
      <w:r w:rsidR="007042CF">
        <w:rPr>
          <w:rFonts w:eastAsia="Batang" w:cs="Times New Roman"/>
          <w:szCs w:val="24"/>
        </w:rPr>
        <w:t xml:space="preserve"> по Закона за закрила на детето;</w:t>
      </w:r>
    </w:p>
    <w:p w14:paraId="2ACD3C8E" w14:textId="77777777" w:rsidR="000279A5" w:rsidRPr="000279A5" w:rsidRDefault="000279A5" w:rsidP="000279A5">
      <w:pPr>
        <w:numPr>
          <w:ilvl w:val="0"/>
          <w:numId w:val="11"/>
        </w:numPr>
        <w:rPr>
          <w:rFonts w:eastAsia="Batang" w:cs="Times New Roman"/>
          <w:szCs w:val="24"/>
        </w:rPr>
      </w:pPr>
      <w:r w:rsidRPr="000279A5">
        <w:rPr>
          <w:rFonts w:eastAsia="Batang" w:cs="Times New Roman"/>
          <w:szCs w:val="24"/>
        </w:rPr>
        <w:t>24,4 млн. евро допълнителни разходи за месечни помощи за отглеждане на дете с трайно увреждане по чл. 8д от Закона за семейни помощи за деца във връзка с увеличения брой деца – ползватели на помощта.</w:t>
      </w:r>
    </w:p>
    <w:p w14:paraId="1E98CCAF" w14:textId="77777777" w:rsidR="00833B37" w:rsidRPr="00833B37" w:rsidRDefault="005518F3" w:rsidP="00833B37">
      <w:pPr>
        <w:rPr>
          <w:rFonts w:eastAsia="Batang" w:cs="Times New Roman"/>
          <w:szCs w:val="24"/>
        </w:rPr>
      </w:pPr>
      <w:r w:rsidRPr="005518F3">
        <w:rPr>
          <w:rFonts w:eastAsia="Batang" w:cs="Times New Roman"/>
          <w:i/>
          <w:szCs w:val="24"/>
        </w:rPr>
        <w:t>За делегираните от държавата дейности</w:t>
      </w:r>
      <w:r w:rsidRPr="005518F3">
        <w:rPr>
          <w:rFonts w:eastAsia="Batang" w:cs="Times New Roman"/>
          <w:szCs w:val="24"/>
        </w:rPr>
        <w:t xml:space="preserve"> в сферата на социалните услуги, финансирани чрез бюджетите на общините за 2026 г., са предвидени допълнителни разходи в размер на 73,2 млн. евро във връзка с ефекта от увеличението на минималната работна заплата от 1 януари 2026 г. и промяната в натуралните показатели. </w:t>
      </w:r>
      <w:r w:rsidR="00833B37" w:rsidRPr="00833B37">
        <w:rPr>
          <w:rFonts w:eastAsia="Batang" w:cs="Times New Roman"/>
          <w:szCs w:val="24"/>
        </w:rPr>
        <w:t>С предвидените средства за 2026 г. се осигурява финансирането на специализираните институции за предоставяне на социални услуги, социалните услуги, предоставяни в общността</w:t>
      </w:r>
      <w:r w:rsidR="00833B37">
        <w:rPr>
          <w:rFonts w:eastAsia="Batang" w:cs="Times New Roman"/>
          <w:szCs w:val="24"/>
        </w:rPr>
        <w:t>,</w:t>
      </w:r>
      <w:r w:rsidR="00833B37" w:rsidRPr="00833B37">
        <w:rPr>
          <w:rFonts w:eastAsia="Batang" w:cs="Times New Roman"/>
          <w:szCs w:val="24"/>
        </w:rPr>
        <w:t xml:space="preserve"> и на асистентската подкрепа. </w:t>
      </w:r>
    </w:p>
    <w:p w14:paraId="66F118C8" w14:textId="77777777" w:rsidR="00833B37" w:rsidRPr="00833B37" w:rsidRDefault="00833B37" w:rsidP="00833B37">
      <w:pPr>
        <w:rPr>
          <w:rFonts w:eastAsia="Batang" w:cs="Times New Roman"/>
          <w:szCs w:val="24"/>
        </w:rPr>
      </w:pPr>
      <w:r w:rsidRPr="00833B37">
        <w:rPr>
          <w:rFonts w:eastAsia="Batang" w:cs="Times New Roman"/>
          <w:szCs w:val="24"/>
        </w:rPr>
        <w:t xml:space="preserve">За осигуряване на дейността на Възстановителен център за деца с </w:t>
      </w:r>
      <w:proofErr w:type="spellStart"/>
      <w:r w:rsidRPr="00833B37">
        <w:rPr>
          <w:rFonts w:eastAsia="Batang" w:cs="Times New Roman"/>
          <w:szCs w:val="24"/>
        </w:rPr>
        <w:t>онкохематологични</w:t>
      </w:r>
      <w:proofErr w:type="spellEnd"/>
      <w:r w:rsidRPr="00833B37">
        <w:rPr>
          <w:rFonts w:eastAsia="Batang" w:cs="Times New Roman"/>
          <w:szCs w:val="24"/>
        </w:rPr>
        <w:t xml:space="preserve"> заболявания в с. Опицвет, община Костинброд, в централния бюджет за 2026 г. са разчетени </w:t>
      </w:r>
      <w:r w:rsidR="00D86612">
        <w:rPr>
          <w:rFonts w:eastAsia="Batang" w:cs="Times New Roman"/>
          <w:szCs w:val="24"/>
        </w:rPr>
        <w:t>0,4</w:t>
      </w:r>
      <w:r w:rsidRPr="00833B37">
        <w:rPr>
          <w:rFonts w:eastAsia="Batang" w:cs="Times New Roman"/>
          <w:szCs w:val="24"/>
        </w:rPr>
        <w:t xml:space="preserve"> </w:t>
      </w:r>
      <w:r w:rsidR="00D86612">
        <w:rPr>
          <w:rFonts w:eastAsia="Batang" w:cs="Times New Roman"/>
          <w:szCs w:val="24"/>
        </w:rPr>
        <w:t>млн</w:t>
      </w:r>
      <w:r w:rsidRPr="00833B37">
        <w:rPr>
          <w:rFonts w:eastAsia="Batang" w:cs="Times New Roman"/>
          <w:szCs w:val="24"/>
        </w:rPr>
        <w:t>. евро, които запазват размера си от 2025 г.</w:t>
      </w:r>
    </w:p>
    <w:p w14:paraId="4A50AE3C" w14:textId="77777777" w:rsidR="00AF259D" w:rsidRPr="00074767" w:rsidRDefault="00AF259D" w:rsidP="00074767">
      <w:pPr>
        <w:pStyle w:val="Heading4"/>
      </w:pPr>
      <w:r w:rsidRPr="00074767">
        <w:t>Политика в областта на пазара на труда, свободното движение на работници и трудовата миграция</w:t>
      </w:r>
    </w:p>
    <w:p w14:paraId="14391E20" w14:textId="77777777" w:rsidR="000279A5" w:rsidRPr="000279A5" w:rsidRDefault="000279A5" w:rsidP="000279A5">
      <w:r w:rsidRPr="000279A5">
        <w:t xml:space="preserve">Политиката в областта на пазара на труда, свободното движение на работници и трудовата миграция се изпълнява от Министерството на труда и социалната политика (МТСП), като са ангажирани и изпълнителните агенции към министъра на труда и социалната политика – Агенцията по заетостта, Изпълнителната агенция „Главна инспекция по труда“, Държавната агенция за закрила на детето, Агенцията за социално подпомагане и се реализира чрез ежегодно приемания Национален план за действие по заетостта. </w:t>
      </w:r>
    </w:p>
    <w:p w14:paraId="6E455B6F" w14:textId="77777777" w:rsidR="000279A5" w:rsidRPr="000279A5" w:rsidRDefault="000279A5" w:rsidP="000279A5">
      <w:r w:rsidRPr="000279A5">
        <w:t xml:space="preserve">Стратегическите цели в областта на пазара на труда включват повишаване качеството на работната сила в контекста на дигитализацията на икономиката и зеления преход и подобряване адаптивността на заетите лица, повишаване предлагането на труд чрез насърчаване икономическата активност на населението, привличане на българи, живеещи в чужбина и подобряване достъпа до пазара на труда за работници от трети страни, и насърчаване на заетостта чрез създаване на възможности за интеграция на </w:t>
      </w:r>
      <w:proofErr w:type="spellStart"/>
      <w:r w:rsidRPr="000279A5">
        <w:t>неравнопоставените</w:t>
      </w:r>
      <w:proofErr w:type="spellEnd"/>
      <w:r w:rsidRPr="000279A5">
        <w:t xml:space="preserve"> групи на пазара на труда, вкл. лица с увреждания. </w:t>
      </w:r>
    </w:p>
    <w:p w14:paraId="75D198CC" w14:textId="77777777" w:rsidR="000279A5" w:rsidRPr="000279A5" w:rsidRDefault="000279A5" w:rsidP="00A2777A">
      <w:r w:rsidRPr="000279A5">
        <w:t>Програмата в областта на свободното движение на работници и трудовата миграция, като част от посочената политика</w:t>
      </w:r>
      <w:r w:rsidR="00AE21EC">
        <w:t>,</w:t>
      </w:r>
      <w:r w:rsidRPr="000279A5">
        <w:t xml:space="preserve"> се реализира на основание на Закона за трудовата миграция и трудовата мобилност и на Правилника за неговото прилагане. Стратегическата цел в областта на свободното движение на работници и трудовата миграция е ограничаване на недостига на кадри за пазара на труда в България, чрез регулиране на трудовата миграция, както и чрез гарантиране правата на българските работници, упражняващи правото си на свободно движение и заетост в ЕС/ЕИП</w:t>
      </w:r>
      <w:r w:rsidRPr="000279A5">
        <w:rPr>
          <w:sz w:val="20"/>
          <w:szCs w:val="20"/>
          <w:vertAlign w:val="superscript"/>
        </w:rPr>
        <w:footnoteReference w:id="28"/>
      </w:r>
      <w:r w:rsidRPr="000279A5">
        <w:t xml:space="preserve">. Дейностите в тази област ще бъдат насочени към осигуряване на работна сила за сектори и икономически дейности, където е идентифициран недостиг на кадри, като се използват възможностите за </w:t>
      </w:r>
      <w:r w:rsidRPr="000279A5">
        <w:lastRenderedPageBreak/>
        <w:t>осъществяване на свободното движение на работници в ЕС и механизмите на трудовата миграция, включително чрез спогодби за регулирането ѝ.</w:t>
      </w:r>
    </w:p>
    <w:p w14:paraId="04DFC479" w14:textId="77777777" w:rsidR="00AF259D" w:rsidRPr="002D6ED3" w:rsidRDefault="00AF259D" w:rsidP="00074767">
      <w:pPr>
        <w:pStyle w:val="Heading4"/>
      </w:pPr>
      <w:r w:rsidRPr="002D6ED3">
        <w:t xml:space="preserve">Политика в областта на трудовите отношения </w:t>
      </w:r>
    </w:p>
    <w:p w14:paraId="1780FAE6" w14:textId="77777777" w:rsidR="000279A5" w:rsidRPr="000279A5" w:rsidRDefault="000279A5" w:rsidP="000279A5">
      <w:pPr>
        <w:rPr>
          <w:rFonts w:eastAsia="Batang"/>
        </w:rPr>
      </w:pPr>
      <w:r w:rsidRPr="000279A5">
        <w:rPr>
          <w:rFonts w:eastAsia="Batang"/>
        </w:rPr>
        <w:t>Стратегическата цел на политиката в областта на трудовите отношения на МТСП съчетава три основни стратегически направления: повишаване на качеството и сигурността на труда; гарантиране на адекватността и устойчивостта на пенсионната система и защита на правата на българите зад граница в областта на социалната сигурност.</w:t>
      </w:r>
    </w:p>
    <w:p w14:paraId="4A261216" w14:textId="77777777" w:rsidR="000279A5" w:rsidRPr="000279A5" w:rsidRDefault="000279A5" w:rsidP="000279A5">
      <w:pPr>
        <w:rPr>
          <w:rFonts w:eastAsia="Batang"/>
        </w:rPr>
      </w:pPr>
      <w:r w:rsidRPr="000279A5">
        <w:rPr>
          <w:rFonts w:eastAsia="Batang"/>
        </w:rPr>
        <w:t>Политиката в областта на трудовите отношения допринася за успешно функциониращ пазар на труда, основан на адекватна регулация на трудовите отношения, балансирана система за социална сигурност и ефективен социален диалог. Основните предизвикателства, които определят насоките за действие в областта на трудовите отношения са: новите тенденции в заетостта, свързани с атипични форми на трудови отношения, включително надомна работа, работа от разстояние и работа чрез предприятия, които осигуряват временна заетост, както и повишаващата се заетост в микро-, малките и средни предприятия, промените на работното място и възникването на нови професионални рискове; тенденцията към увеличаване и/или неравномерно разпределение на работното време и интензивността на труда, демографските промени и застаряването на работещото население. Важно значение имат и въпросите, свързани с улесняването на работодателите за изпълнението на законовите им задължения в областта на трудовите и осигурителните отношения и безопасните и здравословни условия на труд.</w:t>
      </w:r>
    </w:p>
    <w:p w14:paraId="3190A93D" w14:textId="77777777" w:rsidR="000279A5" w:rsidRPr="000279A5" w:rsidRDefault="000279A5" w:rsidP="000279A5">
      <w:pPr>
        <w:rPr>
          <w:rFonts w:eastAsia="Batang"/>
        </w:rPr>
      </w:pPr>
      <w:r w:rsidRPr="000279A5">
        <w:rPr>
          <w:rFonts w:eastAsia="Batang"/>
        </w:rPr>
        <w:t>За изпълнението на заложената стратегическа цел се поставят пет оперативни цели: защита на трудовите и социалните права на работниците и служителите и развитие на законодателството в съответствие с принципите за по-доброто регулиране, подобряване на условията на труд в предприятията и на мотивацията и производителността на работната сила, повишаване на ефективността и ефикасността на контрола по спазване на трудовото законодателство, гарантиране на социалноосигурителните права на гражданите и защита на правата на българите зад граница в областта на социалната сигурност и усъвършенстване и развитие на социалния диалог и съдействие за уреждане на колективни трудови спорове. Изпълнението на оперативните цели се осъществява чрез Програма 1500.02.01 „Осигуряване на подходящи условия на труд”.</w:t>
      </w:r>
    </w:p>
    <w:p w14:paraId="15B95B6F" w14:textId="77777777" w:rsidR="000279A5" w:rsidRPr="000279A5" w:rsidRDefault="000279A5" w:rsidP="000279A5">
      <w:pPr>
        <w:rPr>
          <w:rFonts w:eastAsia="Batang"/>
        </w:rPr>
      </w:pPr>
      <w:r w:rsidRPr="000279A5">
        <w:rPr>
          <w:rFonts w:eastAsia="Batang"/>
        </w:rPr>
        <w:t>Разработването и провеждането на политиката в областта на трудовите отношения се осъществява в сътрудничество с признатите за представителни на национално равнище организации на работодателите и на работниците и служителите. Принос в политиката има Изпълнителна агенция „Главна инспекция по труда“ чрез осъществяване на цялостен контрол за спазване на трудовото законодателство във всички отрасли и дейности в Република България. За постигане целите на политиката допринасят всички участници на пазара на труда.</w:t>
      </w:r>
    </w:p>
    <w:p w14:paraId="02F575BD" w14:textId="77777777" w:rsidR="00AF259D" w:rsidRPr="002D6ED3" w:rsidRDefault="00AF259D" w:rsidP="00074767">
      <w:pPr>
        <w:pStyle w:val="Heading4"/>
      </w:pPr>
      <w:r w:rsidRPr="002D6ED3">
        <w:t>Политика в областта на социалното подпомагане и равнопоставеността на жените и мъжете</w:t>
      </w:r>
    </w:p>
    <w:p w14:paraId="1DB280EB" w14:textId="77777777" w:rsidR="000279A5" w:rsidRPr="000279A5" w:rsidRDefault="000279A5" w:rsidP="000279A5">
      <w:pPr>
        <w:rPr>
          <w:rFonts w:eastAsia="Batang"/>
        </w:rPr>
      </w:pPr>
      <w:r w:rsidRPr="000279A5">
        <w:rPr>
          <w:rFonts w:eastAsia="Batang"/>
        </w:rPr>
        <w:t xml:space="preserve">Стратегическите цели на политиката в областта на социалното подпомагане и равнопоставеността на жените и мъжете са: оптимизиране на системата за социална подкрепа на най-уязвимите групи от населението, повишаване ефективността на </w:t>
      </w:r>
      <w:r w:rsidRPr="000279A5">
        <w:rPr>
          <w:rFonts w:eastAsia="Batang"/>
        </w:rPr>
        <w:lastRenderedPageBreak/>
        <w:t xml:space="preserve">програмите и дейностите за социално подпомагане и насърчаване на равнопоставеността на мъжете и жените </w:t>
      </w:r>
      <w:r w:rsidR="00AE21EC">
        <w:rPr>
          <w:rFonts w:eastAsia="Batang"/>
        </w:rPr>
        <w:t xml:space="preserve">в </w:t>
      </w:r>
      <w:r w:rsidRPr="000279A5">
        <w:rPr>
          <w:rFonts w:eastAsia="Batang"/>
        </w:rPr>
        <w:t>различни сфери на обществения живот.</w:t>
      </w:r>
    </w:p>
    <w:p w14:paraId="6408861F" w14:textId="77777777" w:rsidR="000279A5" w:rsidRPr="000279A5" w:rsidRDefault="000279A5" w:rsidP="000279A5">
      <w:pPr>
        <w:rPr>
          <w:rFonts w:eastAsia="Batang"/>
        </w:rPr>
      </w:pPr>
      <w:r w:rsidRPr="000279A5">
        <w:rPr>
          <w:rFonts w:eastAsia="Batang"/>
        </w:rPr>
        <w:t>Политиката по социално подпомагане е насочена към гарантиране задоволяването на основните жизненоважни потребности на хората, изпаднали в критична ситуация, като се прилага ясен, точен и обективно обоснован механизъм. За периода 2026-2028 г. приоритет остават оптимизиране на социалното подпомагане на уязвимите групи от населението, гарантиране на тяхната социална защита чрез по-добра целенасоченост на социалните помощи, повишаване ефективността на програмите и усъвършенстване на нормативната уредба в сферата на социалните помощи в съответствие с динамично променящите се условия на средата.</w:t>
      </w:r>
    </w:p>
    <w:p w14:paraId="360E406F" w14:textId="77777777" w:rsidR="000279A5" w:rsidRPr="00731CE6" w:rsidRDefault="000279A5" w:rsidP="00A2777A">
      <w:pPr>
        <w:rPr>
          <w:rFonts w:eastAsia="Batang"/>
        </w:rPr>
      </w:pPr>
      <w:r w:rsidRPr="000279A5">
        <w:rPr>
          <w:rFonts w:eastAsia="Batang"/>
        </w:rPr>
        <w:t>Равнопоставеността на жените и мъжете е основополагащ принцип в обществото, който гарантира равноправно участие в създаването, управлението и потреблението на обществените блага и услуги. Политиката в областта на равнопоставеността на жените и мъжете има хоризонтален, междусекторен характер. Провеждането ѝ се основава на Закона за равнопоставеност на жените и мъжете чрез интегриране на въпросите за равнопоставеността на жените и мъжете в отделните секторни политики.</w:t>
      </w:r>
    </w:p>
    <w:p w14:paraId="5BCAAEC0" w14:textId="77777777" w:rsidR="00AF259D" w:rsidRPr="002D6ED3" w:rsidRDefault="00AF259D" w:rsidP="00074767">
      <w:pPr>
        <w:pStyle w:val="Heading4"/>
      </w:pPr>
      <w:r w:rsidRPr="002D6ED3">
        <w:t xml:space="preserve">Политика в областта на хората с увреждания </w:t>
      </w:r>
    </w:p>
    <w:p w14:paraId="099EE015" w14:textId="77777777" w:rsidR="00731CE6" w:rsidRPr="00731CE6" w:rsidRDefault="00731CE6" w:rsidP="00731CE6">
      <w:pPr>
        <w:ind w:right="-1"/>
        <w:rPr>
          <w:rFonts w:eastAsia="Batang"/>
        </w:rPr>
      </w:pPr>
      <w:r w:rsidRPr="00731CE6">
        <w:rPr>
          <w:rFonts w:eastAsia="Batang"/>
        </w:rPr>
        <w:t xml:space="preserve">Политиката за правата на хората с увреждания е свързана с универсалността, неделимостта и взаимната зависимост на всички права на човека и основни свободи и осигуряване на правни гаранции за недопускане на дискриминация по признак „увреждане“. Основният фокус е поставен върху създаване на условия и възможности за социално приобщаване и предоставяне на целенасочени подкрепящи и насърчителни мерки на уязвимите групи от хора с увреждания, имащи благоприятно въздействие върху качеството на живот и превенция от социалното изключване. Тази политика е тясно свързана с прилагането на интегриран подход с хоризонтално въздействие, обединяващ ресурсите в различни секторни политики. Развива се в съответствие с изпълнението на националните ангажименти, съгласно изискванията на Конвенцията на ООН за правата на хората с увреждания и при спазване на приоритетите на релевантните стратегически документи. </w:t>
      </w:r>
    </w:p>
    <w:p w14:paraId="2F07416C" w14:textId="77777777" w:rsidR="00731CE6" w:rsidRPr="00731CE6" w:rsidRDefault="00731CE6" w:rsidP="00731CE6">
      <w:pPr>
        <w:ind w:right="-1"/>
        <w:rPr>
          <w:rFonts w:eastAsia="Batang"/>
        </w:rPr>
      </w:pPr>
      <w:r w:rsidRPr="00731CE6">
        <w:rPr>
          <w:rFonts w:eastAsia="Batang"/>
        </w:rPr>
        <w:t xml:space="preserve">Стратегическите цели в тази област са гарантиране на достъпа </w:t>
      </w:r>
      <w:r w:rsidRPr="00731CE6">
        <w:rPr>
          <w:rFonts w:eastAsia="Batang"/>
          <w:bCs/>
        </w:rPr>
        <w:t>до ефективна социална подкрепа, повишаване възможностите за независим социален живот в условията на достъпна среда и активно участие на национално представителните организации на и за хората с увреждания в процеса на социално приобщаване на хората с увреждания.</w:t>
      </w:r>
    </w:p>
    <w:p w14:paraId="4465A420" w14:textId="77777777" w:rsidR="00731CE6" w:rsidRPr="00731CE6" w:rsidRDefault="00731CE6" w:rsidP="00A2777A">
      <w:pPr>
        <w:ind w:right="-1"/>
        <w:rPr>
          <w:rFonts w:eastAsia="Batang"/>
        </w:rPr>
      </w:pPr>
      <w:r w:rsidRPr="00731CE6">
        <w:rPr>
          <w:rFonts w:eastAsia="Batang"/>
        </w:rPr>
        <w:t>Държавните и местните органи в сътрудничество с национално представителните организации на и за хората с увреждания, национално представителните организации на работодателите и национално представителните организации на работниците и служителите създават условия и съдействат за реализирането на програми и проекти в областта на хората с увреждания.</w:t>
      </w:r>
    </w:p>
    <w:p w14:paraId="0A563BF1" w14:textId="77777777" w:rsidR="00AF259D" w:rsidRPr="002D6ED3" w:rsidRDefault="00AF259D" w:rsidP="00074767">
      <w:pPr>
        <w:pStyle w:val="Heading4"/>
      </w:pPr>
      <w:r w:rsidRPr="002D6ED3">
        <w:t xml:space="preserve">Политика в областта на социалното включване </w:t>
      </w:r>
    </w:p>
    <w:p w14:paraId="294637A3" w14:textId="77777777" w:rsidR="00731CE6" w:rsidRPr="00731CE6" w:rsidRDefault="00731CE6" w:rsidP="00731CE6">
      <w:pPr>
        <w:rPr>
          <w:rFonts w:eastAsia="Batang"/>
        </w:rPr>
      </w:pPr>
      <w:r w:rsidRPr="00731CE6">
        <w:rPr>
          <w:rFonts w:eastAsia="Batang"/>
        </w:rPr>
        <w:t>Политиката в областта на социалното включване е многосекторна политика, свързана с подобряване на целенасочеността на мерките и прилагане на интегриран подход за насърчаване на социалното включване, реализирана не само от Министерство</w:t>
      </w:r>
      <w:r w:rsidR="00DB6980">
        <w:rPr>
          <w:rFonts w:eastAsia="Batang"/>
        </w:rPr>
        <w:t>то</w:t>
      </w:r>
      <w:r w:rsidRPr="00731CE6">
        <w:rPr>
          <w:rFonts w:eastAsia="Batang"/>
        </w:rPr>
        <w:t xml:space="preserve"> на труда и социалната политика, но и от други министерства и институции, включително и от местните и регионални власти. За постигане на целите на политиката за социално </w:t>
      </w:r>
      <w:r w:rsidRPr="00731CE6">
        <w:rPr>
          <w:rFonts w:eastAsia="Batang"/>
        </w:rPr>
        <w:lastRenderedPageBreak/>
        <w:t>включване се прилагат редица законодателни мерки и се изпълняват стратегически документи и планове, приети на национално ниво, сред които Национална</w:t>
      </w:r>
      <w:r w:rsidR="00150865">
        <w:rPr>
          <w:rFonts w:eastAsia="Batang"/>
        </w:rPr>
        <w:t>та</w:t>
      </w:r>
      <w:r w:rsidRPr="00731CE6">
        <w:rPr>
          <w:rFonts w:eastAsia="Batang"/>
        </w:rPr>
        <w:t xml:space="preserve"> стратегия за намаляване на бедността и насърчаване на социалното включване 2030 (приета с Решение № 976 на Министерския съвет от 31.12.2020 г., изменена и допълнена с Решение № 368 на Министерския съвет от 02.06.2022 г.). Мерките, които ще се изпълняват в рамките на политиката, адресират стратегическата цел за насърчаване на социалното включване.</w:t>
      </w:r>
    </w:p>
    <w:p w14:paraId="05D12CB4" w14:textId="77777777" w:rsidR="00731CE6" w:rsidRPr="00731CE6" w:rsidRDefault="00731CE6" w:rsidP="00731CE6">
      <w:pPr>
        <w:rPr>
          <w:rFonts w:eastAsia="Batang"/>
        </w:rPr>
      </w:pPr>
      <w:r w:rsidRPr="00731CE6">
        <w:rPr>
          <w:rFonts w:eastAsia="Batang"/>
        </w:rPr>
        <w:t xml:space="preserve">Стратегическата цел е насърчаване на социалното включване. Тази стратегическа цел се постига чрез прилагане на комплексни цели и мерки по политиките в сферата на образованието, здравеопазването, доходите, заетостта, социалните услуги и др. За постигането на стратегическите приоритети, свързани с гарантиране на правата на всички деца и осигуряване на равен достъп до качествени социални услуги и деинституционализация </w:t>
      </w:r>
      <w:r w:rsidR="00DC08A9">
        <w:rPr>
          <w:rFonts w:eastAsia="Batang"/>
        </w:rPr>
        <w:t>са предвидени стратегически под</w:t>
      </w:r>
      <w:r w:rsidRPr="00731CE6">
        <w:rPr>
          <w:rFonts w:eastAsia="Batang"/>
        </w:rPr>
        <w:t>цели, насочени към осигуряване на повече възможности за подкрепа на децата и семействата и продължаване на процеса на деинституционализация.</w:t>
      </w:r>
    </w:p>
    <w:p w14:paraId="44ACA99E" w14:textId="77777777" w:rsidR="00731CE6" w:rsidRPr="00731CE6" w:rsidRDefault="00731CE6" w:rsidP="00731CE6">
      <w:pPr>
        <w:rPr>
          <w:rFonts w:eastAsia="Batang"/>
        </w:rPr>
      </w:pPr>
      <w:r w:rsidRPr="00731CE6">
        <w:rPr>
          <w:rFonts w:eastAsia="Batang"/>
        </w:rPr>
        <w:t>Съществена част от политиката за социално включване е предоставянето на материална подкрепа за семействата с деца и семействата, които полагат грижи за деца в риск. Децата са специфична уязвима група, в много по-голяма степен застрашени от риск от бедност и социално изключване, отколкото възрастните. Те са силно зависими от възрастните, с които живеят и не могат сами да осигурят своето съществуване. Отчитайки факторите, пораждащи бедност – безработица, ниско образование, ниски доходи и т.н., е от особена важност да се предотврати предаването на бедността между поколенията, да се намали възможността ограниченият достъп до пазара на труда и ниският образователен статус на родителите да се предаде на техните деца. Предвижда се за периода 2026-2028 г. увеличение на доходните критерии при определяне правото на достъп до семейните помощи за деца по Закона за семейни помощи за деца (ЗСПД), както следва:</w:t>
      </w:r>
    </w:p>
    <w:p w14:paraId="2EF3DD07" w14:textId="77777777" w:rsidR="00731CE6" w:rsidRPr="001363E7" w:rsidRDefault="00731CE6" w:rsidP="005B790D">
      <w:pPr>
        <w:numPr>
          <w:ilvl w:val="0"/>
          <w:numId w:val="22"/>
        </w:numPr>
        <w:rPr>
          <w:rFonts w:eastAsia="Batang"/>
        </w:rPr>
      </w:pPr>
      <w:r w:rsidRPr="001363E7">
        <w:rPr>
          <w:rFonts w:eastAsia="Batang"/>
        </w:rPr>
        <w:t xml:space="preserve">Увеличение от 01.01.2026 г. на доходния критерий при определяне правото на достъп до месечните семейни помощи за отглеждане на дете до завършване на средно образование, но не повече от 20-годишна възраст съгласно чл. 7 от ЗСПД, </w:t>
      </w:r>
    </w:p>
    <w:p w14:paraId="5C732C15" w14:textId="77777777" w:rsidR="00731CE6" w:rsidRPr="001363E7" w:rsidRDefault="00731CE6" w:rsidP="00FE0673">
      <w:pPr>
        <w:numPr>
          <w:ilvl w:val="0"/>
          <w:numId w:val="34"/>
        </w:numPr>
        <w:ind w:left="993" w:hanging="180"/>
        <w:rPr>
          <w:rFonts w:eastAsia="Batang"/>
        </w:rPr>
      </w:pPr>
      <w:r w:rsidRPr="001363E7">
        <w:rPr>
          <w:rFonts w:eastAsia="Batang"/>
        </w:rPr>
        <w:t>за получаване на пълния размер на помощта с</w:t>
      </w:r>
      <w:r w:rsidR="00FE0673">
        <w:rPr>
          <w:rFonts w:eastAsia="Batang"/>
        </w:rPr>
        <w:t>ъответно от 01.01.2026 г. - 415 </w:t>
      </w:r>
      <w:r w:rsidRPr="001363E7">
        <w:rPr>
          <w:rFonts w:eastAsia="Batang"/>
        </w:rPr>
        <w:t>евро;</w:t>
      </w:r>
    </w:p>
    <w:p w14:paraId="496F19F7" w14:textId="77777777" w:rsidR="00731CE6" w:rsidRPr="001363E7" w:rsidRDefault="00731CE6" w:rsidP="00FE0673">
      <w:pPr>
        <w:numPr>
          <w:ilvl w:val="0"/>
          <w:numId w:val="34"/>
        </w:numPr>
        <w:ind w:left="993" w:hanging="180"/>
        <w:rPr>
          <w:rFonts w:eastAsia="Batang"/>
        </w:rPr>
      </w:pPr>
      <w:r w:rsidRPr="001363E7">
        <w:rPr>
          <w:rFonts w:eastAsia="Batang"/>
        </w:rPr>
        <w:t>за получаване на 80 на сто от пълния размер на помощта съответно от 01.01.2026 г. от 415,01 евро до 466 евро, включително.</w:t>
      </w:r>
    </w:p>
    <w:p w14:paraId="4643E7A1" w14:textId="77777777" w:rsidR="00731CE6" w:rsidRPr="001363E7" w:rsidRDefault="00731CE6" w:rsidP="005B790D">
      <w:pPr>
        <w:numPr>
          <w:ilvl w:val="0"/>
          <w:numId w:val="22"/>
        </w:numPr>
        <w:rPr>
          <w:rFonts w:eastAsia="Batang"/>
        </w:rPr>
      </w:pPr>
      <w:r w:rsidRPr="001363E7">
        <w:rPr>
          <w:rFonts w:eastAsia="Batang"/>
        </w:rPr>
        <w:t>Увеличение от 01.01.2026 г. на размера на доходния критерий за достъп до останалите две семейни помощи за деца, които се предоставят с доходен критерий – еднократната помощ при бременност и месечните помощи за отглеждане на дете до навършване на една година – 466 евро.</w:t>
      </w:r>
    </w:p>
    <w:p w14:paraId="3619EF98" w14:textId="77777777" w:rsidR="00731CE6" w:rsidRPr="00731CE6" w:rsidRDefault="00731CE6" w:rsidP="00A2777A">
      <w:pPr>
        <w:rPr>
          <w:rFonts w:eastAsia="Batang"/>
        </w:rPr>
      </w:pPr>
      <w:r w:rsidRPr="00731CE6">
        <w:rPr>
          <w:rFonts w:eastAsia="Batang"/>
        </w:rPr>
        <w:t>Увеличението на доходните критерии за достъп до семейните помощи за деца, за които той се прилага, е с цел да не се допусне съществено намаление на подпомаганите семейства по програма „Подкрепа за децата и семействата“.</w:t>
      </w:r>
    </w:p>
    <w:p w14:paraId="1C096779" w14:textId="77777777" w:rsidR="00AF259D" w:rsidRPr="002D6ED3" w:rsidRDefault="00AF259D" w:rsidP="00074767">
      <w:pPr>
        <w:pStyle w:val="Heading4"/>
      </w:pPr>
      <w:r w:rsidRPr="002D6ED3">
        <w:t>Политика в областта на жизненото равнище, демографското развитие и социалните инвестиции</w:t>
      </w:r>
    </w:p>
    <w:p w14:paraId="2FD34AD9" w14:textId="77777777" w:rsidR="00731CE6" w:rsidRPr="00731CE6" w:rsidRDefault="00731CE6" w:rsidP="00731CE6">
      <w:pPr>
        <w:rPr>
          <w:rFonts w:eastAsia="Batang"/>
        </w:rPr>
      </w:pPr>
      <w:r w:rsidRPr="00731CE6">
        <w:rPr>
          <w:rFonts w:eastAsia="Batang"/>
        </w:rPr>
        <w:t xml:space="preserve">Политиката в областта на жизненото равнище, демографското развитие и социалните инвестиции се разработва в съответствие с приоритетите, заложени в Националната </w:t>
      </w:r>
      <w:r w:rsidRPr="00731CE6">
        <w:rPr>
          <w:rFonts w:eastAsia="Batang"/>
        </w:rPr>
        <w:lastRenderedPageBreak/>
        <w:t>програма за развитие България 2030, Актуализираната национална стратегия за демографско развитие на населението в Република България (2012-2030 г.), Закона за предприятията на социалната и солидарна икономика, Политиката за насърчаване развитието на корпоративната социална отговорност и е насочена към създаване на съвременни мерки, които да са хармонизирани с прилаганите политики на Европейския съюз за намаляване на бедността сред работещите, постигането на социална кохезия и създаването на равни възможности за пълноценен социален и продуктивен живот за всички социални групи от населението, което е в пълно съответствие с утвърдените практики в страните-членки на ЕС за защита на доходите и жизнения стандарт на нископлатените работници и на „работещите бедни“, както и за прилагането на минимални стандарти за гарантиране на приемливо жизнено равнище. Посрещането на демографските предизвикателства има пряко значение за изпълнение на заложените прио</w:t>
      </w:r>
      <w:r w:rsidR="00DC08A9">
        <w:rPr>
          <w:rFonts w:eastAsia="Batang"/>
        </w:rPr>
        <w:t xml:space="preserve">ритети. </w:t>
      </w:r>
      <w:r w:rsidRPr="00731CE6">
        <w:rPr>
          <w:rFonts w:eastAsia="Batang"/>
        </w:rPr>
        <w:t>Повишаването на качествените параметри на възпроизводството на населението се превръща в основно предизвикателство пред демографската политика на страната в контекста на концепцията за устойчиво развитие в процеса на пълноправно европейско членство на България и изграждане на икономика, основана на знанията. Стратегическата цел на политиката в тази област е усъвършенстване на инструментариума в съответствие с актуалните изисквания при формирането на минималните подоходни показатели и задаване и развитие на стратегическа рамка за ефективна и ефикасна координация на изпълнението на демографската политика и насърчаване на активния живот на възрастните хора.</w:t>
      </w:r>
    </w:p>
    <w:p w14:paraId="57EB4205" w14:textId="77777777" w:rsidR="00731CE6" w:rsidRPr="00731CE6" w:rsidRDefault="00731CE6" w:rsidP="00731CE6">
      <w:pPr>
        <w:rPr>
          <w:rFonts w:eastAsia="Batang"/>
        </w:rPr>
      </w:pPr>
      <w:r w:rsidRPr="00731CE6">
        <w:rPr>
          <w:rFonts w:eastAsia="Batang"/>
        </w:rPr>
        <w:t>Социалната икономика и социалното предприемачество са израз на социалната ангажираност на държавата за стимулиране на предприемаческата активност на лица от уязвими групи. Политиката в тази област се осъществява в подкрепа на цифровия, социалния и зеления преход. Допринася за икономическата устойчивост на страната и социалното приобщаване на гражданите, както и за въвеждане на социални иновации. Социалните инвестиции и социалните иновации имат ключово значение за реализиране на социално отговорни и устойчиви практики, като въздействат и върху средата в областта на социалната икономика. Реализирането на дейности в областта на корпоративната социална отговорност, съвместно със заинтересованите страни от бизнеса, публичния и гражданския сектор осигурява важни ползи за предприятията по отношение на управлението на риска, спестяване на разходи, достъп до капитал, връзки с клиентите, управление на човешките ресурси, способност за иновации и се основава на ценности, върху които се гради по-сплотено и социално ангажирано общество. Дейностите в тази област допринасят за смекчаване на последиците от горепосочените преходи.</w:t>
      </w:r>
    </w:p>
    <w:p w14:paraId="775095D3" w14:textId="77777777" w:rsidR="00731CE6" w:rsidRDefault="00731CE6" w:rsidP="00A2777A">
      <w:pPr>
        <w:rPr>
          <w:rFonts w:eastAsia="Batang"/>
        </w:rPr>
      </w:pPr>
      <w:r w:rsidRPr="00731CE6">
        <w:rPr>
          <w:rFonts w:eastAsia="Batang"/>
        </w:rPr>
        <w:t>Приоритетите в областта на социалната икономика и корпоративната социална отговорност се реализират в изпълнение на Националната концепция за социална икономика и Закона за предприятията на социалната и солидарна икономика. Стратегическата цел в тази област е повишаване приноса на субектите от социалната и солидарна икономика и социалните инвестиции към БВП.</w:t>
      </w:r>
    </w:p>
    <w:p w14:paraId="6990C1F3" w14:textId="77777777" w:rsidR="00E927FC" w:rsidRPr="002D6ED3" w:rsidRDefault="00E927FC" w:rsidP="00074767">
      <w:pPr>
        <w:pStyle w:val="Heading3"/>
        <w:ind w:left="0"/>
      </w:pPr>
      <w:r w:rsidRPr="002D6ED3">
        <w:t>Здравна политика</w:t>
      </w:r>
    </w:p>
    <w:p w14:paraId="716D82AE" w14:textId="77777777" w:rsidR="00731CE6" w:rsidRPr="00731CE6" w:rsidRDefault="00731CE6" w:rsidP="00A2777A">
      <w:pPr>
        <w:rPr>
          <w:rFonts w:eastAsia="Times New Roman" w:cs="Times New Roman"/>
        </w:rPr>
      </w:pPr>
      <w:r w:rsidRPr="00731CE6">
        <w:rPr>
          <w:rFonts w:eastAsia="Times New Roman" w:cs="Times New Roman"/>
        </w:rPr>
        <w:t>Здравната политика за периода 2026-2028 г. е насочена към подобряване на качеството и достъпността на здравните услуги</w:t>
      </w:r>
      <w:r w:rsidRPr="008A5C40">
        <w:rPr>
          <w:rFonts w:eastAsia="Times New Roman" w:cs="Times New Roman"/>
        </w:rPr>
        <w:t xml:space="preserve"> </w:t>
      </w:r>
      <w:r w:rsidRPr="00731CE6">
        <w:rPr>
          <w:rFonts w:eastAsia="Times New Roman" w:cs="Times New Roman"/>
        </w:rPr>
        <w:t xml:space="preserve">и повишаване на устойчивостта и капацитета на здравната система, чрез осигуряване устойчив и предвидим механизъм на финансиране, основан на здравни резултати. Основните приоритети на здравната политика включват превенция, профилактика и контрол на заболяванията, укрепване на доболничната </w:t>
      </w:r>
      <w:r w:rsidRPr="00731CE6">
        <w:rPr>
          <w:rFonts w:eastAsia="Times New Roman" w:cs="Times New Roman"/>
        </w:rPr>
        <w:lastRenderedPageBreak/>
        <w:t>медицинска помощ, развитие на електронното здравеопазване и укрепване на кадровия</w:t>
      </w:r>
      <w:r w:rsidR="002C0615">
        <w:rPr>
          <w:rFonts w:eastAsia="Times New Roman" w:cs="Times New Roman"/>
        </w:rPr>
        <w:t xml:space="preserve"> капацитет на здравната система</w:t>
      </w:r>
      <w:r w:rsidRPr="00731CE6">
        <w:rPr>
          <w:rFonts w:eastAsia="Times New Roman" w:cs="Times New Roman"/>
        </w:rPr>
        <w:t xml:space="preserve"> чрез повишаване на мотивацията и условията на труд на медицинските специалисти.</w:t>
      </w:r>
    </w:p>
    <w:p w14:paraId="113B53A3" w14:textId="77777777" w:rsidR="00065803" w:rsidRPr="002D6ED3" w:rsidRDefault="00065803" w:rsidP="00074767">
      <w:pPr>
        <w:pStyle w:val="Heading4"/>
      </w:pPr>
      <w:r w:rsidRPr="002D6ED3">
        <w:t>Политика в областта на промоцията, превенцията и контрола на общественото здраве</w:t>
      </w:r>
    </w:p>
    <w:p w14:paraId="2C044299" w14:textId="77777777" w:rsidR="00032B5B" w:rsidRPr="00833B37" w:rsidRDefault="00032B5B" w:rsidP="00A2777A">
      <w:r w:rsidRPr="00032B5B">
        <w:t>Основният обхват на политиката в областта на промоцията, превенцията и контрола на общественото здраве е гарантиране на качествено и ефективно посрещане на здра</w:t>
      </w:r>
      <w:r w:rsidR="00DC08A9">
        <w:t>вните потребности на гражданите</w:t>
      </w:r>
      <w:r w:rsidRPr="00032B5B">
        <w:t xml:space="preserve"> чрез реализиране на първична профилактика, промоция на здраве и интегрирана профилактика на заразните болести, в това число </w:t>
      </w:r>
      <w:proofErr w:type="spellStart"/>
      <w:r w:rsidRPr="00032B5B">
        <w:t>имунопрофилактика</w:t>
      </w:r>
      <w:proofErr w:type="spellEnd"/>
      <w:r w:rsidRPr="00032B5B">
        <w:t xml:space="preserve">, надзор на заразните болести и ефективен държавен здравен контрол върху факторите на жизнената среда. За изпълнение на политиката се изпълняват редица превантивни дейности, свързани с поддържането на готовност за реагиране при възникнала необходимост, в т.ч. поддържане на висок имунизационен обхват и организиране на бърз отговор при възникване на епидемични ситуации, в т.ч. чрез </w:t>
      </w:r>
      <w:proofErr w:type="spellStart"/>
      <w:r w:rsidRPr="00032B5B">
        <w:t>ваксинопрофилактиката</w:t>
      </w:r>
      <w:proofErr w:type="spellEnd"/>
      <w:r w:rsidRPr="00032B5B">
        <w:t xml:space="preserve">; повишаване готовността на страната за посрещане на грипна пандемия, взривове и епидемии от други заразни болести; опазване на страната от разпространение на инфекции с висок епидемичен потенциал чрез създаване и поддържане на механизми за своевременна и адекватна реакция при здравни заплахи от биологично естество, в т.ч. биотероризъм. Основен принос към реализацията на </w:t>
      </w:r>
      <w:r w:rsidR="005551D1">
        <w:t>н</w:t>
      </w:r>
      <w:r w:rsidRPr="00032B5B">
        <w:t>ационалната политика в областта на превенцията и контрола на общественото здраве има Министерството на здравеопазването, регионалните здравни инспекции и националните центрове по проблемите на общественото здраве.</w:t>
      </w:r>
    </w:p>
    <w:p w14:paraId="3A7BABC4" w14:textId="77777777" w:rsidR="00065803" w:rsidRPr="002D6ED3" w:rsidRDefault="00065803" w:rsidP="00074767">
      <w:pPr>
        <w:pStyle w:val="Heading4"/>
      </w:pPr>
      <w:r w:rsidRPr="002D6ED3">
        <w:t>Политика в областта на диагностиката и лечението</w:t>
      </w:r>
    </w:p>
    <w:p w14:paraId="35796348" w14:textId="77777777" w:rsidR="00665688" w:rsidRPr="00665688" w:rsidRDefault="00665688" w:rsidP="00665688">
      <w:r w:rsidRPr="00665688">
        <w:t xml:space="preserve">Политиката в областта на диагностиката и лечението е насочена към подобряване на здравното благополучие и качеството на живот на българските граждани и намаляване на здравните неравенства чрез подкрепа за специфични дейности в областта на диагностиката, лечението на заразни и незаразни болести. За постигане целите на тази политика се прилага комплексен и интегриран подход, особено за уязвимите групи от българското население, който способства за трайно преодоляване на неблагоприятните тенденции и насърчава здравето и благосъстоянието на гражданите в полза на общия интерес. Поставя се по-голям акцент върху профилактиката и промоцията на здравето, както и използването на цифровите технологии. Политиката е дефинирана на базата на анализ на здравно-демографските показатели и състоянието на системата на здравеопазване, които показват че през последните десетилетия българската здравна система изостава спрямо здравните системи на страните от ЕС по отношение на ключовите фактори за устойчиво развитие. В рамките на политиката </w:t>
      </w:r>
      <w:r w:rsidRPr="00665688">
        <w:rPr>
          <w:b/>
          <w:bCs/>
        </w:rPr>
        <w:t>ще се стартира изпълнението на  програма за подкрепа на лекари специализанти,</w:t>
      </w:r>
      <w:r w:rsidRPr="00665688">
        <w:t xml:space="preserve"> като инструмент за насърчаване на професионалното развитие и стимулиране на оставащите в България специалисти, както и с оглед подпомагане на кадровата стабилност и устойчивост на здравната система.  Дейностите, финансирани чрез програмите на настоящата политика, допълват и надграждат дейностите, финансирани от Националната здравноосигурителна каса в областта на диагностиката и лечението на заболяванията, като чрез нея Министерството на здравеопазването реализира своите отговорности по отношение на осигуряването на специфични медицински дейности извън обхвата на задължителното здравно осигуряване.</w:t>
      </w:r>
    </w:p>
    <w:p w14:paraId="0CE29C46" w14:textId="77777777" w:rsidR="00065803" w:rsidRPr="002D6ED3" w:rsidRDefault="00065803" w:rsidP="00074767">
      <w:pPr>
        <w:pStyle w:val="Heading4"/>
      </w:pPr>
      <w:r w:rsidRPr="002D6ED3">
        <w:lastRenderedPageBreak/>
        <w:t>Политика в областта на лекарствените продукти и медицинските изделия</w:t>
      </w:r>
    </w:p>
    <w:p w14:paraId="6C91D81C" w14:textId="77777777" w:rsidR="00032B5B" w:rsidRDefault="00032B5B" w:rsidP="00A2777A">
      <w:r w:rsidRPr="00032B5B">
        <w:t>Политиката в областта на лекарствените продукти и медицинските изделия е насочена към осигуряване на равноправен достъп до висококачествени, доказани в терапевтичната практика ефективни лекарствени продукти, оказващи положително влияние върху здравния статус, които да доведат до подобряване на здравните резултати на населението. Лекарствата, както и правилната им употреба са основна потребност за поддържане на живота, облекчаване на страданията, удължаване на продължителността на живота и повишаване на неговото качество. Това определя стратегическо</w:t>
      </w:r>
      <w:r w:rsidR="005551D1">
        <w:t>то</w:t>
      </w:r>
      <w:r w:rsidRPr="00032B5B">
        <w:t xml:space="preserve"> влияние на лекарствената политика върху общественото здраве. В същото време се идентифицира необходимост от стратегически пробив в областта на превенцията на заболяванията, тъй като тя може да се счита за ключов фактор за намаляване на използването на лекарствени продукти и същевременно за гарантиране на високо равнище на закрила на човешкото здраве. Основен принос към реализацията на тази политика имат Министерството на здравеопазването, Националната здравноосигурителна каса, Изпълнителната агенция по лекарствата и Националният съвет по цени и реимбурсиране на лекарствените продукти. </w:t>
      </w:r>
    </w:p>
    <w:p w14:paraId="321C8A3B" w14:textId="77777777" w:rsidR="005518F3" w:rsidRPr="005518F3" w:rsidRDefault="005518F3" w:rsidP="005518F3">
      <w:r w:rsidRPr="005518F3">
        <w:t xml:space="preserve">За </w:t>
      </w:r>
      <w:r w:rsidRPr="005518F3">
        <w:rPr>
          <w:i/>
        </w:rPr>
        <w:t>делегираните от държавата дейности по здравеопазване</w:t>
      </w:r>
      <w:r w:rsidRPr="005518F3">
        <w:t xml:space="preserve">, финансирани чрез бюджетите на общините за 2026 г., са предвидени допълнителни средства в размер на 23,1 млн. евро за увеличение на минималната работна заплата от 1 януари 2026 г. за заетия персонал в детските ясли, детските кухни, в общинските съвети по наркотични вещества и превантивно-информационните центрове, и за здравните медиатори,  както и за увеличение на възнагражденията на останалия персонал с 10% в съответствие с предвидената политика по доходите за 2026 г. </w:t>
      </w:r>
    </w:p>
    <w:p w14:paraId="0BEFCE2E" w14:textId="77777777" w:rsidR="0061119E" w:rsidRDefault="00833B37" w:rsidP="00A2777A">
      <w:r w:rsidRPr="00833B37">
        <w:t>Осигурени са средства за продължаване на политиката за компенсирането на разходите за отглеждане, възпитание и обучение на деца, които не са приети поради липса на места в общински детски ясли и яслени групи в държавни и общински детски градини.</w:t>
      </w:r>
    </w:p>
    <w:p w14:paraId="09C57EE6" w14:textId="77777777" w:rsidR="00E927FC" w:rsidRPr="00EA6851" w:rsidRDefault="00E927FC" w:rsidP="00074767">
      <w:pPr>
        <w:pStyle w:val="Heading3"/>
        <w:ind w:left="0"/>
      </w:pPr>
      <w:r w:rsidRPr="00EA6851">
        <w:t>Политика в областта на образованието и науката</w:t>
      </w:r>
    </w:p>
    <w:p w14:paraId="78A1FC44" w14:textId="77777777" w:rsidR="00032B5B" w:rsidRPr="00032B5B" w:rsidRDefault="00032B5B" w:rsidP="00A2777A">
      <w:pPr>
        <w:rPr>
          <w:rFonts w:eastAsia="Times New Roman" w:cs="Times New Roman"/>
          <w:szCs w:val="24"/>
        </w:rPr>
      </w:pPr>
      <w:r w:rsidRPr="00032B5B">
        <w:rPr>
          <w:rFonts w:eastAsia="Times New Roman" w:cs="Times New Roman"/>
          <w:szCs w:val="24"/>
        </w:rPr>
        <w:t>Политиките и мерките за развитие на образованието и науката в Република България са заложени в Приоритет 1 „Образование и умения“ и Приоритет 2 „Наука и научна инфраструктура“ на Националната програма за развитие България 2030.</w:t>
      </w:r>
    </w:p>
    <w:p w14:paraId="7957BE2D" w14:textId="77777777" w:rsidR="001954FA" w:rsidRPr="002D6ED3" w:rsidRDefault="001954FA" w:rsidP="00074767">
      <w:pPr>
        <w:pStyle w:val="Heading4"/>
      </w:pPr>
      <w:r w:rsidRPr="002D6ED3">
        <w:t>Политика в областта на всеобхватното, достъпно и качествено предучилищно и училищно образование. Учене през целия живот</w:t>
      </w:r>
    </w:p>
    <w:p w14:paraId="3627BFC1" w14:textId="77777777" w:rsidR="00AC7A0D" w:rsidRDefault="00032B5B" w:rsidP="00A2777A">
      <w:pPr>
        <w:rPr>
          <w:rFonts w:eastAsia="Times New Roman" w:cs="Times New Roman"/>
          <w:szCs w:val="24"/>
        </w:rPr>
      </w:pPr>
      <w:r w:rsidRPr="00032B5B">
        <w:rPr>
          <w:rFonts w:eastAsia="Times New Roman" w:cs="Times New Roman"/>
          <w:szCs w:val="24"/>
        </w:rPr>
        <w:t xml:space="preserve">Политиките в предучилищното и училищното образование са насочени към ефективна социализация на деца от ранна детска възраст, качествено и достъпно образование и обучение, мотивация за усвояване на ключови компетентности, насърчаване на иновациите, квалификация на педагогическите специалисти, модернизиране на образователните институции, дигитализация на образованието. Изпълняват се мерки, насочени към развитие на личностния потенциал на децата и учениците, откриване и развитие на заложбите и талантите им; включване в извънкласни дейности в областта на природните и приложните науки, изкуствата и спорта. В обхвата на политиката се включват и мерки/дейности, свързани с разширяване на професионалното образование и обучение, </w:t>
      </w:r>
      <w:proofErr w:type="spellStart"/>
      <w:r w:rsidRPr="00032B5B">
        <w:rPr>
          <w:rFonts w:eastAsia="Times New Roman" w:cs="Times New Roman"/>
          <w:szCs w:val="24"/>
        </w:rPr>
        <w:t>дуалното</w:t>
      </w:r>
      <w:proofErr w:type="spellEnd"/>
      <w:r w:rsidRPr="00032B5B">
        <w:rPr>
          <w:rFonts w:eastAsia="Times New Roman" w:cs="Times New Roman"/>
          <w:szCs w:val="24"/>
        </w:rPr>
        <w:t xml:space="preserve"> обучение, насърчаване и разширяване на възможностите за учене през целия живот; с подкрепа за приобщаващо образование, намаляване на неравенствата и насърчаване на социалното включване. Политиките за обхващане на подлежащи на образование деца и ученици, за превенция на отпадането от училище и за </w:t>
      </w:r>
      <w:r w:rsidRPr="00032B5B">
        <w:rPr>
          <w:rFonts w:eastAsia="Times New Roman" w:cs="Times New Roman"/>
          <w:szCs w:val="24"/>
        </w:rPr>
        <w:lastRenderedPageBreak/>
        <w:t xml:space="preserve">намаляване дела на преждевременно напусналите се реализират чрез ефективно взаимодействие между институциите и съвместните усилия на педагогическите специалисти, родителите на децата и учениците и всички заинтересовани страни. Провежда се ефективна образователна политика сред българските общности в чужбина за съхраняване и разширяване на българското етнокултурно пространство извън пределите на Република България. </w:t>
      </w:r>
      <w:r w:rsidR="00650BEC">
        <w:rPr>
          <w:rFonts w:eastAsia="Times New Roman" w:cs="Times New Roman"/>
          <w:szCs w:val="24"/>
        </w:rPr>
        <w:t>И</w:t>
      </w:r>
      <w:r w:rsidRPr="00032B5B">
        <w:rPr>
          <w:rFonts w:eastAsia="Times New Roman" w:cs="Times New Roman"/>
          <w:szCs w:val="24"/>
        </w:rPr>
        <w:t xml:space="preserve"> през 2026 г. </w:t>
      </w:r>
      <w:r w:rsidR="00354F9F">
        <w:rPr>
          <w:rFonts w:eastAsia="Times New Roman" w:cs="Times New Roman"/>
          <w:szCs w:val="24"/>
        </w:rPr>
        <w:t>ще продължи</w:t>
      </w:r>
      <w:r w:rsidR="00650BEC">
        <w:rPr>
          <w:rFonts w:eastAsia="Times New Roman" w:cs="Times New Roman"/>
          <w:szCs w:val="24"/>
        </w:rPr>
        <w:t xml:space="preserve"> </w:t>
      </w:r>
      <w:r w:rsidRPr="00032B5B">
        <w:rPr>
          <w:rFonts w:eastAsia="Times New Roman" w:cs="Times New Roman"/>
          <w:szCs w:val="24"/>
        </w:rPr>
        <w:t>изпълнението на политиката за увеличение на заплатите на педагогическите специалисти за достигане на средна работна заплата не по-малко от 125 на сто от средната работна заплата за страната с цел да се стимулира навлизането на млади и квалифицирани педагози в системата на предучилищното и училищното образование.</w:t>
      </w:r>
    </w:p>
    <w:p w14:paraId="2DF42F3F" w14:textId="77777777" w:rsidR="00032B5B" w:rsidRPr="00032B5B" w:rsidRDefault="00032B5B" w:rsidP="00A2777A">
      <w:pPr>
        <w:rPr>
          <w:rFonts w:eastAsia="Times New Roman" w:cs="Times New Roman"/>
          <w:szCs w:val="24"/>
        </w:rPr>
      </w:pPr>
      <w:r w:rsidRPr="00032B5B">
        <w:rPr>
          <w:rFonts w:eastAsia="Times New Roman" w:cs="Times New Roman"/>
          <w:szCs w:val="24"/>
        </w:rPr>
        <w:t>Осигурени са средства за продължаване на политиката за компенсиране на разходите за отглеждане и обучение на деца, които не са приети поради липса на места в държавни и общински детски градини и училища и за транспорт на деца и ученици по чл. 283, ал. 2 от Закона за предучилищното и училищното образование.</w:t>
      </w:r>
    </w:p>
    <w:p w14:paraId="0BC55F74" w14:textId="77777777" w:rsidR="001954FA" w:rsidRPr="002D6ED3" w:rsidRDefault="001954FA" w:rsidP="00074767">
      <w:pPr>
        <w:pStyle w:val="Heading4"/>
      </w:pPr>
      <w:r w:rsidRPr="002D6ED3">
        <w:t>Политика в областта на равен достъп до качествено висше образование и развитие на научния потенциал</w:t>
      </w:r>
    </w:p>
    <w:p w14:paraId="2DEB9745" w14:textId="77777777" w:rsidR="000B315F" w:rsidRPr="00215864" w:rsidRDefault="00032B5B" w:rsidP="00A2777A">
      <w:pPr>
        <w:rPr>
          <w:rFonts w:eastAsia="Times New Roman" w:cs="Times New Roman"/>
          <w:szCs w:val="24"/>
        </w:rPr>
      </w:pPr>
      <w:r w:rsidRPr="00032B5B">
        <w:rPr>
          <w:rFonts w:eastAsia="Times New Roman" w:cs="Times New Roman"/>
          <w:szCs w:val="24"/>
        </w:rPr>
        <w:t>Политиката в областта на висшето образование включва мерки, насочени към подобряване на достъпа и увеличаване дела на завършилите висше образование, повишаване на качеството на обучение и на съвместимостта му с европейските системи за висше образование, изграждане на устойчива и ефективна връзка между висшите училища и пазара на труда, целяща успешна реализация през целия живот и постигане на динамично съответствие между търсенето и предлагането на специалисти с висше образование. Създават се условия за усвояване на добрите практики на висшите училища от държавите-членки на ЕС, включително и чрез изграждането на университетски мрежи. Стимулира се по-тясното сътрудничество и комуникация между висшите училища, научните институти и бизнеса в рамките на учебния процес и практическото обучение и в научно-изследователските дейности. Политиката за развитие на науката в България се свързва с повишаване на качеството и международната разпознаваемост на научноизследователската и иновационна дейност. Акцентът се поставя върху финансиране на научни изследвания в приоритетни и конкурентни области за решаване на важни обществено значими предизвикателства, подпомагане на млади учени и осъществяване на съвместни научни изследвания с български учени в чужбина и привлич</w:t>
      </w:r>
      <w:r w:rsidR="00215864">
        <w:rPr>
          <w:rFonts w:eastAsia="Times New Roman" w:cs="Times New Roman"/>
          <w:szCs w:val="24"/>
        </w:rPr>
        <w:t>ане на водещи учени от чужбина.</w:t>
      </w:r>
    </w:p>
    <w:p w14:paraId="4216F966" w14:textId="77777777" w:rsidR="00E927FC" w:rsidRPr="00EA6851" w:rsidRDefault="00E927FC" w:rsidP="00074767">
      <w:pPr>
        <w:pStyle w:val="Heading3"/>
        <w:ind w:left="0"/>
      </w:pPr>
      <w:r w:rsidRPr="00EA6851">
        <w:t xml:space="preserve">Политика в областта на отбраната </w:t>
      </w:r>
    </w:p>
    <w:p w14:paraId="066A94E7" w14:textId="77777777" w:rsidR="00032B5B" w:rsidRPr="00032B5B" w:rsidRDefault="00032B5B" w:rsidP="00032B5B">
      <w:pPr>
        <w:rPr>
          <w:rFonts w:eastAsia="Times New Roman" w:cs="Times New Roman"/>
          <w:szCs w:val="24"/>
        </w:rPr>
      </w:pPr>
      <w:r w:rsidRPr="00032B5B">
        <w:rPr>
          <w:rFonts w:eastAsia="Times New Roman" w:cs="Times New Roman"/>
          <w:szCs w:val="24"/>
        </w:rPr>
        <w:t>Политиката в областта на отбраната е свързана с поддържането на оперативно съвместими модерни въоръжени сили (ВС). За нейното реализиране ще се поддържа и развива ефективно и ефикасно планиране на отбраната, базирано на способности, в съответствие с процеса на отбранително планиране на НАТО, Координирания годишен преглед на отбраната в ЕС и в контекста на Постоянното структурирано сътрудничество в отбраната на ЕС. Целта е изграждане, поддържане и използване на необходимите способности на ВС за изпълнение на задачите по отбрана на страната в рамките на колективната отбрана на НАТО, принос към колективната отбрана на Алианса, участие в ръководени от НАТО и ЕС операции и мисии, а също така и принос към националната сигурност в мирно време.</w:t>
      </w:r>
    </w:p>
    <w:p w14:paraId="41DF0309" w14:textId="77777777" w:rsidR="00032B5B" w:rsidRPr="00032B5B" w:rsidRDefault="00032B5B" w:rsidP="00032B5B">
      <w:pPr>
        <w:rPr>
          <w:rFonts w:eastAsia="Times New Roman" w:cs="Times New Roman"/>
          <w:szCs w:val="24"/>
        </w:rPr>
      </w:pPr>
      <w:r w:rsidRPr="00032B5B">
        <w:rPr>
          <w:rFonts w:eastAsia="Times New Roman" w:cs="Times New Roman"/>
          <w:szCs w:val="24"/>
        </w:rPr>
        <w:lastRenderedPageBreak/>
        <w:t>През прогнозния период ще се провежда активна отбранителна политика на Република България в НАТО, Европейския съюз и други международни и регионални формати и ефективно участие в системата на колективната отбрана на НАТО, Общата политика за сигурност и отбрана на Европейския съюз (ОПСО на ЕС) и в рамките на други международни и регионални инициативи в подкрепа на мира и стабилността в света. Република България ще продължи участието си в процеса на вземане на решения, както и в процеса на изграждане на отбранителни способности на НАТО и ЕС. Освен това, Република България ще продължи съвместната работа и сътрудничество със страните от ЕС в рамките на Постоянното структурирано сътрудничество в областта на отбраната на ЕС (PESCO) и Европейската агенция за отбрана (EDA), както и Европейския фонд за отбрана (EDF) и Европейската програма за промишлено развитие в областта на отбраната (EDIDP).</w:t>
      </w:r>
    </w:p>
    <w:p w14:paraId="2384550D" w14:textId="77777777" w:rsidR="00032B5B" w:rsidRPr="00032B5B" w:rsidRDefault="00032B5B" w:rsidP="00032B5B">
      <w:pPr>
        <w:rPr>
          <w:rFonts w:eastAsia="Times New Roman" w:cs="Times New Roman"/>
          <w:szCs w:val="24"/>
        </w:rPr>
      </w:pPr>
      <w:r w:rsidRPr="00032B5B">
        <w:rPr>
          <w:rFonts w:eastAsia="Times New Roman" w:cs="Times New Roman"/>
          <w:szCs w:val="24"/>
        </w:rPr>
        <w:t xml:space="preserve">Разходите за отбрана за 2026 г. са съобразени с поетия ангажимент за поетапното им увеличаване спрямо предходния ангажимент от 2% от БВП, одобрен с РМС № 3/2018 г. Осигурени са средства за поддържане и развитие на националните отбранителни способности и способностите, свързани с колективната отбрана, в т.ч. средства за изпълнение на одобрените от Народното събрание инвестиционни проекти за модернизация на Българската армия, а именно: доставка на самолети F-16 </w:t>
      </w:r>
      <w:proofErr w:type="spellStart"/>
      <w:r w:rsidRPr="00032B5B">
        <w:rPr>
          <w:rFonts w:eastAsia="Times New Roman" w:cs="Times New Roman"/>
          <w:szCs w:val="24"/>
        </w:rPr>
        <w:t>Block</w:t>
      </w:r>
      <w:proofErr w:type="spellEnd"/>
      <w:r w:rsidRPr="00032B5B">
        <w:rPr>
          <w:rFonts w:eastAsia="Times New Roman" w:cs="Times New Roman"/>
          <w:szCs w:val="24"/>
        </w:rPr>
        <w:t xml:space="preserve"> 70, средства за наземно обслужване и обучение, въоръжение и обучение за тях-етап I; придобиване на многофункционален модулен патрулен кораб за ВМС; доставка на самолети F-16 </w:t>
      </w:r>
      <w:proofErr w:type="spellStart"/>
      <w:r w:rsidRPr="00032B5B">
        <w:rPr>
          <w:rFonts w:eastAsia="Times New Roman" w:cs="Times New Roman"/>
          <w:szCs w:val="24"/>
        </w:rPr>
        <w:t>Block</w:t>
      </w:r>
      <w:proofErr w:type="spellEnd"/>
      <w:r w:rsidRPr="00032B5B">
        <w:rPr>
          <w:rFonts w:eastAsia="Times New Roman" w:cs="Times New Roman"/>
          <w:szCs w:val="24"/>
        </w:rPr>
        <w:t xml:space="preserve"> 70-етап II; придобиване на основна бойна техника за изграждане на батальонни бойни групи;</w:t>
      </w:r>
      <w:r w:rsidRPr="00032B5B">
        <w:rPr>
          <w:rFonts w:eastAsia="Times New Roman" w:cs="Times New Roman"/>
          <w:bCs/>
          <w:szCs w:val="24"/>
        </w:rPr>
        <w:t xml:space="preserve"> и</w:t>
      </w:r>
      <w:r w:rsidRPr="00032B5B">
        <w:rPr>
          <w:rFonts w:eastAsia="Times New Roman" w:cs="Times New Roman"/>
          <w:szCs w:val="24"/>
        </w:rPr>
        <w:t>зграждане на системи за сигурност на помещенията за съхранение на американско класифиц</w:t>
      </w:r>
      <w:r w:rsidR="00203012">
        <w:rPr>
          <w:rFonts w:eastAsia="Times New Roman" w:cs="Times New Roman"/>
          <w:szCs w:val="24"/>
        </w:rPr>
        <w:t xml:space="preserve">ирано оборудване и въоръжение; </w:t>
      </w:r>
      <w:r w:rsidRPr="00032B5B">
        <w:rPr>
          <w:rFonts w:eastAsia="Times New Roman" w:cs="Times New Roman"/>
          <w:szCs w:val="24"/>
        </w:rPr>
        <w:t xml:space="preserve">придобиване на наземни терминали от Мултифункционална система за разпространение на информация (MIDS) и за инфраструктура за усвояване, експлоатация и осигуряване на новия тип боен самолет F-16 </w:t>
      </w:r>
      <w:proofErr w:type="spellStart"/>
      <w:r w:rsidRPr="00032B5B">
        <w:rPr>
          <w:rFonts w:eastAsia="Times New Roman" w:cs="Times New Roman"/>
          <w:szCs w:val="24"/>
        </w:rPr>
        <w:t>Block</w:t>
      </w:r>
      <w:proofErr w:type="spellEnd"/>
      <w:r w:rsidRPr="00032B5B">
        <w:rPr>
          <w:rFonts w:eastAsia="Times New Roman" w:cs="Times New Roman"/>
          <w:szCs w:val="24"/>
        </w:rPr>
        <w:t xml:space="preserve"> 70.</w:t>
      </w:r>
    </w:p>
    <w:p w14:paraId="26BF92F7" w14:textId="77777777" w:rsidR="00032B5B" w:rsidRPr="00032B5B" w:rsidRDefault="00032B5B" w:rsidP="00032B5B">
      <w:pPr>
        <w:rPr>
          <w:rFonts w:eastAsia="Times New Roman" w:cs="Times New Roman"/>
          <w:szCs w:val="24"/>
        </w:rPr>
      </w:pPr>
      <w:r w:rsidRPr="00032B5B">
        <w:rPr>
          <w:rFonts w:eastAsia="Times New Roman" w:cs="Times New Roman"/>
          <w:szCs w:val="24"/>
        </w:rPr>
        <w:t>Осигурени са средства за придобиване на боеприпаси, в т.ч. боеприпаси за основно бойна техника на батальонни бойни групи от състава на механизирана бригада и горива за бойна подготовка.</w:t>
      </w:r>
    </w:p>
    <w:p w14:paraId="1E75CCE6" w14:textId="77777777" w:rsidR="00C250C0" w:rsidRPr="00C250C0" w:rsidRDefault="00C250C0" w:rsidP="00C250C0">
      <w:pPr>
        <w:rPr>
          <w:rFonts w:eastAsia="Times New Roman" w:cs="Times New Roman"/>
          <w:szCs w:val="24"/>
        </w:rPr>
      </w:pPr>
      <w:r w:rsidRPr="00C250C0">
        <w:rPr>
          <w:rFonts w:eastAsia="Times New Roman" w:cs="Times New Roman"/>
          <w:szCs w:val="24"/>
        </w:rPr>
        <w:t>В подкрепа на инвестициите за отбрана беше разработен специален инструмент „Мерки за сигурността на Европа чрез укрепване на европейската отбранителна пр</w:t>
      </w:r>
      <w:r w:rsidR="00955110">
        <w:rPr>
          <w:rFonts w:eastAsia="Times New Roman" w:cs="Times New Roman"/>
          <w:szCs w:val="24"/>
        </w:rPr>
        <w:t>омишленост“ („инструментът SAFE“</w:t>
      </w:r>
      <w:r w:rsidRPr="00C250C0">
        <w:rPr>
          <w:rFonts w:eastAsia="Times New Roman" w:cs="Times New Roman"/>
          <w:szCs w:val="24"/>
        </w:rPr>
        <w:t>), създаден с Регламент (ЕС) 2025</w:t>
      </w:r>
      <w:r w:rsidR="00203012">
        <w:rPr>
          <w:rFonts w:eastAsia="Times New Roman" w:cs="Times New Roman"/>
          <w:szCs w:val="24"/>
        </w:rPr>
        <w:t xml:space="preserve">/1106 на Съвета от 27 май 2025 </w:t>
      </w:r>
      <w:r w:rsidRPr="00C250C0">
        <w:rPr>
          <w:rFonts w:eastAsia="Times New Roman" w:cs="Times New Roman"/>
          <w:szCs w:val="24"/>
        </w:rPr>
        <w:t>г., по линия на който на държавите членки се предоставя финансова помощ, позволяваща им да направят спешни и мащабни публични инвестиции в подкрепа на европейската отбранителна промишленост в отговор на настоящата кризисна обстановка. В тази връзка България е заявила намерение да се възползва от този инструмент за финансиране в размер до 3,2 млрд. евро, който е включ</w:t>
      </w:r>
      <w:r w:rsidR="00203012">
        <w:rPr>
          <w:rFonts w:eastAsia="Times New Roman" w:cs="Times New Roman"/>
          <w:szCs w:val="24"/>
        </w:rPr>
        <w:t>ен в лимита за дълга за 2026 г.</w:t>
      </w:r>
      <w:r w:rsidR="007E5A49">
        <w:rPr>
          <w:rFonts w:eastAsia="Times New Roman" w:cs="Times New Roman"/>
          <w:szCs w:val="24"/>
        </w:rPr>
        <w:t xml:space="preserve">, </w:t>
      </w:r>
      <w:r w:rsidR="007E5A49" w:rsidRPr="007E5A49">
        <w:rPr>
          <w:rFonts w:eastAsia="Times New Roman" w:cs="Times New Roman"/>
          <w:szCs w:val="24"/>
        </w:rPr>
        <w:t xml:space="preserve">и ще </w:t>
      </w:r>
      <w:r w:rsidR="00826F50">
        <w:rPr>
          <w:rFonts w:eastAsia="Times New Roman" w:cs="Times New Roman"/>
          <w:szCs w:val="24"/>
        </w:rPr>
        <w:t xml:space="preserve">се </w:t>
      </w:r>
      <w:r w:rsidR="007E5A49" w:rsidRPr="007E5A49">
        <w:rPr>
          <w:rFonts w:eastAsia="Times New Roman" w:cs="Times New Roman"/>
          <w:szCs w:val="24"/>
        </w:rPr>
        <w:t>усвоява поетапно съгласно одобрен от Народното събрание национален план за включване на проекти, одобрени от Европейската комисия и финансирани по инструмента SAFE</w:t>
      </w:r>
      <w:r w:rsidR="007E5A49" w:rsidRPr="00EA454B">
        <w:rPr>
          <w:rFonts w:eastAsia="Times New Roman" w:cs="Times New Roman"/>
          <w:szCs w:val="24"/>
        </w:rPr>
        <w:t>.</w:t>
      </w:r>
    </w:p>
    <w:p w14:paraId="28424BC1" w14:textId="77777777" w:rsidR="00032B5B" w:rsidRDefault="00032B5B" w:rsidP="00A2777A">
      <w:pPr>
        <w:rPr>
          <w:rFonts w:eastAsia="Times New Roman" w:cs="Times New Roman"/>
          <w:szCs w:val="24"/>
        </w:rPr>
      </w:pPr>
      <w:r w:rsidRPr="00032B5B">
        <w:rPr>
          <w:rFonts w:eastAsia="Times New Roman" w:cs="Times New Roman"/>
          <w:szCs w:val="24"/>
        </w:rPr>
        <w:t xml:space="preserve">В разходите за отбрана, съгласно класификацията на НАТО, са включени и разходите за отбрана на другите </w:t>
      </w:r>
      <w:r w:rsidRPr="00FE0673">
        <w:rPr>
          <w:rFonts w:eastAsia="Times New Roman" w:cs="Times New Roman"/>
          <w:szCs w:val="24"/>
        </w:rPr>
        <w:t>разпоредители с бюджет, като по този начин планирани същите в общ размер възлизат на 2,</w:t>
      </w:r>
      <w:r w:rsidR="0067435D">
        <w:rPr>
          <w:rFonts w:eastAsia="Times New Roman" w:cs="Times New Roman"/>
          <w:szCs w:val="24"/>
        </w:rPr>
        <w:t>12</w:t>
      </w:r>
      <w:r w:rsidRPr="00FE0673">
        <w:rPr>
          <w:rFonts w:eastAsia="Times New Roman" w:cs="Times New Roman"/>
          <w:szCs w:val="24"/>
        </w:rPr>
        <w:t xml:space="preserve"> на сто от БВП за 2026 г., 2,3</w:t>
      </w:r>
      <w:r w:rsidR="0067435D">
        <w:rPr>
          <w:rFonts w:eastAsia="Times New Roman" w:cs="Times New Roman"/>
          <w:szCs w:val="24"/>
        </w:rPr>
        <w:t>3</w:t>
      </w:r>
      <w:r w:rsidRPr="00FE0673">
        <w:rPr>
          <w:rFonts w:eastAsia="Times New Roman" w:cs="Times New Roman"/>
          <w:szCs w:val="24"/>
        </w:rPr>
        <w:t xml:space="preserve"> на сто от БВП за 2027 г. и 2,</w:t>
      </w:r>
      <w:r w:rsidR="0067435D">
        <w:rPr>
          <w:rFonts w:eastAsia="Times New Roman" w:cs="Times New Roman"/>
          <w:szCs w:val="24"/>
        </w:rPr>
        <w:t>41</w:t>
      </w:r>
      <w:r w:rsidRPr="00FE0673">
        <w:rPr>
          <w:rFonts w:eastAsia="Times New Roman" w:cs="Times New Roman"/>
          <w:szCs w:val="24"/>
        </w:rPr>
        <w:t xml:space="preserve"> на сто от БВП за 2028 г., с което се изпълнява поетия ангажимент за поетапното им увеличаване спрямо предходния ангажимент от 2% от БВП, в изпълнение</w:t>
      </w:r>
      <w:r w:rsidRPr="00032B5B">
        <w:rPr>
          <w:rFonts w:eastAsia="Times New Roman" w:cs="Times New Roman"/>
          <w:szCs w:val="24"/>
        </w:rPr>
        <w:t xml:space="preserve"> на одобрения с РМС № 3/2018 г. Национален план за повишаване на разходите за отбрана на 2 на сто от БВП н</w:t>
      </w:r>
      <w:r w:rsidR="00B02D64">
        <w:rPr>
          <w:rFonts w:eastAsia="Times New Roman" w:cs="Times New Roman"/>
          <w:szCs w:val="24"/>
        </w:rPr>
        <w:t>а Република България до 2024 г.</w:t>
      </w:r>
    </w:p>
    <w:p w14:paraId="1260E76F" w14:textId="77777777" w:rsidR="00343983" w:rsidRDefault="000E564D" w:rsidP="00FE0673">
      <w:pPr>
        <w:pStyle w:val="Caption"/>
        <w:keepNext/>
        <w:spacing w:after="0"/>
      </w:pPr>
      <w:bookmarkStart w:id="308" w:name="_Toc213229065"/>
      <w:r w:rsidRPr="00EA6851">
        <w:lastRenderedPageBreak/>
        <w:t xml:space="preserve">Табл. </w:t>
      </w:r>
      <w:r w:rsidR="00974F02">
        <w:fldChar w:fldCharType="begin"/>
      </w:r>
      <w:r w:rsidR="00974F02">
        <w:instrText xml:space="preserve"> STYLEREF 1 \s </w:instrText>
      </w:r>
      <w:r w:rsidR="00974F02">
        <w:fldChar w:fldCharType="separate"/>
      </w:r>
      <w:r w:rsidR="00841DFA">
        <w:rPr>
          <w:noProof/>
        </w:rPr>
        <w:t>III</w:t>
      </w:r>
      <w:r w:rsidR="00974F02">
        <w:rPr>
          <w:noProof/>
        </w:rPr>
        <w:fldChar w:fldCharType="end"/>
      </w:r>
      <w:r w:rsidRPr="00EA6851">
        <w:noBreakHyphen/>
      </w:r>
      <w:r w:rsidR="00974F02">
        <w:fldChar w:fldCharType="begin"/>
      </w:r>
      <w:r w:rsidR="00974F02">
        <w:instrText xml:space="preserve"> SEQ Табл. \* ARABIC \s 1 </w:instrText>
      </w:r>
      <w:r w:rsidR="00974F02">
        <w:fldChar w:fldCharType="separate"/>
      </w:r>
      <w:r w:rsidR="00841DFA">
        <w:rPr>
          <w:noProof/>
        </w:rPr>
        <w:t>2</w:t>
      </w:r>
      <w:r w:rsidR="00974F02">
        <w:rPr>
          <w:noProof/>
        </w:rPr>
        <w:fldChar w:fldCharType="end"/>
      </w:r>
      <w:r w:rsidRPr="00EA6851">
        <w:t>:</w:t>
      </w:r>
      <w:r w:rsidRPr="00EA6851">
        <w:tab/>
        <w:t xml:space="preserve">Разходи за отбрана за </w:t>
      </w:r>
      <w:r w:rsidRPr="00F24067">
        <w:t>периода 202</w:t>
      </w:r>
      <w:r w:rsidR="008B7336">
        <w:t>5</w:t>
      </w:r>
      <w:r w:rsidR="00F24067" w:rsidRPr="00F24067">
        <w:t>-2028</w:t>
      </w:r>
      <w:r w:rsidRPr="00F24067">
        <w:t xml:space="preserve"> г.</w:t>
      </w:r>
      <w:bookmarkEnd w:id="308"/>
      <w:r w:rsidRPr="00EA6851">
        <w:t xml:space="preserve"> </w:t>
      </w:r>
    </w:p>
    <w:p w14:paraId="2A9B4945" w14:textId="77777777" w:rsidR="00FE0673" w:rsidRPr="00FE0673" w:rsidRDefault="00FE0673" w:rsidP="00FE0673">
      <w:pPr>
        <w:spacing w:after="0"/>
        <w:jc w:val="right"/>
      </w:pPr>
      <w:r>
        <w:rPr>
          <w:rFonts w:eastAsia="Times New Roman" w:cs="Times New Roman"/>
          <w:b/>
          <w:bCs/>
          <w:sz w:val="20"/>
          <w:szCs w:val="20"/>
          <w:lang w:eastAsia="en-US"/>
        </w:rPr>
        <w:t>(</w:t>
      </w:r>
      <w:r w:rsidRPr="00A02D45">
        <w:rPr>
          <w:rFonts w:eastAsia="Times New Roman" w:cs="Times New Roman"/>
          <w:b/>
          <w:bCs/>
          <w:sz w:val="20"/>
          <w:szCs w:val="20"/>
          <w:lang w:eastAsia="en-US"/>
        </w:rPr>
        <w:t>млн.</w:t>
      </w:r>
      <w:r>
        <w:rPr>
          <w:rFonts w:eastAsia="Times New Roman" w:cs="Times New Roman"/>
          <w:b/>
          <w:bCs/>
          <w:sz w:val="20"/>
          <w:szCs w:val="20"/>
          <w:lang w:eastAsia="en-US"/>
        </w:rPr>
        <w:t xml:space="preserve"> </w:t>
      </w:r>
      <w:r w:rsidRPr="00A02D45">
        <w:rPr>
          <w:rFonts w:eastAsia="Times New Roman" w:cs="Times New Roman"/>
          <w:b/>
          <w:bCs/>
          <w:sz w:val="20"/>
          <w:szCs w:val="20"/>
          <w:lang w:eastAsia="en-US"/>
        </w:rPr>
        <w:t>евро</w:t>
      </w:r>
      <w:r>
        <w:rPr>
          <w:rFonts w:eastAsia="Times New Roman" w:cs="Times New Roman"/>
          <w:b/>
          <w:bCs/>
          <w:sz w:val="20"/>
          <w:szCs w:val="20"/>
          <w:lang w:eastAsia="en-US"/>
        </w:rPr>
        <w:t>)</w:t>
      </w:r>
    </w:p>
    <w:tbl>
      <w:tblPr>
        <w:tblW w:w="9276" w:type="dxa"/>
        <w:tblLook w:val="04A0" w:firstRow="1" w:lastRow="0" w:firstColumn="1" w:lastColumn="0" w:noHBand="0" w:noVBand="1"/>
      </w:tblPr>
      <w:tblGrid>
        <w:gridCol w:w="4962"/>
        <w:gridCol w:w="1211"/>
        <w:gridCol w:w="1033"/>
        <w:gridCol w:w="1035"/>
        <w:gridCol w:w="1035"/>
      </w:tblGrid>
      <w:tr w:rsidR="0067435D" w:rsidRPr="00A02D45" w14:paraId="4296077B" w14:textId="77777777" w:rsidTr="0067435D">
        <w:trPr>
          <w:trHeight w:val="705"/>
          <w:tblHeader/>
        </w:trPr>
        <w:tc>
          <w:tcPr>
            <w:tcW w:w="4962" w:type="dxa"/>
            <w:tcBorders>
              <w:top w:val="single" w:sz="4" w:space="0" w:color="auto"/>
              <w:left w:val="nil"/>
              <w:bottom w:val="single" w:sz="4" w:space="0" w:color="auto"/>
              <w:right w:val="nil"/>
            </w:tcBorders>
            <w:shd w:val="clear" w:color="auto" w:fill="auto"/>
            <w:noWrap/>
            <w:vAlign w:val="center"/>
            <w:hideMark/>
          </w:tcPr>
          <w:p w14:paraId="22569B88" w14:textId="77777777" w:rsidR="0067435D" w:rsidRPr="00A02D45" w:rsidRDefault="0067435D" w:rsidP="00B4306D">
            <w:pPr>
              <w:spacing w:after="0"/>
              <w:jc w:val="center"/>
              <w:rPr>
                <w:rFonts w:eastAsia="Times New Roman" w:cs="Times New Roman"/>
                <w:b/>
                <w:bCs/>
                <w:sz w:val="20"/>
                <w:szCs w:val="20"/>
                <w:lang w:eastAsia="en-US"/>
              </w:rPr>
            </w:pPr>
            <w:r w:rsidRPr="00A02D45">
              <w:rPr>
                <w:rFonts w:eastAsia="Times New Roman" w:cs="Times New Roman"/>
                <w:b/>
                <w:bCs/>
                <w:sz w:val="20"/>
                <w:szCs w:val="20"/>
                <w:lang w:eastAsia="en-US"/>
              </w:rPr>
              <w:t>Показатели/години</w:t>
            </w:r>
          </w:p>
        </w:tc>
        <w:tc>
          <w:tcPr>
            <w:tcW w:w="1211" w:type="dxa"/>
            <w:tcBorders>
              <w:top w:val="single" w:sz="4" w:space="0" w:color="auto"/>
              <w:left w:val="nil"/>
              <w:bottom w:val="single" w:sz="4" w:space="0" w:color="auto"/>
              <w:right w:val="nil"/>
            </w:tcBorders>
            <w:shd w:val="clear" w:color="auto" w:fill="auto"/>
            <w:vAlign w:val="center"/>
            <w:hideMark/>
          </w:tcPr>
          <w:p w14:paraId="6F998479" w14:textId="77777777" w:rsidR="0067435D" w:rsidRPr="00B33488" w:rsidRDefault="0067435D" w:rsidP="00B4306D">
            <w:pPr>
              <w:spacing w:after="0"/>
              <w:jc w:val="center"/>
              <w:rPr>
                <w:rFonts w:eastAsia="Times New Roman" w:cs="Times New Roman"/>
                <w:b/>
                <w:bCs/>
                <w:i/>
                <w:sz w:val="20"/>
                <w:szCs w:val="20"/>
                <w:lang w:val="en-US" w:eastAsia="en-US"/>
              </w:rPr>
            </w:pPr>
            <w:r w:rsidRPr="00A02D45">
              <w:rPr>
                <w:rFonts w:eastAsia="Times New Roman" w:cs="Times New Roman"/>
                <w:b/>
                <w:bCs/>
                <w:i/>
                <w:sz w:val="20"/>
                <w:szCs w:val="20"/>
                <w:lang w:eastAsia="en-US"/>
              </w:rPr>
              <w:t>Програма</w:t>
            </w:r>
            <w:r w:rsidRPr="00B33488">
              <w:rPr>
                <w:rFonts w:eastAsia="Times New Roman" w:cs="Times New Roman"/>
                <w:b/>
                <w:bCs/>
                <w:i/>
                <w:sz w:val="20"/>
                <w:szCs w:val="20"/>
                <w:lang w:val="en-US" w:eastAsia="en-US"/>
              </w:rPr>
              <w:t xml:space="preserve"> </w:t>
            </w:r>
            <w:r w:rsidRPr="00B33488">
              <w:rPr>
                <w:rFonts w:eastAsia="Times New Roman" w:cs="Times New Roman"/>
                <w:b/>
                <w:bCs/>
                <w:i/>
                <w:sz w:val="20"/>
                <w:szCs w:val="20"/>
                <w:lang w:val="en-US" w:eastAsia="en-US"/>
              </w:rPr>
              <w:br/>
              <w:t xml:space="preserve">2025 г. </w:t>
            </w:r>
          </w:p>
        </w:tc>
        <w:tc>
          <w:tcPr>
            <w:tcW w:w="1033" w:type="dxa"/>
            <w:tcBorders>
              <w:top w:val="single" w:sz="4" w:space="0" w:color="auto"/>
              <w:left w:val="nil"/>
              <w:bottom w:val="single" w:sz="4" w:space="0" w:color="auto"/>
              <w:right w:val="nil"/>
            </w:tcBorders>
            <w:shd w:val="clear" w:color="auto" w:fill="auto"/>
            <w:vAlign w:val="center"/>
            <w:hideMark/>
          </w:tcPr>
          <w:p w14:paraId="6F7C0E84" w14:textId="77777777" w:rsidR="0067435D" w:rsidRPr="00B33488" w:rsidRDefault="0067435D" w:rsidP="00B4306D">
            <w:pPr>
              <w:spacing w:after="0"/>
              <w:jc w:val="center"/>
              <w:rPr>
                <w:rFonts w:eastAsia="Times New Roman" w:cs="Times New Roman"/>
                <w:b/>
                <w:bCs/>
                <w:iCs/>
                <w:sz w:val="20"/>
                <w:szCs w:val="20"/>
                <w:lang w:val="en-US" w:eastAsia="en-US"/>
              </w:rPr>
            </w:pPr>
            <w:r w:rsidRPr="00A02D45">
              <w:rPr>
                <w:rFonts w:eastAsia="Times New Roman" w:cs="Times New Roman"/>
                <w:b/>
                <w:bCs/>
                <w:iCs/>
                <w:sz w:val="20"/>
                <w:szCs w:val="20"/>
                <w:lang w:eastAsia="en-US"/>
              </w:rPr>
              <w:t xml:space="preserve">Проект </w:t>
            </w:r>
            <w:r w:rsidRPr="00B33488">
              <w:rPr>
                <w:rFonts w:eastAsia="Times New Roman" w:cs="Times New Roman"/>
                <w:b/>
                <w:bCs/>
                <w:iCs/>
                <w:sz w:val="20"/>
                <w:szCs w:val="20"/>
                <w:lang w:val="en-US" w:eastAsia="en-US"/>
              </w:rPr>
              <w:br/>
              <w:t xml:space="preserve">2026 г. </w:t>
            </w:r>
          </w:p>
        </w:tc>
        <w:tc>
          <w:tcPr>
            <w:tcW w:w="1035" w:type="dxa"/>
            <w:tcBorders>
              <w:top w:val="single" w:sz="4" w:space="0" w:color="auto"/>
              <w:left w:val="nil"/>
              <w:bottom w:val="single" w:sz="4" w:space="0" w:color="auto"/>
              <w:right w:val="nil"/>
            </w:tcBorders>
            <w:shd w:val="clear" w:color="auto" w:fill="auto"/>
            <w:vAlign w:val="center"/>
            <w:hideMark/>
          </w:tcPr>
          <w:p w14:paraId="0545C1D6" w14:textId="77777777" w:rsidR="0067435D" w:rsidRPr="00B33488" w:rsidRDefault="0067435D" w:rsidP="00B4306D">
            <w:pPr>
              <w:spacing w:after="0"/>
              <w:jc w:val="center"/>
              <w:rPr>
                <w:rFonts w:eastAsia="Times New Roman" w:cs="Times New Roman"/>
                <w:b/>
                <w:bCs/>
                <w:i/>
                <w:iCs/>
                <w:sz w:val="20"/>
                <w:szCs w:val="20"/>
                <w:lang w:val="en-US" w:eastAsia="en-US"/>
              </w:rPr>
            </w:pPr>
            <w:r w:rsidRPr="00A02D45">
              <w:rPr>
                <w:rFonts w:eastAsia="Times New Roman" w:cs="Times New Roman"/>
                <w:b/>
                <w:bCs/>
                <w:i/>
                <w:iCs/>
                <w:sz w:val="20"/>
                <w:szCs w:val="20"/>
                <w:lang w:eastAsia="en-US"/>
              </w:rPr>
              <w:t xml:space="preserve">Прогноза </w:t>
            </w:r>
            <w:r w:rsidRPr="00B33488">
              <w:rPr>
                <w:rFonts w:eastAsia="Times New Roman" w:cs="Times New Roman"/>
                <w:b/>
                <w:bCs/>
                <w:i/>
                <w:iCs/>
                <w:sz w:val="20"/>
                <w:szCs w:val="20"/>
                <w:lang w:val="en-US" w:eastAsia="en-US"/>
              </w:rPr>
              <w:br/>
              <w:t xml:space="preserve">2027 г. </w:t>
            </w:r>
          </w:p>
        </w:tc>
        <w:tc>
          <w:tcPr>
            <w:tcW w:w="1035" w:type="dxa"/>
            <w:tcBorders>
              <w:top w:val="single" w:sz="4" w:space="0" w:color="auto"/>
              <w:left w:val="nil"/>
              <w:bottom w:val="single" w:sz="4" w:space="0" w:color="auto"/>
              <w:right w:val="nil"/>
            </w:tcBorders>
            <w:shd w:val="clear" w:color="auto" w:fill="auto"/>
            <w:vAlign w:val="center"/>
            <w:hideMark/>
          </w:tcPr>
          <w:p w14:paraId="6029E729" w14:textId="77777777" w:rsidR="0067435D" w:rsidRPr="00A02D45" w:rsidRDefault="0067435D" w:rsidP="00B4306D">
            <w:pPr>
              <w:spacing w:after="0"/>
              <w:jc w:val="center"/>
              <w:rPr>
                <w:rFonts w:eastAsia="Times New Roman" w:cs="Times New Roman"/>
                <w:b/>
                <w:bCs/>
                <w:i/>
                <w:iCs/>
                <w:sz w:val="20"/>
                <w:szCs w:val="20"/>
                <w:lang w:eastAsia="en-US"/>
              </w:rPr>
            </w:pPr>
            <w:r w:rsidRPr="00A02D45">
              <w:rPr>
                <w:rFonts w:eastAsia="Times New Roman" w:cs="Times New Roman"/>
                <w:b/>
                <w:bCs/>
                <w:i/>
                <w:iCs/>
                <w:sz w:val="20"/>
                <w:szCs w:val="20"/>
                <w:lang w:eastAsia="en-US"/>
              </w:rPr>
              <w:t xml:space="preserve">Прогноза </w:t>
            </w:r>
            <w:r w:rsidRPr="00A02D45">
              <w:rPr>
                <w:rFonts w:eastAsia="Times New Roman" w:cs="Times New Roman"/>
                <w:b/>
                <w:bCs/>
                <w:i/>
                <w:iCs/>
                <w:sz w:val="20"/>
                <w:szCs w:val="20"/>
                <w:lang w:eastAsia="en-US"/>
              </w:rPr>
              <w:br/>
              <w:t xml:space="preserve">2028 г. </w:t>
            </w:r>
          </w:p>
        </w:tc>
      </w:tr>
      <w:tr w:rsidR="0067435D" w:rsidRPr="00B33488" w14:paraId="183998ED" w14:textId="77777777" w:rsidTr="00B4306D">
        <w:trPr>
          <w:trHeight w:val="132"/>
        </w:trPr>
        <w:tc>
          <w:tcPr>
            <w:tcW w:w="4962" w:type="dxa"/>
            <w:tcBorders>
              <w:top w:val="nil"/>
              <w:left w:val="nil"/>
              <w:bottom w:val="nil"/>
              <w:right w:val="nil"/>
            </w:tcBorders>
            <w:shd w:val="clear" w:color="auto" w:fill="auto"/>
            <w:noWrap/>
            <w:vAlign w:val="bottom"/>
            <w:hideMark/>
          </w:tcPr>
          <w:p w14:paraId="10A9CFA1" w14:textId="77777777" w:rsidR="0067435D" w:rsidRPr="00A02D45" w:rsidRDefault="0067435D" w:rsidP="00B4306D">
            <w:pPr>
              <w:spacing w:after="0"/>
              <w:jc w:val="center"/>
              <w:rPr>
                <w:rFonts w:eastAsia="Times New Roman" w:cs="Times New Roman"/>
                <w:sz w:val="20"/>
                <w:szCs w:val="20"/>
                <w:lang w:eastAsia="en-US"/>
              </w:rPr>
            </w:pPr>
            <w:r w:rsidRPr="00A02D45">
              <w:rPr>
                <w:rFonts w:eastAsia="Times New Roman" w:cs="Times New Roman"/>
                <w:sz w:val="20"/>
                <w:szCs w:val="20"/>
                <w:lang w:eastAsia="en-US"/>
              </w:rPr>
              <w:t>1</w:t>
            </w:r>
          </w:p>
        </w:tc>
        <w:tc>
          <w:tcPr>
            <w:tcW w:w="1211" w:type="dxa"/>
            <w:tcBorders>
              <w:top w:val="nil"/>
              <w:left w:val="nil"/>
              <w:bottom w:val="nil"/>
              <w:right w:val="nil"/>
            </w:tcBorders>
            <w:shd w:val="clear" w:color="auto" w:fill="auto"/>
            <w:noWrap/>
            <w:vAlign w:val="bottom"/>
            <w:hideMark/>
          </w:tcPr>
          <w:p w14:paraId="5D8F1413" w14:textId="77777777" w:rsidR="0067435D" w:rsidRPr="00B33488" w:rsidRDefault="0067435D" w:rsidP="00B4306D">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2</w:t>
            </w:r>
          </w:p>
        </w:tc>
        <w:tc>
          <w:tcPr>
            <w:tcW w:w="1033" w:type="dxa"/>
            <w:tcBorders>
              <w:top w:val="nil"/>
              <w:left w:val="nil"/>
              <w:bottom w:val="nil"/>
              <w:right w:val="nil"/>
            </w:tcBorders>
            <w:shd w:val="clear" w:color="auto" w:fill="auto"/>
            <w:noWrap/>
            <w:vAlign w:val="bottom"/>
            <w:hideMark/>
          </w:tcPr>
          <w:p w14:paraId="55020CC5" w14:textId="77777777" w:rsidR="0067435D" w:rsidRPr="00B33488" w:rsidRDefault="0067435D" w:rsidP="00B4306D">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3</w:t>
            </w:r>
          </w:p>
        </w:tc>
        <w:tc>
          <w:tcPr>
            <w:tcW w:w="1035" w:type="dxa"/>
            <w:tcBorders>
              <w:top w:val="nil"/>
              <w:left w:val="nil"/>
              <w:bottom w:val="nil"/>
              <w:right w:val="nil"/>
            </w:tcBorders>
            <w:shd w:val="clear" w:color="auto" w:fill="auto"/>
            <w:noWrap/>
            <w:vAlign w:val="bottom"/>
            <w:hideMark/>
          </w:tcPr>
          <w:p w14:paraId="4AB0C2AC" w14:textId="77777777" w:rsidR="0067435D" w:rsidRPr="00B33488" w:rsidRDefault="0067435D" w:rsidP="00B4306D">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4</w:t>
            </w:r>
          </w:p>
        </w:tc>
        <w:tc>
          <w:tcPr>
            <w:tcW w:w="1035" w:type="dxa"/>
            <w:tcBorders>
              <w:top w:val="nil"/>
              <w:left w:val="nil"/>
              <w:bottom w:val="nil"/>
              <w:right w:val="nil"/>
            </w:tcBorders>
            <w:shd w:val="clear" w:color="auto" w:fill="auto"/>
            <w:noWrap/>
            <w:vAlign w:val="bottom"/>
            <w:hideMark/>
          </w:tcPr>
          <w:p w14:paraId="7A2929E8" w14:textId="77777777" w:rsidR="0067435D" w:rsidRPr="00B33488" w:rsidRDefault="0067435D" w:rsidP="00B4306D">
            <w:pPr>
              <w:spacing w:after="0"/>
              <w:jc w:val="center"/>
              <w:rPr>
                <w:rFonts w:eastAsia="Times New Roman" w:cs="Times New Roman"/>
                <w:sz w:val="20"/>
                <w:szCs w:val="20"/>
                <w:lang w:val="en-US" w:eastAsia="en-US"/>
              </w:rPr>
            </w:pPr>
            <w:r w:rsidRPr="00B33488">
              <w:rPr>
                <w:rFonts w:eastAsia="Times New Roman" w:cs="Times New Roman"/>
                <w:sz w:val="20"/>
                <w:szCs w:val="20"/>
                <w:lang w:val="en-US" w:eastAsia="en-US"/>
              </w:rPr>
              <w:t>5</w:t>
            </w:r>
          </w:p>
        </w:tc>
      </w:tr>
      <w:tr w:rsidR="0067435D" w:rsidRPr="00B33488" w14:paraId="17109984" w14:textId="77777777" w:rsidTr="00B4306D">
        <w:trPr>
          <w:trHeight w:val="301"/>
        </w:trPr>
        <w:tc>
          <w:tcPr>
            <w:tcW w:w="4962" w:type="dxa"/>
            <w:tcBorders>
              <w:top w:val="nil"/>
              <w:left w:val="nil"/>
              <w:bottom w:val="nil"/>
              <w:right w:val="nil"/>
            </w:tcBorders>
            <w:shd w:val="clear" w:color="000000" w:fill="F2F2F2"/>
            <w:noWrap/>
            <w:vAlign w:val="bottom"/>
            <w:hideMark/>
          </w:tcPr>
          <w:p w14:paraId="74AC8872" w14:textId="77777777" w:rsidR="0067435D" w:rsidRPr="00A02D45" w:rsidRDefault="0067435D" w:rsidP="00B4306D">
            <w:pPr>
              <w:spacing w:after="0"/>
              <w:jc w:val="left"/>
              <w:rPr>
                <w:rFonts w:eastAsia="Times New Roman" w:cs="Times New Roman"/>
                <w:b/>
                <w:bCs/>
                <w:sz w:val="20"/>
                <w:szCs w:val="20"/>
                <w:lang w:eastAsia="en-US"/>
              </w:rPr>
            </w:pPr>
            <w:r w:rsidRPr="00A02D45">
              <w:rPr>
                <w:rFonts w:eastAsia="Times New Roman" w:cs="Times New Roman"/>
                <w:b/>
                <w:bCs/>
                <w:sz w:val="20"/>
                <w:szCs w:val="20"/>
                <w:lang w:eastAsia="en-US"/>
              </w:rPr>
              <w:t xml:space="preserve">Разходи за отбрана, съгласно класификацията на НАТО </w:t>
            </w:r>
          </w:p>
        </w:tc>
        <w:tc>
          <w:tcPr>
            <w:tcW w:w="1211" w:type="dxa"/>
            <w:tcBorders>
              <w:top w:val="nil"/>
              <w:left w:val="nil"/>
              <w:bottom w:val="nil"/>
              <w:right w:val="nil"/>
            </w:tcBorders>
            <w:shd w:val="clear" w:color="000000" w:fill="F2F2F2"/>
            <w:noWrap/>
            <w:vAlign w:val="bottom"/>
            <w:hideMark/>
          </w:tcPr>
          <w:p w14:paraId="19FB8124" w14:textId="77777777" w:rsidR="0067435D" w:rsidRPr="00B33488" w:rsidRDefault="0067435D" w:rsidP="00B4306D">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2 301,7</w:t>
            </w:r>
          </w:p>
        </w:tc>
        <w:tc>
          <w:tcPr>
            <w:tcW w:w="1033" w:type="dxa"/>
            <w:tcBorders>
              <w:top w:val="nil"/>
              <w:left w:val="nil"/>
              <w:bottom w:val="nil"/>
              <w:right w:val="nil"/>
            </w:tcBorders>
            <w:shd w:val="clear" w:color="000000" w:fill="F2F2F2"/>
            <w:noWrap/>
            <w:vAlign w:val="bottom"/>
            <w:hideMark/>
          </w:tcPr>
          <w:p w14:paraId="60960224" w14:textId="77777777" w:rsidR="0067435D" w:rsidRPr="0001580A" w:rsidRDefault="0067435D" w:rsidP="00B4306D">
            <w:pPr>
              <w:spacing w:after="0"/>
              <w:jc w:val="right"/>
              <w:rPr>
                <w:rFonts w:eastAsia="Times New Roman" w:cs="Times New Roman"/>
                <w:b/>
                <w:bCs/>
                <w:sz w:val="20"/>
                <w:szCs w:val="20"/>
                <w:lang w:eastAsia="en-US"/>
              </w:rPr>
            </w:pPr>
            <w:r w:rsidRPr="00B33488">
              <w:rPr>
                <w:rFonts w:eastAsia="Times New Roman" w:cs="Times New Roman"/>
                <w:b/>
                <w:bCs/>
                <w:sz w:val="20"/>
                <w:szCs w:val="20"/>
                <w:lang w:val="en-US" w:eastAsia="en-US"/>
              </w:rPr>
              <w:t xml:space="preserve">2 </w:t>
            </w:r>
            <w:r>
              <w:rPr>
                <w:rFonts w:eastAsia="Times New Roman" w:cs="Times New Roman"/>
                <w:b/>
                <w:bCs/>
                <w:sz w:val="20"/>
                <w:szCs w:val="20"/>
                <w:lang w:eastAsia="en-US"/>
              </w:rPr>
              <w:t xml:space="preserve">  553,5</w:t>
            </w:r>
          </w:p>
        </w:tc>
        <w:tc>
          <w:tcPr>
            <w:tcW w:w="1035" w:type="dxa"/>
            <w:tcBorders>
              <w:top w:val="nil"/>
              <w:left w:val="nil"/>
              <w:bottom w:val="nil"/>
              <w:right w:val="nil"/>
            </w:tcBorders>
            <w:shd w:val="clear" w:color="000000" w:fill="F2F2F2"/>
            <w:noWrap/>
            <w:vAlign w:val="bottom"/>
            <w:hideMark/>
          </w:tcPr>
          <w:p w14:paraId="75DD0487" w14:textId="77777777" w:rsidR="0067435D" w:rsidRPr="0001580A" w:rsidRDefault="0067435D" w:rsidP="00B4306D">
            <w:pPr>
              <w:spacing w:after="0"/>
              <w:jc w:val="right"/>
              <w:rPr>
                <w:rFonts w:eastAsia="Times New Roman" w:cs="Times New Roman"/>
                <w:b/>
                <w:bCs/>
                <w:sz w:val="20"/>
                <w:szCs w:val="20"/>
                <w:lang w:eastAsia="en-US"/>
              </w:rPr>
            </w:pPr>
            <w:r w:rsidRPr="00B33488">
              <w:rPr>
                <w:rFonts w:eastAsia="Times New Roman" w:cs="Times New Roman"/>
                <w:b/>
                <w:bCs/>
                <w:sz w:val="20"/>
                <w:szCs w:val="20"/>
                <w:lang w:val="en-US" w:eastAsia="en-US"/>
              </w:rPr>
              <w:t xml:space="preserve">2 </w:t>
            </w:r>
            <w:r>
              <w:rPr>
                <w:rFonts w:eastAsia="Times New Roman" w:cs="Times New Roman"/>
                <w:b/>
                <w:bCs/>
                <w:sz w:val="20"/>
                <w:szCs w:val="20"/>
                <w:lang w:eastAsia="en-US"/>
              </w:rPr>
              <w:t>958,0</w:t>
            </w:r>
          </w:p>
        </w:tc>
        <w:tc>
          <w:tcPr>
            <w:tcW w:w="1035" w:type="dxa"/>
            <w:tcBorders>
              <w:top w:val="nil"/>
              <w:left w:val="nil"/>
              <w:bottom w:val="nil"/>
              <w:right w:val="nil"/>
            </w:tcBorders>
            <w:shd w:val="clear" w:color="000000" w:fill="F2F2F2"/>
            <w:noWrap/>
            <w:vAlign w:val="bottom"/>
            <w:hideMark/>
          </w:tcPr>
          <w:p w14:paraId="3B03AD00" w14:textId="77777777" w:rsidR="0067435D" w:rsidRPr="0001580A" w:rsidRDefault="0067435D" w:rsidP="00B4306D">
            <w:pPr>
              <w:spacing w:after="0"/>
              <w:jc w:val="right"/>
              <w:rPr>
                <w:rFonts w:eastAsia="Times New Roman" w:cs="Times New Roman"/>
                <w:b/>
                <w:bCs/>
                <w:sz w:val="20"/>
                <w:szCs w:val="20"/>
                <w:lang w:eastAsia="en-US"/>
              </w:rPr>
            </w:pPr>
            <w:proofErr w:type="gramStart"/>
            <w:r w:rsidRPr="00B33488">
              <w:rPr>
                <w:rFonts w:eastAsia="Times New Roman" w:cs="Times New Roman"/>
                <w:b/>
                <w:bCs/>
                <w:sz w:val="20"/>
                <w:szCs w:val="20"/>
                <w:lang w:val="en-US" w:eastAsia="en-US"/>
              </w:rPr>
              <w:t xml:space="preserve">3 </w:t>
            </w:r>
            <w:r>
              <w:rPr>
                <w:rFonts w:eastAsia="Times New Roman" w:cs="Times New Roman"/>
                <w:b/>
                <w:bCs/>
                <w:sz w:val="20"/>
                <w:szCs w:val="20"/>
                <w:lang w:eastAsia="en-US"/>
              </w:rPr>
              <w:t xml:space="preserve"> 219</w:t>
            </w:r>
            <w:proofErr w:type="gramEnd"/>
            <w:r>
              <w:rPr>
                <w:rFonts w:eastAsia="Times New Roman" w:cs="Times New Roman"/>
                <w:b/>
                <w:bCs/>
                <w:sz w:val="20"/>
                <w:szCs w:val="20"/>
                <w:lang w:eastAsia="en-US"/>
              </w:rPr>
              <w:t>,1</w:t>
            </w:r>
          </w:p>
        </w:tc>
      </w:tr>
      <w:tr w:rsidR="0067435D" w:rsidRPr="00B33488" w14:paraId="3D628AFB" w14:textId="77777777" w:rsidTr="00B4306D">
        <w:trPr>
          <w:trHeight w:val="301"/>
        </w:trPr>
        <w:tc>
          <w:tcPr>
            <w:tcW w:w="4962" w:type="dxa"/>
            <w:tcBorders>
              <w:top w:val="nil"/>
              <w:left w:val="nil"/>
              <w:bottom w:val="nil"/>
              <w:right w:val="nil"/>
            </w:tcBorders>
            <w:shd w:val="clear" w:color="auto" w:fill="auto"/>
            <w:vAlign w:val="bottom"/>
            <w:hideMark/>
          </w:tcPr>
          <w:p w14:paraId="72DE1F7D"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в т.ч.:</w:t>
            </w:r>
          </w:p>
        </w:tc>
        <w:tc>
          <w:tcPr>
            <w:tcW w:w="1211" w:type="dxa"/>
            <w:tcBorders>
              <w:top w:val="nil"/>
              <w:left w:val="nil"/>
              <w:bottom w:val="nil"/>
              <w:right w:val="nil"/>
            </w:tcBorders>
            <w:shd w:val="clear" w:color="auto" w:fill="auto"/>
            <w:noWrap/>
            <w:vAlign w:val="bottom"/>
            <w:hideMark/>
          </w:tcPr>
          <w:p w14:paraId="4E6AE3A3" w14:textId="77777777" w:rsidR="0067435D" w:rsidRPr="00B33488" w:rsidRDefault="0067435D" w:rsidP="00B4306D">
            <w:pPr>
              <w:spacing w:after="0"/>
              <w:jc w:val="left"/>
              <w:rPr>
                <w:rFonts w:eastAsia="Times New Roman" w:cs="Times New Roman"/>
                <w:sz w:val="20"/>
                <w:szCs w:val="20"/>
                <w:lang w:val="en-US" w:eastAsia="en-US"/>
              </w:rPr>
            </w:pPr>
          </w:p>
        </w:tc>
        <w:tc>
          <w:tcPr>
            <w:tcW w:w="1033" w:type="dxa"/>
            <w:tcBorders>
              <w:top w:val="nil"/>
              <w:left w:val="nil"/>
              <w:bottom w:val="nil"/>
              <w:right w:val="nil"/>
            </w:tcBorders>
            <w:shd w:val="clear" w:color="auto" w:fill="auto"/>
            <w:noWrap/>
            <w:vAlign w:val="bottom"/>
            <w:hideMark/>
          </w:tcPr>
          <w:p w14:paraId="75ABCD56" w14:textId="77777777" w:rsidR="0067435D" w:rsidRPr="00B33488" w:rsidRDefault="0067435D" w:rsidP="00B4306D">
            <w:pPr>
              <w:spacing w:after="0"/>
              <w:jc w:val="left"/>
              <w:rPr>
                <w:rFonts w:eastAsia="Times New Roman" w:cs="Times New Roman"/>
                <w:sz w:val="20"/>
                <w:szCs w:val="20"/>
                <w:lang w:val="en-US" w:eastAsia="en-US"/>
              </w:rPr>
            </w:pPr>
          </w:p>
        </w:tc>
        <w:tc>
          <w:tcPr>
            <w:tcW w:w="1035" w:type="dxa"/>
            <w:tcBorders>
              <w:top w:val="nil"/>
              <w:left w:val="nil"/>
              <w:bottom w:val="nil"/>
              <w:right w:val="nil"/>
            </w:tcBorders>
            <w:shd w:val="clear" w:color="auto" w:fill="auto"/>
            <w:noWrap/>
            <w:vAlign w:val="bottom"/>
            <w:hideMark/>
          </w:tcPr>
          <w:p w14:paraId="5AF15660" w14:textId="77777777" w:rsidR="0067435D" w:rsidRPr="00B33488" w:rsidRDefault="0067435D" w:rsidP="00B4306D">
            <w:pPr>
              <w:spacing w:after="0"/>
              <w:jc w:val="left"/>
              <w:rPr>
                <w:rFonts w:eastAsia="Times New Roman" w:cs="Times New Roman"/>
                <w:sz w:val="20"/>
                <w:szCs w:val="20"/>
                <w:lang w:val="en-US" w:eastAsia="en-US"/>
              </w:rPr>
            </w:pPr>
          </w:p>
        </w:tc>
        <w:tc>
          <w:tcPr>
            <w:tcW w:w="1035" w:type="dxa"/>
            <w:tcBorders>
              <w:top w:val="nil"/>
              <w:left w:val="nil"/>
              <w:bottom w:val="nil"/>
              <w:right w:val="nil"/>
            </w:tcBorders>
            <w:shd w:val="clear" w:color="auto" w:fill="auto"/>
            <w:noWrap/>
            <w:vAlign w:val="bottom"/>
            <w:hideMark/>
          </w:tcPr>
          <w:p w14:paraId="778B7DB5" w14:textId="77777777" w:rsidR="0067435D" w:rsidRPr="00B33488" w:rsidRDefault="0067435D" w:rsidP="00B4306D">
            <w:pPr>
              <w:spacing w:after="0"/>
              <w:jc w:val="left"/>
              <w:rPr>
                <w:rFonts w:eastAsia="Times New Roman" w:cs="Times New Roman"/>
                <w:sz w:val="20"/>
                <w:szCs w:val="20"/>
                <w:lang w:val="en-US" w:eastAsia="en-US"/>
              </w:rPr>
            </w:pPr>
          </w:p>
        </w:tc>
      </w:tr>
      <w:tr w:rsidR="0067435D" w:rsidRPr="00B33488" w14:paraId="28FF4228" w14:textId="77777777" w:rsidTr="00B4306D">
        <w:trPr>
          <w:trHeight w:val="301"/>
        </w:trPr>
        <w:tc>
          <w:tcPr>
            <w:tcW w:w="4962" w:type="dxa"/>
            <w:tcBorders>
              <w:top w:val="nil"/>
              <w:left w:val="nil"/>
              <w:bottom w:val="nil"/>
              <w:right w:val="nil"/>
            </w:tcBorders>
            <w:shd w:val="clear" w:color="auto" w:fill="auto"/>
            <w:vAlign w:val="bottom"/>
            <w:hideMark/>
          </w:tcPr>
          <w:p w14:paraId="087A8D56"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Общо разходи по бюджета на МО</w:t>
            </w:r>
            <w:r>
              <w:rPr>
                <w:rStyle w:val="FootnoteReference"/>
                <w:rFonts w:eastAsia="Times New Roman"/>
                <w:szCs w:val="20"/>
              </w:rPr>
              <w:footnoteReference w:id="29"/>
            </w:r>
          </w:p>
        </w:tc>
        <w:tc>
          <w:tcPr>
            <w:tcW w:w="1211" w:type="dxa"/>
            <w:tcBorders>
              <w:top w:val="nil"/>
              <w:left w:val="nil"/>
              <w:bottom w:val="nil"/>
              <w:right w:val="nil"/>
            </w:tcBorders>
            <w:shd w:val="clear" w:color="auto" w:fill="auto"/>
            <w:noWrap/>
            <w:vAlign w:val="bottom"/>
            <w:hideMark/>
          </w:tcPr>
          <w:p w14:paraId="608CE106"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2 225,9</w:t>
            </w:r>
          </w:p>
        </w:tc>
        <w:tc>
          <w:tcPr>
            <w:tcW w:w="1033" w:type="dxa"/>
            <w:tcBorders>
              <w:top w:val="nil"/>
              <w:left w:val="nil"/>
              <w:bottom w:val="nil"/>
              <w:right w:val="nil"/>
            </w:tcBorders>
            <w:shd w:val="clear" w:color="auto" w:fill="auto"/>
            <w:noWrap/>
            <w:vAlign w:val="bottom"/>
            <w:hideMark/>
          </w:tcPr>
          <w:p w14:paraId="17A199A5" w14:textId="77777777" w:rsidR="0067435D" w:rsidRPr="0001580A" w:rsidRDefault="0067435D" w:rsidP="00B4306D">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 xml:space="preserve">2 </w:t>
            </w:r>
            <w:r>
              <w:rPr>
                <w:rFonts w:eastAsia="Times New Roman" w:cs="Times New Roman"/>
                <w:sz w:val="20"/>
                <w:szCs w:val="20"/>
                <w:lang w:eastAsia="en-US"/>
              </w:rPr>
              <w:t>465,7</w:t>
            </w:r>
          </w:p>
        </w:tc>
        <w:tc>
          <w:tcPr>
            <w:tcW w:w="1035" w:type="dxa"/>
            <w:tcBorders>
              <w:top w:val="nil"/>
              <w:left w:val="nil"/>
              <w:bottom w:val="nil"/>
              <w:right w:val="nil"/>
            </w:tcBorders>
            <w:shd w:val="clear" w:color="auto" w:fill="auto"/>
            <w:noWrap/>
            <w:vAlign w:val="bottom"/>
            <w:hideMark/>
          </w:tcPr>
          <w:p w14:paraId="2D900916" w14:textId="77777777" w:rsidR="0067435D" w:rsidRPr="0001580A" w:rsidRDefault="0067435D" w:rsidP="00B4306D">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2 8</w:t>
            </w:r>
            <w:r>
              <w:rPr>
                <w:rFonts w:eastAsia="Times New Roman" w:cs="Times New Roman"/>
                <w:sz w:val="20"/>
                <w:szCs w:val="20"/>
                <w:lang w:eastAsia="en-US"/>
              </w:rPr>
              <w:t>49,7</w:t>
            </w:r>
          </w:p>
        </w:tc>
        <w:tc>
          <w:tcPr>
            <w:tcW w:w="1035" w:type="dxa"/>
            <w:tcBorders>
              <w:top w:val="nil"/>
              <w:left w:val="nil"/>
              <w:bottom w:val="nil"/>
              <w:right w:val="nil"/>
            </w:tcBorders>
            <w:shd w:val="clear" w:color="auto" w:fill="auto"/>
            <w:noWrap/>
            <w:vAlign w:val="bottom"/>
            <w:hideMark/>
          </w:tcPr>
          <w:p w14:paraId="09B96909" w14:textId="77777777" w:rsidR="0067435D" w:rsidRPr="0001580A" w:rsidRDefault="0067435D" w:rsidP="00B4306D">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3</w:t>
            </w:r>
            <w:r>
              <w:rPr>
                <w:rFonts w:eastAsia="Times New Roman" w:cs="Times New Roman"/>
                <w:sz w:val="20"/>
                <w:szCs w:val="20"/>
                <w:lang w:eastAsia="en-US"/>
              </w:rPr>
              <w:t xml:space="preserve"> 092,8</w:t>
            </w:r>
          </w:p>
        </w:tc>
      </w:tr>
      <w:tr w:rsidR="0067435D" w:rsidRPr="00B33488" w14:paraId="5C2575CC" w14:textId="77777777" w:rsidTr="00B4306D">
        <w:trPr>
          <w:trHeight w:val="301"/>
        </w:trPr>
        <w:tc>
          <w:tcPr>
            <w:tcW w:w="4962" w:type="dxa"/>
            <w:tcBorders>
              <w:top w:val="nil"/>
              <w:left w:val="nil"/>
              <w:bottom w:val="nil"/>
              <w:right w:val="nil"/>
            </w:tcBorders>
            <w:shd w:val="clear" w:color="auto" w:fill="auto"/>
            <w:vAlign w:val="bottom"/>
            <w:hideMark/>
          </w:tcPr>
          <w:p w14:paraId="6399C1BC"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Общо трансфери по бюджетите на ДВВУ</w:t>
            </w:r>
            <w:r>
              <w:rPr>
                <w:rStyle w:val="FootnoteReference"/>
                <w:rFonts w:eastAsia="Times New Roman"/>
                <w:szCs w:val="20"/>
              </w:rPr>
              <w:footnoteReference w:id="30"/>
            </w:r>
          </w:p>
        </w:tc>
        <w:tc>
          <w:tcPr>
            <w:tcW w:w="1211" w:type="dxa"/>
            <w:tcBorders>
              <w:top w:val="nil"/>
              <w:left w:val="nil"/>
              <w:bottom w:val="nil"/>
              <w:right w:val="nil"/>
            </w:tcBorders>
            <w:shd w:val="clear" w:color="auto" w:fill="auto"/>
            <w:noWrap/>
            <w:vAlign w:val="bottom"/>
            <w:hideMark/>
          </w:tcPr>
          <w:p w14:paraId="1CAA34E5"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43,9</w:t>
            </w:r>
          </w:p>
        </w:tc>
        <w:tc>
          <w:tcPr>
            <w:tcW w:w="1033" w:type="dxa"/>
            <w:tcBorders>
              <w:top w:val="nil"/>
              <w:left w:val="nil"/>
              <w:bottom w:val="nil"/>
              <w:right w:val="nil"/>
            </w:tcBorders>
            <w:shd w:val="clear" w:color="auto" w:fill="auto"/>
            <w:noWrap/>
            <w:vAlign w:val="bottom"/>
            <w:hideMark/>
          </w:tcPr>
          <w:p w14:paraId="48BC08BC"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49,6</w:t>
            </w:r>
          </w:p>
        </w:tc>
        <w:tc>
          <w:tcPr>
            <w:tcW w:w="1035" w:type="dxa"/>
            <w:tcBorders>
              <w:top w:val="nil"/>
              <w:left w:val="nil"/>
              <w:bottom w:val="nil"/>
              <w:right w:val="nil"/>
            </w:tcBorders>
            <w:shd w:val="clear" w:color="auto" w:fill="auto"/>
            <w:noWrap/>
            <w:vAlign w:val="bottom"/>
            <w:hideMark/>
          </w:tcPr>
          <w:p w14:paraId="70A80270"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49,9</w:t>
            </w:r>
          </w:p>
        </w:tc>
        <w:tc>
          <w:tcPr>
            <w:tcW w:w="1035" w:type="dxa"/>
            <w:tcBorders>
              <w:top w:val="nil"/>
              <w:left w:val="nil"/>
              <w:bottom w:val="nil"/>
              <w:right w:val="nil"/>
            </w:tcBorders>
            <w:shd w:val="clear" w:color="auto" w:fill="auto"/>
            <w:noWrap/>
            <w:vAlign w:val="bottom"/>
            <w:hideMark/>
          </w:tcPr>
          <w:p w14:paraId="78728356" w14:textId="77777777" w:rsidR="0067435D" w:rsidRPr="00DA7F8C" w:rsidRDefault="0067435D" w:rsidP="00B4306D">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5</w:t>
            </w:r>
            <w:r>
              <w:rPr>
                <w:rFonts w:eastAsia="Times New Roman" w:cs="Times New Roman"/>
                <w:sz w:val="20"/>
                <w:szCs w:val="20"/>
                <w:lang w:eastAsia="en-US"/>
              </w:rPr>
              <w:t>0,4</w:t>
            </w:r>
          </w:p>
        </w:tc>
      </w:tr>
      <w:tr w:rsidR="0067435D" w:rsidRPr="00B33488" w14:paraId="0D9256B6" w14:textId="77777777" w:rsidTr="00B4306D">
        <w:trPr>
          <w:trHeight w:val="301"/>
        </w:trPr>
        <w:tc>
          <w:tcPr>
            <w:tcW w:w="4962" w:type="dxa"/>
            <w:tcBorders>
              <w:top w:val="nil"/>
              <w:left w:val="nil"/>
              <w:bottom w:val="nil"/>
              <w:right w:val="nil"/>
            </w:tcBorders>
            <w:shd w:val="clear" w:color="auto" w:fill="auto"/>
            <w:vAlign w:val="bottom"/>
            <w:hideMark/>
          </w:tcPr>
          <w:p w14:paraId="2425012E"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Разходи за отбрана по бюджетите на други ПРБ, от тях:</w:t>
            </w:r>
          </w:p>
        </w:tc>
        <w:tc>
          <w:tcPr>
            <w:tcW w:w="1211" w:type="dxa"/>
            <w:tcBorders>
              <w:top w:val="nil"/>
              <w:left w:val="nil"/>
              <w:bottom w:val="nil"/>
              <w:right w:val="nil"/>
            </w:tcBorders>
            <w:shd w:val="clear" w:color="auto" w:fill="auto"/>
            <w:noWrap/>
            <w:vAlign w:val="bottom"/>
            <w:hideMark/>
          </w:tcPr>
          <w:p w14:paraId="3AAB1508"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31,9</w:t>
            </w:r>
          </w:p>
        </w:tc>
        <w:tc>
          <w:tcPr>
            <w:tcW w:w="1033" w:type="dxa"/>
            <w:tcBorders>
              <w:top w:val="nil"/>
              <w:left w:val="nil"/>
              <w:bottom w:val="nil"/>
              <w:right w:val="nil"/>
            </w:tcBorders>
            <w:shd w:val="clear" w:color="auto" w:fill="auto"/>
            <w:noWrap/>
            <w:vAlign w:val="bottom"/>
            <w:hideMark/>
          </w:tcPr>
          <w:p w14:paraId="5052AD25"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38,2</w:t>
            </w:r>
          </w:p>
        </w:tc>
        <w:tc>
          <w:tcPr>
            <w:tcW w:w="1035" w:type="dxa"/>
            <w:tcBorders>
              <w:top w:val="nil"/>
              <w:left w:val="nil"/>
              <w:bottom w:val="nil"/>
              <w:right w:val="nil"/>
            </w:tcBorders>
            <w:shd w:val="clear" w:color="auto" w:fill="auto"/>
            <w:noWrap/>
            <w:vAlign w:val="bottom"/>
            <w:hideMark/>
          </w:tcPr>
          <w:p w14:paraId="0EC94B19"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58,3</w:t>
            </w:r>
          </w:p>
        </w:tc>
        <w:tc>
          <w:tcPr>
            <w:tcW w:w="1035" w:type="dxa"/>
            <w:tcBorders>
              <w:top w:val="nil"/>
              <w:left w:val="nil"/>
              <w:bottom w:val="nil"/>
              <w:right w:val="nil"/>
            </w:tcBorders>
            <w:shd w:val="clear" w:color="auto" w:fill="auto"/>
            <w:noWrap/>
            <w:vAlign w:val="bottom"/>
            <w:hideMark/>
          </w:tcPr>
          <w:p w14:paraId="5B52ABB6"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75,9</w:t>
            </w:r>
          </w:p>
        </w:tc>
      </w:tr>
      <w:tr w:rsidR="0067435D" w:rsidRPr="00B33488" w14:paraId="2C3D2F23" w14:textId="77777777" w:rsidTr="00B4306D">
        <w:trPr>
          <w:trHeight w:val="798"/>
        </w:trPr>
        <w:tc>
          <w:tcPr>
            <w:tcW w:w="4962" w:type="dxa"/>
            <w:tcBorders>
              <w:top w:val="nil"/>
              <w:left w:val="nil"/>
              <w:bottom w:val="nil"/>
              <w:right w:val="nil"/>
            </w:tcBorders>
            <w:shd w:val="clear" w:color="auto" w:fill="auto"/>
            <w:vAlign w:val="bottom"/>
            <w:hideMark/>
          </w:tcPr>
          <w:p w14:paraId="421545AE"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 Разходи за пенсии на военнослужещите (по данни на НОИ), намалени с отчисленията за военнослужещи към пенсионните фондове (по данни на МО)</w:t>
            </w:r>
          </w:p>
        </w:tc>
        <w:tc>
          <w:tcPr>
            <w:tcW w:w="1211" w:type="dxa"/>
            <w:tcBorders>
              <w:top w:val="nil"/>
              <w:left w:val="nil"/>
              <w:bottom w:val="nil"/>
              <w:right w:val="nil"/>
            </w:tcBorders>
            <w:shd w:val="clear" w:color="auto" w:fill="auto"/>
            <w:noWrap/>
            <w:vAlign w:val="bottom"/>
            <w:hideMark/>
          </w:tcPr>
          <w:p w14:paraId="451EFB94"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10,7</w:t>
            </w:r>
          </w:p>
        </w:tc>
        <w:tc>
          <w:tcPr>
            <w:tcW w:w="1033" w:type="dxa"/>
            <w:tcBorders>
              <w:top w:val="nil"/>
              <w:left w:val="nil"/>
              <w:bottom w:val="nil"/>
              <w:right w:val="nil"/>
            </w:tcBorders>
            <w:shd w:val="clear" w:color="auto" w:fill="auto"/>
            <w:noWrap/>
            <w:vAlign w:val="bottom"/>
            <w:hideMark/>
          </w:tcPr>
          <w:p w14:paraId="50A62EA9"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12,0</w:t>
            </w:r>
          </w:p>
        </w:tc>
        <w:tc>
          <w:tcPr>
            <w:tcW w:w="1035" w:type="dxa"/>
            <w:tcBorders>
              <w:top w:val="nil"/>
              <w:left w:val="nil"/>
              <w:bottom w:val="nil"/>
              <w:right w:val="nil"/>
            </w:tcBorders>
            <w:shd w:val="clear" w:color="auto" w:fill="auto"/>
            <w:noWrap/>
            <w:vAlign w:val="bottom"/>
            <w:hideMark/>
          </w:tcPr>
          <w:p w14:paraId="1258F7B1"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33,7</w:t>
            </w:r>
          </w:p>
        </w:tc>
        <w:tc>
          <w:tcPr>
            <w:tcW w:w="1035" w:type="dxa"/>
            <w:tcBorders>
              <w:top w:val="nil"/>
              <w:left w:val="nil"/>
              <w:bottom w:val="nil"/>
              <w:right w:val="nil"/>
            </w:tcBorders>
            <w:shd w:val="clear" w:color="auto" w:fill="auto"/>
            <w:noWrap/>
            <w:vAlign w:val="bottom"/>
            <w:hideMark/>
          </w:tcPr>
          <w:p w14:paraId="7A230329" w14:textId="77777777" w:rsidR="0067435D" w:rsidRPr="00DA7F8C" w:rsidRDefault="0067435D" w:rsidP="00B4306D">
            <w:pPr>
              <w:spacing w:after="0"/>
              <w:jc w:val="right"/>
              <w:rPr>
                <w:rFonts w:eastAsia="Times New Roman" w:cs="Times New Roman"/>
                <w:sz w:val="20"/>
                <w:szCs w:val="20"/>
                <w:lang w:eastAsia="en-US"/>
              </w:rPr>
            </w:pPr>
            <w:r>
              <w:rPr>
                <w:rFonts w:eastAsia="Times New Roman" w:cs="Times New Roman"/>
                <w:sz w:val="20"/>
                <w:szCs w:val="20"/>
                <w:lang w:eastAsia="en-US"/>
              </w:rPr>
              <w:t>51,1</w:t>
            </w:r>
          </w:p>
        </w:tc>
      </w:tr>
      <w:tr w:rsidR="0067435D" w:rsidRPr="00B33488" w14:paraId="4765E1C7" w14:textId="77777777" w:rsidTr="00B4306D">
        <w:trPr>
          <w:trHeight w:val="580"/>
        </w:trPr>
        <w:tc>
          <w:tcPr>
            <w:tcW w:w="4962" w:type="dxa"/>
            <w:tcBorders>
              <w:top w:val="nil"/>
              <w:left w:val="nil"/>
              <w:bottom w:val="nil"/>
              <w:right w:val="nil"/>
            </w:tcBorders>
            <w:shd w:val="clear" w:color="auto" w:fill="auto"/>
            <w:vAlign w:val="bottom"/>
            <w:hideMark/>
          </w:tcPr>
          <w:p w14:paraId="42461347"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 xml:space="preserve">- Разходи за военни съдилища и военни прокуратури (по данни на ВСС) </w:t>
            </w:r>
          </w:p>
        </w:tc>
        <w:tc>
          <w:tcPr>
            <w:tcW w:w="1211" w:type="dxa"/>
            <w:tcBorders>
              <w:top w:val="nil"/>
              <w:left w:val="nil"/>
              <w:bottom w:val="nil"/>
              <w:right w:val="nil"/>
            </w:tcBorders>
            <w:shd w:val="clear" w:color="auto" w:fill="auto"/>
            <w:noWrap/>
            <w:vAlign w:val="bottom"/>
            <w:hideMark/>
          </w:tcPr>
          <w:p w14:paraId="155E622A"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10,9</w:t>
            </w:r>
          </w:p>
        </w:tc>
        <w:tc>
          <w:tcPr>
            <w:tcW w:w="1033" w:type="dxa"/>
            <w:tcBorders>
              <w:top w:val="nil"/>
              <w:left w:val="nil"/>
              <w:bottom w:val="nil"/>
              <w:right w:val="nil"/>
            </w:tcBorders>
            <w:shd w:val="clear" w:color="auto" w:fill="auto"/>
            <w:noWrap/>
            <w:vAlign w:val="bottom"/>
            <w:hideMark/>
          </w:tcPr>
          <w:p w14:paraId="60E890CA" w14:textId="77777777" w:rsidR="0067435D" w:rsidRPr="00DA7F8C" w:rsidRDefault="0067435D" w:rsidP="00B4306D">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12,</w:t>
            </w:r>
            <w:r>
              <w:rPr>
                <w:rFonts w:eastAsia="Times New Roman" w:cs="Times New Roman"/>
                <w:sz w:val="20"/>
                <w:szCs w:val="20"/>
                <w:lang w:eastAsia="en-US"/>
              </w:rPr>
              <w:t>2</w:t>
            </w:r>
          </w:p>
        </w:tc>
        <w:tc>
          <w:tcPr>
            <w:tcW w:w="1035" w:type="dxa"/>
            <w:tcBorders>
              <w:top w:val="nil"/>
              <w:left w:val="nil"/>
              <w:bottom w:val="nil"/>
              <w:right w:val="nil"/>
            </w:tcBorders>
            <w:shd w:val="clear" w:color="auto" w:fill="auto"/>
            <w:noWrap/>
            <w:vAlign w:val="bottom"/>
            <w:hideMark/>
          </w:tcPr>
          <w:p w14:paraId="550783AD" w14:textId="77777777" w:rsidR="0067435D" w:rsidRPr="00DA7F8C" w:rsidRDefault="0067435D" w:rsidP="00B4306D">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12,</w:t>
            </w:r>
            <w:r>
              <w:rPr>
                <w:rFonts w:eastAsia="Times New Roman" w:cs="Times New Roman"/>
                <w:sz w:val="20"/>
                <w:szCs w:val="20"/>
                <w:lang w:eastAsia="en-US"/>
              </w:rPr>
              <w:t>4</w:t>
            </w:r>
          </w:p>
        </w:tc>
        <w:tc>
          <w:tcPr>
            <w:tcW w:w="1035" w:type="dxa"/>
            <w:tcBorders>
              <w:top w:val="nil"/>
              <w:left w:val="nil"/>
              <w:bottom w:val="nil"/>
              <w:right w:val="nil"/>
            </w:tcBorders>
            <w:shd w:val="clear" w:color="auto" w:fill="auto"/>
            <w:noWrap/>
            <w:vAlign w:val="bottom"/>
            <w:hideMark/>
          </w:tcPr>
          <w:p w14:paraId="1C536C13" w14:textId="77777777" w:rsidR="0067435D" w:rsidRPr="00DA7F8C" w:rsidRDefault="0067435D" w:rsidP="00B4306D">
            <w:pPr>
              <w:spacing w:after="0"/>
              <w:jc w:val="right"/>
              <w:rPr>
                <w:rFonts w:eastAsia="Times New Roman" w:cs="Times New Roman"/>
                <w:sz w:val="20"/>
                <w:szCs w:val="20"/>
                <w:lang w:eastAsia="en-US"/>
              </w:rPr>
            </w:pPr>
            <w:r w:rsidRPr="00B33488">
              <w:rPr>
                <w:rFonts w:eastAsia="Times New Roman" w:cs="Times New Roman"/>
                <w:sz w:val="20"/>
                <w:szCs w:val="20"/>
                <w:lang w:val="en-US" w:eastAsia="en-US"/>
              </w:rPr>
              <w:t>13,</w:t>
            </w:r>
            <w:r>
              <w:rPr>
                <w:rFonts w:eastAsia="Times New Roman" w:cs="Times New Roman"/>
                <w:sz w:val="20"/>
                <w:szCs w:val="20"/>
                <w:lang w:eastAsia="en-US"/>
              </w:rPr>
              <w:t>3</w:t>
            </w:r>
          </w:p>
        </w:tc>
      </w:tr>
      <w:tr w:rsidR="0067435D" w:rsidRPr="00B33488" w14:paraId="28B8481F" w14:textId="77777777" w:rsidTr="00B4306D">
        <w:trPr>
          <w:trHeight w:val="1255"/>
        </w:trPr>
        <w:tc>
          <w:tcPr>
            <w:tcW w:w="4962" w:type="dxa"/>
            <w:tcBorders>
              <w:top w:val="nil"/>
              <w:left w:val="nil"/>
              <w:bottom w:val="nil"/>
              <w:right w:val="nil"/>
            </w:tcBorders>
            <w:shd w:val="clear" w:color="auto" w:fill="auto"/>
            <w:vAlign w:val="bottom"/>
            <w:hideMark/>
          </w:tcPr>
          <w:p w14:paraId="2A937712"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 Разходите за издръжка на Постоянната делегация на Република България в НАТО и вноската на Република България към гражданския бюджет на НАТО и към Европейския механизъм за подкрепа на мира, изплащани от бюджета на МВнР</w:t>
            </w:r>
          </w:p>
        </w:tc>
        <w:tc>
          <w:tcPr>
            <w:tcW w:w="1211" w:type="dxa"/>
            <w:tcBorders>
              <w:top w:val="nil"/>
              <w:left w:val="nil"/>
              <w:bottom w:val="nil"/>
              <w:right w:val="nil"/>
            </w:tcBorders>
            <w:shd w:val="clear" w:color="auto" w:fill="auto"/>
            <w:noWrap/>
            <w:vAlign w:val="bottom"/>
            <w:hideMark/>
          </w:tcPr>
          <w:p w14:paraId="764BB6F7"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5,6</w:t>
            </w:r>
          </w:p>
        </w:tc>
        <w:tc>
          <w:tcPr>
            <w:tcW w:w="1033" w:type="dxa"/>
            <w:tcBorders>
              <w:top w:val="nil"/>
              <w:left w:val="nil"/>
              <w:bottom w:val="nil"/>
              <w:right w:val="nil"/>
            </w:tcBorders>
            <w:shd w:val="clear" w:color="auto" w:fill="auto"/>
            <w:noWrap/>
            <w:vAlign w:val="bottom"/>
            <w:hideMark/>
          </w:tcPr>
          <w:p w14:paraId="51B7223B"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7,3</w:t>
            </w:r>
          </w:p>
        </w:tc>
        <w:tc>
          <w:tcPr>
            <w:tcW w:w="1035" w:type="dxa"/>
            <w:tcBorders>
              <w:top w:val="nil"/>
              <w:left w:val="nil"/>
              <w:bottom w:val="nil"/>
              <w:right w:val="nil"/>
            </w:tcBorders>
            <w:shd w:val="clear" w:color="auto" w:fill="auto"/>
            <w:noWrap/>
            <w:vAlign w:val="bottom"/>
            <w:hideMark/>
          </w:tcPr>
          <w:p w14:paraId="79A91F0D"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7,9</w:t>
            </w:r>
          </w:p>
        </w:tc>
        <w:tc>
          <w:tcPr>
            <w:tcW w:w="1035" w:type="dxa"/>
            <w:tcBorders>
              <w:top w:val="nil"/>
              <w:left w:val="nil"/>
              <w:bottom w:val="nil"/>
              <w:right w:val="nil"/>
            </w:tcBorders>
            <w:shd w:val="clear" w:color="auto" w:fill="auto"/>
            <w:noWrap/>
            <w:vAlign w:val="bottom"/>
            <w:hideMark/>
          </w:tcPr>
          <w:p w14:paraId="68192BF5"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8,4</w:t>
            </w:r>
          </w:p>
        </w:tc>
      </w:tr>
      <w:tr w:rsidR="0067435D" w:rsidRPr="00B33488" w14:paraId="0E2A6663" w14:textId="77777777" w:rsidTr="00B4306D">
        <w:trPr>
          <w:trHeight w:val="994"/>
        </w:trPr>
        <w:tc>
          <w:tcPr>
            <w:tcW w:w="4962" w:type="dxa"/>
            <w:tcBorders>
              <w:top w:val="nil"/>
              <w:left w:val="nil"/>
              <w:bottom w:val="nil"/>
              <w:right w:val="nil"/>
            </w:tcBorders>
            <w:shd w:val="clear" w:color="auto" w:fill="auto"/>
            <w:vAlign w:val="bottom"/>
            <w:hideMark/>
          </w:tcPr>
          <w:p w14:paraId="40B3993D"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 Вноска на Република България към фонда на НАТО за иновации и към Ускорител в областта на иновациите в отбраната в северния Атлантик DIANA, изплащани от бюджета на МИР</w:t>
            </w:r>
          </w:p>
        </w:tc>
        <w:tc>
          <w:tcPr>
            <w:tcW w:w="1211" w:type="dxa"/>
            <w:tcBorders>
              <w:top w:val="nil"/>
              <w:left w:val="nil"/>
              <w:bottom w:val="nil"/>
              <w:right w:val="nil"/>
            </w:tcBorders>
            <w:shd w:val="clear" w:color="auto" w:fill="auto"/>
            <w:noWrap/>
            <w:vAlign w:val="bottom"/>
            <w:hideMark/>
          </w:tcPr>
          <w:p w14:paraId="450A9A0B"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3,0</w:t>
            </w:r>
          </w:p>
        </w:tc>
        <w:tc>
          <w:tcPr>
            <w:tcW w:w="1033" w:type="dxa"/>
            <w:tcBorders>
              <w:top w:val="nil"/>
              <w:left w:val="nil"/>
              <w:bottom w:val="nil"/>
              <w:right w:val="nil"/>
            </w:tcBorders>
            <w:shd w:val="clear" w:color="auto" w:fill="auto"/>
            <w:noWrap/>
            <w:vAlign w:val="bottom"/>
            <w:hideMark/>
          </w:tcPr>
          <w:p w14:paraId="42C46C84"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w:t>
            </w:r>
          </w:p>
        </w:tc>
        <w:tc>
          <w:tcPr>
            <w:tcW w:w="1035" w:type="dxa"/>
            <w:tcBorders>
              <w:top w:val="nil"/>
              <w:left w:val="nil"/>
              <w:bottom w:val="nil"/>
              <w:right w:val="nil"/>
            </w:tcBorders>
            <w:shd w:val="clear" w:color="auto" w:fill="auto"/>
            <w:noWrap/>
            <w:vAlign w:val="bottom"/>
            <w:hideMark/>
          </w:tcPr>
          <w:p w14:paraId="0483D99A"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w:t>
            </w:r>
          </w:p>
        </w:tc>
        <w:tc>
          <w:tcPr>
            <w:tcW w:w="1035" w:type="dxa"/>
            <w:tcBorders>
              <w:top w:val="nil"/>
              <w:left w:val="nil"/>
              <w:bottom w:val="nil"/>
              <w:right w:val="nil"/>
            </w:tcBorders>
            <w:shd w:val="clear" w:color="auto" w:fill="auto"/>
            <w:noWrap/>
            <w:vAlign w:val="bottom"/>
            <w:hideMark/>
          </w:tcPr>
          <w:p w14:paraId="513F8DA9"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3,1</w:t>
            </w:r>
          </w:p>
        </w:tc>
      </w:tr>
      <w:tr w:rsidR="0067435D" w:rsidRPr="00B33488" w14:paraId="645D4469" w14:textId="77777777" w:rsidTr="00B4306D">
        <w:trPr>
          <w:trHeight w:val="965"/>
        </w:trPr>
        <w:tc>
          <w:tcPr>
            <w:tcW w:w="4962" w:type="dxa"/>
            <w:tcBorders>
              <w:top w:val="nil"/>
              <w:left w:val="nil"/>
              <w:bottom w:val="nil"/>
              <w:right w:val="nil"/>
            </w:tcBorders>
            <w:shd w:val="clear" w:color="auto" w:fill="auto"/>
            <w:vAlign w:val="bottom"/>
            <w:hideMark/>
          </w:tcPr>
          <w:p w14:paraId="0BA69D37" w14:textId="77777777" w:rsidR="0067435D" w:rsidRPr="00A02D45" w:rsidRDefault="0067435D" w:rsidP="00B4306D">
            <w:pPr>
              <w:spacing w:after="0"/>
              <w:jc w:val="left"/>
              <w:rPr>
                <w:rFonts w:eastAsia="Times New Roman" w:cs="Times New Roman"/>
                <w:sz w:val="20"/>
                <w:szCs w:val="20"/>
                <w:lang w:eastAsia="en-US"/>
              </w:rPr>
            </w:pPr>
            <w:r w:rsidRPr="00A02D45">
              <w:rPr>
                <w:rFonts w:eastAsia="Times New Roman" w:cs="Times New Roman"/>
                <w:sz w:val="20"/>
                <w:szCs w:val="20"/>
                <w:lang w:eastAsia="en-US"/>
              </w:rPr>
              <w:t>- Разходи за изграждане на базови национални способности за поддръжка на изтребители F-16 блок 70, изплащани от бюджета на МИИ за изпълнение на публична политика, възложена на „</w:t>
            </w:r>
            <w:proofErr w:type="spellStart"/>
            <w:r w:rsidRPr="00A02D45">
              <w:rPr>
                <w:rFonts w:eastAsia="Times New Roman" w:cs="Times New Roman"/>
                <w:sz w:val="20"/>
                <w:szCs w:val="20"/>
                <w:lang w:eastAsia="en-US"/>
              </w:rPr>
              <w:t>Авионамс</w:t>
            </w:r>
            <w:proofErr w:type="spellEnd"/>
            <w:r w:rsidRPr="00A02D45">
              <w:rPr>
                <w:rFonts w:eastAsia="Times New Roman" w:cs="Times New Roman"/>
                <w:sz w:val="20"/>
                <w:szCs w:val="20"/>
                <w:lang w:eastAsia="en-US"/>
              </w:rPr>
              <w:t xml:space="preserve">“ АД </w:t>
            </w:r>
          </w:p>
        </w:tc>
        <w:tc>
          <w:tcPr>
            <w:tcW w:w="1211" w:type="dxa"/>
            <w:tcBorders>
              <w:top w:val="nil"/>
              <w:left w:val="nil"/>
              <w:bottom w:val="nil"/>
              <w:right w:val="nil"/>
            </w:tcBorders>
            <w:shd w:val="clear" w:color="auto" w:fill="auto"/>
            <w:noWrap/>
            <w:vAlign w:val="bottom"/>
            <w:hideMark/>
          </w:tcPr>
          <w:p w14:paraId="11E9F1C5"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1,8</w:t>
            </w:r>
          </w:p>
        </w:tc>
        <w:tc>
          <w:tcPr>
            <w:tcW w:w="1033" w:type="dxa"/>
            <w:tcBorders>
              <w:top w:val="nil"/>
              <w:left w:val="nil"/>
              <w:bottom w:val="nil"/>
              <w:right w:val="nil"/>
            </w:tcBorders>
            <w:shd w:val="clear" w:color="auto" w:fill="auto"/>
            <w:noWrap/>
            <w:vAlign w:val="bottom"/>
            <w:hideMark/>
          </w:tcPr>
          <w:p w14:paraId="56ECBB2D"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3,6</w:t>
            </w:r>
          </w:p>
        </w:tc>
        <w:tc>
          <w:tcPr>
            <w:tcW w:w="1035" w:type="dxa"/>
            <w:tcBorders>
              <w:top w:val="nil"/>
              <w:left w:val="nil"/>
              <w:bottom w:val="nil"/>
              <w:right w:val="nil"/>
            </w:tcBorders>
            <w:shd w:val="clear" w:color="auto" w:fill="auto"/>
            <w:noWrap/>
            <w:vAlign w:val="bottom"/>
            <w:hideMark/>
          </w:tcPr>
          <w:p w14:paraId="52D5986B" w14:textId="77777777" w:rsidR="0067435D" w:rsidRPr="00B33488" w:rsidRDefault="0067435D" w:rsidP="00B4306D">
            <w:pPr>
              <w:spacing w:after="0"/>
              <w:jc w:val="right"/>
              <w:rPr>
                <w:rFonts w:eastAsia="Times New Roman" w:cs="Times New Roman"/>
                <w:sz w:val="20"/>
                <w:szCs w:val="20"/>
                <w:lang w:val="en-US" w:eastAsia="en-US"/>
              </w:rPr>
            </w:pPr>
            <w:r w:rsidRPr="00B33488">
              <w:rPr>
                <w:rFonts w:eastAsia="Times New Roman" w:cs="Times New Roman"/>
                <w:sz w:val="20"/>
                <w:szCs w:val="20"/>
                <w:lang w:val="en-US" w:eastAsia="en-US"/>
              </w:rPr>
              <w:t>1,2</w:t>
            </w:r>
          </w:p>
        </w:tc>
        <w:tc>
          <w:tcPr>
            <w:tcW w:w="1035" w:type="dxa"/>
            <w:tcBorders>
              <w:top w:val="nil"/>
              <w:left w:val="nil"/>
              <w:bottom w:val="nil"/>
              <w:right w:val="nil"/>
            </w:tcBorders>
            <w:shd w:val="clear" w:color="auto" w:fill="auto"/>
            <w:noWrap/>
            <w:vAlign w:val="bottom"/>
            <w:hideMark/>
          </w:tcPr>
          <w:p w14:paraId="6745305D" w14:textId="77777777" w:rsidR="0067435D" w:rsidRPr="00B33488" w:rsidRDefault="0067435D" w:rsidP="00B4306D">
            <w:pPr>
              <w:spacing w:after="0"/>
              <w:jc w:val="right"/>
              <w:rPr>
                <w:rFonts w:eastAsia="Times New Roman" w:cs="Times New Roman"/>
                <w:sz w:val="20"/>
                <w:szCs w:val="20"/>
                <w:lang w:val="en-US" w:eastAsia="en-US"/>
              </w:rPr>
            </w:pPr>
          </w:p>
        </w:tc>
      </w:tr>
      <w:tr w:rsidR="0067435D" w:rsidRPr="00B33488" w14:paraId="638E9EFB" w14:textId="77777777" w:rsidTr="00B4306D">
        <w:trPr>
          <w:trHeight w:val="603"/>
        </w:trPr>
        <w:tc>
          <w:tcPr>
            <w:tcW w:w="4962" w:type="dxa"/>
            <w:tcBorders>
              <w:top w:val="nil"/>
              <w:left w:val="nil"/>
              <w:bottom w:val="nil"/>
              <w:right w:val="nil"/>
            </w:tcBorders>
            <w:shd w:val="clear" w:color="000000" w:fill="F2F2F2"/>
            <w:vAlign w:val="bottom"/>
            <w:hideMark/>
          </w:tcPr>
          <w:p w14:paraId="69166E2C" w14:textId="77777777" w:rsidR="0067435D" w:rsidRPr="00A02D45" w:rsidRDefault="0067435D" w:rsidP="00B4306D">
            <w:pPr>
              <w:spacing w:after="0"/>
              <w:jc w:val="left"/>
              <w:rPr>
                <w:rFonts w:eastAsia="Times New Roman" w:cs="Times New Roman"/>
                <w:b/>
                <w:bCs/>
                <w:sz w:val="20"/>
                <w:szCs w:val="20"/>
                <w:lang w:eastAsia="en-US"/>
              </w:rPr>
            </w:pPr>
            <w:r w:rsidRPr="00A02D45">
              <w:rPr>
                <w:rFonts w:eastAsia="Times New Roman" w:cs="Times New Roman"/>
                <w:b/>
                <w:bCs/>
                <w:sz w:val="20"/>
                <w:szCs w:val="20"/>
                <w:lang w:eastAsia="en-US"/>
              </w:rPr>
              <w:t>Разходи за отбрана, съгласно класификацията на НАТО като % от БВП</w:t>
            </w:r>
          </w:p>
        </w:tc>
        <w:tc>
          <w:tcPr>
            <w:tcW w:w="1211" w:type="dxa"/>
            <w:tcBorders>
              <w:top w:val="nil"/>
              <w:left w:val="nil"/>
              <w:bottom w:val="nil"/>
              <w:right w:val="nil"/>
            </w:tcBorders>
            <w:shd w:val="clear" w:color="000000" w:fill="F2F2F2"/>
            <w:noWrap/>
            <w:vAlign w:val="bottom"/>
            <w:hideMark/>
          </w:tcPr>
          <w:p w14:paraId="1C8D7BC2" w14:textId="77777777" w:rsidR="0067435D" w:rsidRPr="00B33488" w:rsidRDefault="0067435D" w:rsidP="00B4306D">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2,09%</w:t>
            </w:r>
          </w:p>
        </w:tc>
        <w:tc>
          <w:tcPr>
            <w:tcW w:w="1033" w:type="dxa"/>
            <w:tcBorders>
              <w:top w:val="nil"/>
              <w:left w:val="nil"/>
              <w:bottom w:val="nil"/>
              <w:right w:val="nil"/>
            </w:tcBorders>
            <w:shd w:val="clear" w:color="000000" w:fill="F2F2F2"/>
            <w:noWrap/>
            <w:vAlign w:val="bottom"/>
            <w:hideMark/>
          </w:tcPr>
          <w:p w14:paraId="7AD178EC" w14:textId="77777777" w:rsidR="0067435D" w:rsidRPr="00B33488" w:rsidRDefault="0067435D" w:rsidP="00B4306D">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w:t>
            </w:r>
            <w:r>
              <w:rPr>
                <w:rFonts w:eastAsia="Times New Roman" w:cs="Times New Roman"/>
                <w:b/>
                <w:bCs/>
                <w:sz w:val="20"/>
                <w:szCs w:val="20"/>
                <w:lang w:eastAsia="en-US"/>
              </w:rPr>
              <w:t>12</w:t>
            </w:r>
            <w:r w:rsidRPr="00B33488">
              <w:rPr>
                <w:rFonts w:eastAsia="Times New Roman" w:cs="Times New Roman"/>
                <w:b/>
                <w:bCs/>
                <w:sz w:val="20"/>
                <w:szCs w:val="20"/>
                <w:lang w:val="en-US" w:eastAsia="en-US"/>
              </w:rPr>
              <w:t>%</w:t>
            </w:r>
          </w:p>
        </w:tc>
        <w:tc>
          <w:tcPr>
            <w:tcW w:w="1035" w:type="dxa"/>
            <w:tcBorders>
              <w:top w:val="nil"/>
              <w:left w:val="nil"/>
              <w:bottom w:val="nil"/>
              <w:right w:val="nil"/>
            </w:tcBorders>
            <w:shd w:val="clear" w:color="000000" w:fill="F2F2F2"/>
            <w:noWrap/>
            <w:vAlign w:val="bottom"/>
            <w:hideMark/>
          </w:tcPr>
          <w:p w14:paraId="5118DF75" w14:textId="77777777" w:rsidR="0067435D" w:rsidRPr="00B33488" w:rsidRDefault="0067435D" w:rsidP="00B4306D">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2,3</w:t>
            </w:r>
            <w:r>
              <w:rPr>
                <w:rFonts w:eastAsia="Times New Roman" w:cs="Times New Roman"/>
                <w:b/>
                <w:bCs/>
                <w:sz w:val="20"/>
                <w:szCs w:val="20"/>
                <w:lang w:eastAsia="en-US"/>
              </w:rPr>
              <w:t>3</w:t>
            </w:r>
            <w:r w:rsidRPr="00B33488">
              <w:rPr>
                <w:rFonts w:eastAsia="Times New Roman" w:cs="Times New Roman"/>
                <w:b/>
                <w:bCs/>
                <w:sz w:val="20"/>
                <w:szCs w:val="20"/>
                <w:lang w:val="en-US" w:eastAsia="en-US"/>
              </w:rPr>
              <w:t>%</w:t>
            </w:r>
          </w:p>
        </w:tc>
        <w:tc>
          <w:tcPr>
            <w:tcW w:w="1035" w:type="dxa"/>
            <w:tcBorders>
              <w:top w:val="nil"/>
              <w:left w:val="nil"/>
              <w:bottom w:val="nil"/>
              <w:right w:val="nil"/>
            </w:tcBorders>
            <w:shd w:val="clear" w:color="000000" w:fill="F2F2F2"/>
            <w:noWrap/>
            <w:vAlign w:val="bottom"/>
            <w:hideMark/>
          </w:tcPr>
          <w:p w14:paraId="424170BB" w14:textId="77777777" w:rsidR="0067435D" w:rsidRPr="00B33488" w:rsidRDefault="0067435D" w:rsidP="00B4306D">
            <w:pPr>
              <w:spacing w:after="0"/>
              <w:jc w:val="right"/>
              <w:rPr>
                <w:rFonts w:eastAsia="Times New Roman" w:cs="Times New Roman"/>
                <w:b/>
                <w:bCs/>
                <w:sz w:val="20"/>
                <w:szCs w:val="20"/>
                <w:lang w:val="en-US" w:eastAsia="en-US"/>
              </w:rPr>
            </w:pPr>
            <w:r w:rsidRPr="00B33488">
              <w:rPr>
                <w:rFonts w:eastAsia="Times New Roman" w:cs="Times New Roman"/>
                <w:b/>
                <w:bCs/>
                <w:sz w:val="20"/>
                <w:szCs w:val="20"/>
                <w:lang w:val="en-US" w:eastAsia="en-US"/>
              </w:rPr>
              <w:t>2,</w:t>
            </w:r>
            <w:r>
              <w:rPr>
                <w:rFonts w:eastAsia="Times New Roman" w:cs="Times New Roman"/>
                <w:b/>
                <w:bCs/>
                <w:sz w:val="20"/>
                <w:szCs w:val="20"/>
                <w:lang w:eastAsia="en-US"/>
              </w:rPr>
              <w:t>41</w:t>
            </w:r>
            <w:r w:rsidRPr="00B33488">
              <w:rPr>
                <w:rFonts w:eastAsia="Times New Roman" w:cs="Times New Roman"/>
                <w:b/>
                <w:bCs/>
                <w:sz w:val="20"/>
                <w:szCs w:val="20"/>
                <w:lang w:val="en-US" w:eastAsia="en-US"/>
              </w:rPr>
              <w:t>%</w:t>
            </w:r>
          </w:p>
        </w:tc>
      </w:tr>
      <w:tr w:rsidR="0067435D" w:rsidRPr="00B33488" w14:paraId="4CE25203" w14:textId="77777777" w:rsidTr="00B4306D">
        <w:trPr>
          <w:trHeight w:val="603"/>
        </w:trPr>
        <w:tc>
          <w:tcPr>
            <w:tcW w:w="4962" w:type="dxa"/>
            <w:tcBorders>
              <w:top w:val="nil"/>
              <w:left w:val="nil"/>
              <w:bottom w:val="single" w:sz="4" w:space="0" w:color="auto"/>
              <w:right w:val="nil"/>
            </w:tcBorders>
            <w:shd w:val="clear" w:color="auto" w:fill="auto"/>
            <w:hideMark/>
          </w:tcPr>
          <w:p w14:paraId="7175F658" w14:textId="77777777" w:rsidR="0067435D" w:rsidRPr="00A02D45" w:rsidRDefault="0067435D" w:rsidP="00B4306D">
            <w:pPr>
              <w:spacing w:after="0"/>
              <w:jc w:val="left"/>
              <w:rPr>
                <w:rFonts w:eastAsia="Times New Roman" w:cs="Times New Roman"/>
                <w:b/>
                <w:bCs/>
                <w:i/>
                <w:iCs/>
                <w:sz w:val="20"/>
                <w:szCs w:val="20"/>
                <w:lang w:eastAsia="en-US"/>
              </w:rPr>
            </w:pPr>
            <w:r w:rsidRPr="00A02D45">
              <w:rPr>
                <w:rFonts w:eastAsia="Times New Roman" w:cs="Times New Roman"/>
                <w:b/>
                <w:bCs/>
                <w:i/>
                <w:iCs/>
                <w:sz w:val="20"/>
                <w:szCs w:val="20"/>
                <w:lang w:eastAsia="en-US"/>
              </w:rPr>
              <w:t>Разходи за отбрана по Националния план, приет с РМС № 3/04.01.2018 г., като % от БВП</w:t>
            </w:r>
          </w:p>
        </w:tc>
        <w:tc>
          <w:tcPr>
            <w:tcW w:w="1211" w:type="dxa"/>
            <w:tcBorders>
              <w:top w:val="nil"/>
              <w:left w:val="nil"/>
              <w:bottom w:val="single" w:sz="4" w:space="0" w:color="auto"/>
              <w:right w:val="nil"/>
            </w:tcBorders>
            <w:shd w:val="clear" w:color="auto" w:fill="auto"/>
            <w:noWrap/>
            <w:vAlign w:val="bottom"/>
            <w:hideMark/>
          </w:tcPr>
          <w:p w14:paraId="55789523" w14:textId="77777777" w:rsidR="0067435D" w:rsidRPr="00B33488" w:rsidRDefault="0067435D" w:rsidP="00B4306D">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c>
          <w:tcPr>
            <w:tcW w:w="1033" w:type="dxa"/>
            <w:tcBorders>
              <w:top w:val="nil"/>
              <w:left w:val="nil"/>
              <w:bottom w:val="single" w:sz="4" w:space="0" w:color="auto"/>
              <w:right w:val="nil"/>
            </w:tcBorders>
            <w:shd w:val="clear" w:color="auto" w:fill="auto"/>
            <w:noWrap/>
            <w:vAlign w:val="bottom"/>
            <w:hideMark/>
          </w:tcPr>
          <w:p w14:paraId="0DFE53A2" w14:textId="77777777" w:rsidR="0067435D" w:rsidRPr="00B33488" w:rsidRDefault="0067435D" w:rsidP="00B4306D">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c>
          <w:tcPr>
            <w:tcW w:w="1035" w:type="dxa"/>
            <w:tcBorders>
              <w:top w:val="nil"/>
              <w:left w:val="nil"/>
              <w:bottom w:val="single" w:sz="4" w:space="0" w:color="auto"/>
              <w:right w:val="nil"/>
            </w:tcBorders>
            <w:shd w:val="clear" w:color="auto" w:fill="auto"/>
            <w:noWrap/>
            <w:vAlign w:val="bottom"/>
            <w:hideMark/>
          </w:tcPr>
          <w:p w14:paraId="70DB2140" w14:textId="77777777" w:rsidR="0067435D" w:rsidRPr="00B33488" w:rsidRDefault="0067435D" w:rsidP="00B4306D">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c>
          <w:tcPr>
            <w:tcW w:w="1035" w:type="dxa"/>
            <w:tcBorders>
              <w:top w:val="nil"/>
              <w:left w:val="nil"/>
              <w:bottom w:val="single" w:sz="4" w:space="0" w:color="auto"/>
              <w:right w:val="nil"/>
            </w:tcBorders>
            <w:shd w:val="clear" w:color="auto" w:fill="auto"/>
            <w:noWrap/>
            <w:vAlign w:val="bottom"/>
            <w:hideMark/>
          </w:tcPr>
          <w:p w14:paraId="21978552" w14:textId="77777777" w:rsidR="0067435D" w:rsidRPr="00B33488" w:rsidRDefault="0067435D" w:rsidP="00B4306D">
            <w:pPr>
              <w:spacing w:after="0"/>
              <w:jc w:val="right"/>
              <w:rPr>
                <w:rFonts w:eastAsia="Times New Roman" w:cs="Times New Roman"/>
                <w:b/>
                <w:bCs/>
                <w:i/>
                <w:iCs/>
                <w:sz w:val="20"/>
                <w:szCs w:val="20"/>
                <w:lang w:val="en-US" w:eastAsia="en-US"/>
              </w:rPr>
            </w:pPr>
            <w:r w:rsidRPr="00B33488">
              <w:rPr>
                <w:rFonts w:eastAsia="Times New Roman" w:cs="Times New Roman"/>
                <w:b/>
                <w:bCs/>
                <w:i/>
                <w:iCs/>
                <w:sz w:val="20"/>
                <w:szCs w:val="20"/>
                <w:lang w:val="en-US" w:eastAsia="en-US"/>
              </w:rPr>
              <w:t>2,00%</w:t>
            </w:r>
          </w:p>
        </w:tc>
      </w:tr>
    </w:tbl>
    <w:p w14:paraId="217111E9" w14:textId="77777777" w:rsidR="00CB00A2" w:rsidRPr="00EA6851" w:rsidRDefault="000E564D" w:rsidP="00F7698E">
      <w:pPr>
        <w:spacing w:before="120"/>
        <w:jc w:val="right"/>
        <w:rPr>
          <w:sz w:val="18"/>
          <w:szCs w:val="18"/>
        </w:rPr>
      </w:pPr>
      <w:r w:rsidRPr="00EA6851">
        <w:rPr>
          <w:sz w:val="18"/>
          <w:szCs w:val="18"/>
        </w:rPr>
        <w:t>Източник: МФ</w:t>
      </w:r>
    </w:p>
    <w:p w14:paraId="09C8E2CD" w14:textId="77777777" w:rsidR="0033580A" w:rsidRPr="00EA6851" w:rsidRDefault="0033580A" w:rsidP="00074767">
      <w:pPr>
        <w:pStyle w:val="Heading3"/>
        <w:ind w:left="0"/>
      </w:pPr>
      <w:r w:rsidRPr="00EA6851">
        <w:t>Политика в областта на вътрешния ред и сигурността</w:t>
      </w:r>
    </w:p>
    <w:p w14:paraId="7AB18D10" w14:textId="77777777" w:rsidR="0021173D" w:rsidRPr="0021173D" w:rsidRDefault="0021173D" w:rsidP="0021173D">
      <w:r w:rsidRPr="0021173D">
        <w:t>Политиката в областта на вътрешния ред и сигурността</w:t>
      </w:r>
      <w:r w:rsidRPr="0021173D">
        <w:rPr>
          <w:b/>
        </w:rPr>
        <w:t xml:space="preserve"> </w:t>
      </w:r>
      <w:r w:rsidRPr="0021173D">
        <w:t xml:space="preserve">се изпълнява от Министерството на вътрешните работи, Държавната агенция „Разузнаване“, Националната служба за охрана, Държавната агенция „Национална сигурност”, Държавната агенция „Технически операции” и Националното бюро за контрол на специалните разузнавателни средства. Дейността в тази област се реализира в следните основни направления: </w:t>
      </w:r>
    </w:p>
    <w:p w14:paraId="087DA0AB" w14:textId="77777777" w:rsidR="0021173D" w:rsidRPr="0021173D" w:rsidRDefault="0021173D" w:rsidP="0021173D">
      <w:pPr>
        <w:numPr>
          <w:ilvl w:val="0"/>
          <w:numId w:val="12"/>
        </w:numPr>
      </w:pPr>
      <w:r w:rsidRPr="0021173D">
        <w:t xml:space="preserve">Превенция и противодействие на конвенционалната престъпност, опазване на обществения ред, подобряване на контрола на движението по пътищата и ограничаване на пътнотранспортния травматизъм; </w:t>
      </w:r>
    </w:p>
    <w:p w14:paraId="56896B5B" w14:textId="77777777" w:rsidR="0021173D" w:rsidRPr="0021173D" w:rsidRDefault="0021173D" w:rsidP="0021173D">
      <w:pPr>
        <w:numPr>
          <w:ilvl w:val="0"/>
          <w:numId w:val="12"/>
        </w:numPr>
      </w:pPr>
      <w:r w:rsidRPr="0021173D">
        <w:lastRenderedPageBreak/>
        <w:t xml:space="preserve">Противодействие на организираната престъпност, с акцент върху киберпрестъпността, борбата с незаконния трафик и производство на наркотични вещества, и каналите за трафик на хора; </w:t>
      </w:r>
    </w:p>
    <w:p w14:paraId="70E8547A" w14:textId="77777777" w:rsidR="0021173D" w:rsidRPr="0021173D" w:rsidRDefault="0021173D" w:rsidP="0021173D">
      <w:pPr>
        <w:numPr>
          <w:ilvl w:val="0"/>
          <w:numId w:val="12"/>
        </w:numPr>
      </w:pPr>
      <w:r w:rsidRPr="0021173D">
        <w:t>Противодействие на престъпленията срещу данъчната, финансово-кредитната и осигурителната система, контрабандата и на незаконното разпространение и производство на акцизни стоки;</w:t>
      </w:r>
    </w:p>
    <w:p w14:paraId="1BFDC508" w14:textId="77777777" w:rsidR="0021173D" w:rsidRPr="0021173D" w:rsidRDefault="0021173D" w:rsidP="0021173D">
      <w:pPr>
        <w:numPr>
          <w:ilvl w:val="0"/>
          <w:numId w:val="12"/>
        </w:numPr>
      </w:pPr>
      <w:r w:rsidRPr="0021173D">
        <w:t xml:space="preserve">Интегрирано противодействие на незаконната миграция и ефективен граничен контрол на външните граници на Република България и Европейския съюз; </w:t>
      </w:r>
    </w:p>
    <w:p w14:paraId="717C8F5B" w14:textId="77777777" w:rsidR="0021173D" w:rsidRPr="0021173D" w:rsidRDefault="0021173D" w:rsidP="0021173D">
      <w:pPr>
        <w:numPr>
          <w:ilvl w:val="0"/>
          <w:numId w:val="12"/>
        </w:numPr>
      </w:pPr>
      <w:r w:rsidRPr="0021173D">
        <w:t xml:space="preserve">Развитие на възможностите за осигуряване на надеждна защита на населението и инфраструктурата при пожари, бедствия и други извънредни ситуации; </w:t>
      </w:r>
    </w:p>
    <w:p w14:paraId="529492E3" w14:textId="77777777" w:rsidR="0021173D" w:rsidRPr="0021173D" w:rsidRDefault="0021173D" w:rsidP="0021173D">
      <w:pPr>
        <w:numPr>
          <w:ilvl w:val="0"/>
          <w:numId w:val="12"/>
        </w:numPr>
      </w:pPr>
      <w:r w:rsidRPr="0021173D">
        <w:t xml:space="preserve">Осигуряване, разработване и прилагане на специални разузнавателни средства (СРС) и на специфични методи за охрана на живота, здравето и имуществото на гражданите, защита на правата и свободите на гражданите срещу незаконосъобразното използване на СРС и намирането на баланс между нуждата от използване на СРС, гражданските права и финансовите възможности на държавата; </w:t>
      </w:r>
    </w:p>
    <w:p w14:paraId="28D3FFFC" w14:textId="77777777" w:rsidR="0021173D" w:rsidRPr="0021173D" w:rsidRDefault="0021173D" w:rsidP="0021173D">
      <w:pPr>
        <w:numPr>
          <w:ilvl w:val="0"/>
          <w:numId w:val="12"/>
        </w:numPr>
      </w:pPr>
      <w:r w:rsidRPr="0021173D">
        <w:t xml:space="preserve">Извършване на оперативно-техническа дейност за разкриване и документиране извършването на престъпления, включително и за изготвяне на веществени доказателствени средства; </w:t>
      </w:r>
    </w:p>
    <w:p w14:paraId="68102124" w14:textId="77777777" w:rsidR="0021173D" w:rsidRPr="0021173D" w:rsidRDefault="0021173D" w:rsidP="0021173D">
      <w:pPr>
        <w:numPr>
          <w:ilvl w:val="0"/>
          <w:numId w:val="12"/>
        </w:numPr>
      </w:pPr>
      <w:r w:rsidRPr="0021173D">
        <w:t>Осигуряване на лична постова и техническа охрана, специализиран транспорт и пропускателен режим по месторабота, местоживеене, пребиваване в страната и в чужбина на категориите охранявани и обслужвани лица съгласно Закона за Националната служба за охрана;</w:t>
      </w:r>
    </w:p>
    <w:p w14:paraId="4DD43D91" w14:textId="77777777" w:rsidR="0021173D" w:rsidRPr="0021173D" w:rsidRDefault="0021173D" w:rsidP="0021173D">
      <w:pPr>
        <w:numPr>
          <w:ilvl w:val="0"/>
          <w:numId w:val="12"/>
        </w:numPr>
      </w:pPr>
      <w:r w:rsidRPr="0021173D">
        <w:t xml:space="preserve">Обезпечаване на оперативната и разузнавателна дейност зад граница и физическа охрана на задграничните дипломатически представителства на Република България; </w:t>
      </w:r>
    </w:p>
    <w:p w14:paraId="624AB532" w14:textId="77777777" w:rsidR="0021173D" w:rsidRPr="00110C68" w:rsidRDefault="0021173D" w:rsidP="00957ED7">
      <w:pPr>
        <w:numPr>
          <w:ilvl w:val="0"/>
          <w:numId w:val="12"/>
        </w:numPr>
      </w:pPr>
      <w:r w:rsidRPr="0021173D">
        <w:t>Разработване и актуализиране на правила за съхраняването на искания, разрешения и разпореждания по използването и прилагането на СРС, издаване на указания във връзка с подобряване режима на използване и прилагане на СРС, както и за съхраняване и унищожаване на придобитата чрез тях информация; сезиране на органите и уведомяване служебно на гражданите При наличие на данни за неправомерно използване и прилагане на СРС.</w:t>
      </w:r>
    </w:p>
    <w:p w14:paraId="671630FA" w14:textId="77777777" w:rsidR="000E564D" w:rsidRPr="00856223" w:rsidRDefault="000E564D" w:rsidP="00074767">
      <w:pPr>
        <w:pStyle w:val="Heading4"/>
      </w:pPr>
      <w:r w:rsidRPr="00856223">
        <w:t xml:space="preserve">Политика в областта на противодействието на престъпността и опазването на обществения ред </w:t>
      </w:r>
    </w:p>
    <w:p w14:paraId="5961E3A6" w14:textId="77777777" w:rsidR="0021173D" w:rsidRPr="0021173D" w:rsidRDefault="0021173D" w:rsidP="0021173D">
      <w:pPr>
        <w:rPr>
          <w:szCs w:val="24"/>
        </w:rPr>
      </w:pPr>
      <w:r w:rsidRPr="0021173D">
        <w:rPr>
          <w:szCs w:val="24"/>
        </w:rPr>
        <w:t>Тази област на политика е насочена към противодействие на организираните и конвенционалните форми на престъпност, корупцията, и на престъпленията против личността и собствеността на гражданите</w:t>
      </w:r>
      <w:r w:rsidR="000D04CA">
        <w:rPr>
          <w:szCs w:val="24"/>
        </w:rPr>
        <w:t>,</w:t>
      </w:r>
      <w:r w:rsidRPr="0021173D">
        <w:rPr>
          <w:szCs w:val="24"/>
        </w:rPr>
        <w:t xml:space="preserve"> </w:t>
      </w:r>
      <w:r w:rsidR="000D04CA">
        <w:rPr>
          <w:szCs w:val="24"/>
        </w:rPr>
        <w:t>както и към п</w:t>
      </w:r>
      <w:r w:rsidRPr="0021173D">
        <w:rPr>
          <w:szCs w:val="24"/>
        </w:rPr>
        <w:t>ревенция и противодействие на киберпрестъпността.</w:t>
      </w:r>
    </w:p>
    <w:p w14:paraId="1B6748AC" w14:textId="77777777" w:rsidR="0021173D" w:rsidRPr="0021173D" w:rsidRDefault="0021173D" w:rsidP="0021173D">
      <w:pPr>
        <w:rPr>
          <w:bCs/>
          <w:iCs/>
          <w:szCs w:val="24"/>
        </w:rPr>
      </w:pPr>
      <w:r w:rsidRPr="0021173D">
        <w:rPr>
          <w:bCs/>
          <w:iCs/>
          <w:szCs w:val="24"/>
        </w:rPr>
        <w:t>Дейностите по тази политика се изпълняват от структури на Министерството на вътрешните работи.</w:t>
      </w:r>
    </w:p>
    <w:p w14:paraId="645BC181" w14:textId="77777777" w:rsidR="0021173D" w:rsidRPr="0021173D" w:rsidRDefault="0021173D" w:rsidP="00957ED7">
      <w:pPr>
        <w:rPr>
          <w:szCs w:val="24"/>
        </w:rPr>
      </w:pPr>
      <w:r w:rsidRPr="0021173D">
        <w:rPr>
          <w:szCs w:val="24"/>
        </w:rPr>
        <w:lastRenderedPageBreak/>
        <w:t>Министерството на вътрешните работи си сътрудничи и взаимодейства с всички структури в системата за защита на националната сигурност, определени в Закона за управление и функциониране на системата за защита на националната сигурност, с други държавни органи и институции, неправителствени организации и граждани. Активно е взаимодействието и с чужди партньорски служби, с които се обменя информация по каналите за връзка на Европол и Интерпол. Провеждат се съвместни обучения, сформират се съвместни екипи за разследване и се изпълняват годишните оперативните планове за действие на платформата EMPACT</w:t>
      </w:r>
      <w:r w:rsidR="00E90A26">
        <w:rPr>
          <w:rStyle w:val="FootnoteReference"/>
          <w:szCs w:val="24"/>
        </w:rPr>
        <w:footnoteReference w:id="31"/>
      </w:r>
      <w:r w:rsidRPr="0021173D">
        <w:rPr>
          <w:szCs w:val="24"/>
        </w:rPr>
        <w:t xml:space="preserve"> от политическия цикъл на ЕС за борба срещу престъпността.</w:t>
      </w:r>
    </w:p>
    <w:p w14:paraId="2F1B5598" w14:textId="77777777" w:rsidR="000E564D" w:rsidRPr="002D6ED3" w:rsidRDefault="000E564D" w:rsidP="00074767">
      <w:pPr>
        <w:pStyle w:val="Heading4"/>
      </w:pPr>
      <w:r w:rsidRPr="00856223">
        <w:t xml:space="preserve">Политика в областта на защитата на границите и контрол на </w:t>
      </w:r>
      <w:r w:rsidRPr="002D6ED3">
        <w:t xml:space="preserve">миграционните процеси </w:t>
      </w:r>
    </w:p>
    <w:p w14:paraId="46AF78FE" w14:textId="77777777" w:rsidR="0021173D" w:rsidRPr="0021173D" w:rsidRDefault="0021173D" w:rsidP="0021173D">
      <w:pPr>
        <w:rPr>
          <w:szCs w:val="24"/>
        </w:rPr>
      </w:pPr>
      <w:r w:rsidRPr="0021173D">
        <w:rPr>
          <w:szCs w:val="24"/>
        </w:rPr>
        <w:t>Тази област на политика е насочена към гарантиране сигурността на границите и интегрирано взаимодействие и контрол на миграционните процеси.</w:t>
      </w:r>
    </w:p>
    <w:p w14:paraId="54C17AC5" w14:textId="77777777" w:rsidR="0021173D" w:rsidRPr="0021173D" w:rsidRDefault="0021173D" w:rsidP="0021173D">
      <w:pPr>
        <w:rPr>
          <w:szCs w:val="24"/>
        </w:rPr>
      </w:pPr>
      <w:r w:rsidRPr="0021173D">
        <w:rPr>
          <w:szCs w:val="24"/>
        </w:rPr>
        <w:t>Дейностите по тази политика се изпълняват от структури на Министерството на вътрешните работи.</w:t>
      </w:r>
    </w:p>
    <w:p w14:paraId="1D8FB0E2" w14:textId="77777777" w:rsidR="0021173D" w:rsidRPr="0021173D" w:rsidRDefault="0021173D" w:rsidP="00957ED7">
      <w:pPr>
        <w:rPr>
          <w:szCs w:val="24"/>
        </w:rPr>
      </w:pPr>
      <w:r w:rsidRPr="0021173D">
        <w:rPr>
          <w:szCs w:val="24"/>
        </w:rPr>
        <w:t>Министерството на вътрешните работи си сътрудничи и взаимодейства с всички структури в държавата, имащи отношение към контрола на държавната граница, постигането на летищна сигурност на международните аерогари в страната и регулиране на миграционните процеси, както и с граждани, неправителствени организации и със страни – партньори, за обмен на информация и съвместни действия.</w:t>
      </w:r>
    </w:p>
    <w:p w14:paraId="2C81955C" w14:textId="77777777" w:rsidR="000E564D" w:rsidRPr="00856223" w:rsidRDefault="000E564D" w:rsidP="00074767">
      <w:pPr>
        <w:pStyle w:val="Heading4"/>
      </w:pPr>
      <w:r w:rsidRPr="00856223">
        <w:t xml:space="preserve">Политика в областта на пожарната безопасност и защитата на населението при извънредни ситуации </w:t>
      </w:r>
    </w:p>
    <w:p w14:paraId="024BBA4D" w14:textId="77777777" w:rsidR="0021173D" w:rsidRPr="0021173D" w:rsidRDefault="0021173D" w:rsidP="0021173D">
      <w:pPr>
        <w:rPr>
          <w:rFonts w:eastAsia="Batang"/>
        </w:rPr>
      </w:pPr>
      <w:r w:rsidRPr="0021173D">
        <w:rPr>
          <w:rFonts w:eastAsia="Batang"/>
        </w:rPr>
        <w:t xml:space="preserve">Тази област на политика е насочена към </w:t>
      </w:r>
      <w:r w:rsidR="0026302B">
        <w:rPr>
          <w:rFonts w:eastAsia="Batang"/>
        </w:rPr>
        <w:t>п</w:t>
      </w:r>
      <w:r w:rsidRPr="0021173D">
        <w:rPr>
          <w:rFonts w:eastAsia="Batang"/>
        </w:rPr>
        <w:t>ревенция и надеждна защита на населението и инфраструктурата при пожари, бедствия и други извънредни ситуации.</w:t>
      </w:r>
    </w:p>
    <w:p w14:paraId="2E36C137" w14:textId="77777777" w:rsidR="0021173D" w:rsidRPr="0021173D" w:rsidRDefault="0021173D" w:rsidP="0021173D">
      <w:pPr>
        <w:rPr>
          <w:rFonts w:eastAsia="Batang"/>
        </w:rPr>
      </w:pPr>
      <w:r w:rsidRPr="0021173D">
        <w:rPr>
          <w:rFonts w:eastAsia="Batang"/>
        </w:rPr>
        <w:t>Дейностите по тази политика се изпълняват от Главна дирекция „Пожарна безопасност и защита на населението“ към МВР.</w:t>
      </w:r>
    </w:p>
    <w:p w14:paraId="059F1907" w14:textId="77777777" w:rsidR="00AF72DC" w:rsidRDefault="0021173D" w:rsidP="0021173D">
      <w:pPr>
        <w:rPr>
          <w:rFonts w:eastAsia="Batang"/>
        </w:rPr>
      </w:pPr>
      <w:r w:rsidRPr="0021173D">
        <w:rPr>
          <w:rFonts w:eastAsia="Batang"/>
        </w:rPr>
        <w:t>За изпълнението на политиката в областта на пожарната безопасност и защитата на населението МВР си сътрудничи със структурите на централната и местната власт.</w:t>
      </w:r>
    </w:p>
    <w:p w14:paraId="438FD4F2" w14:textId="77777777" w:rsidR="005518F3" w:rsidRPr="00AC7A0D" w:rsidRDefault="005518F3" w:rsidP="005518F3">
      <w:pPr>
        <w:rPr>
          <w:rFonts w:eastAsia="Batang"/>
        </w:rPr>
      </w:pPr>
      <w:r w:rsidRPr="00D86612">
        <w:rPr>
          <w:rFonts w:eastAsia="Batang"/>
          <w:i/>
        </w:rPr>
        <w:t>За делегираните от държавата дейности</w:t>
      </w:r>
      <w:r w:rsidRPr="00D86612">
        <w:rPr>
          <w:rFonts w:eastAsia="Batang"/>
        </w:rPr>
        <w:t xml:space="preserve"> в областта на сигурността и защитата на населението при извънредни ситуации по бюджетите на общините</w:t>
      </w:r>
      <w:r>
        <w:rPr>
          <w:rFonts w:eastAsia="Batang"/>
        </w:rPr>
        <w:t xml:space="preserve"> за 2026 г.</w:t>
      </w:r>
      <w:r w:rsidRPr="00D86612">
        <w:rPr>
          <w:rFonts w:eastAsia="Batang"/>
        </w:rPr>
        <w:t xml:space="preserve"> са предвидени допълнителни средства в размер на </w:t>
      </w:r>
      <w:r>
        <w:rPr>
          <w:rFonts w:eastAsia="Batang"/>
        </w:rPr>
        <w:t>5</w:t>
      </w:r>
      <w:r w:rsidRPr="00D86612">
        <w:rPr>
          <w:rFonts w:eastAsia="Batang"/>
        </w:rPr>
        <w:t>,</w:t>
      </w:r>
      <w:r>
        <w:rPr>
          <w:rFonts w:eastAsia="Batang"/>
        </w:rPr>
        <w:t>3</w:t>
      </w:r>
      <w:r w:rsidRPr="00D86612">
        <w:rPr>
          <w:rFonts w:eastAsia="Batang"/>
        </w:rPr>
        <w:t xml:space="preserve"> млн. евро във връзка с увеличението на минималната рабо</w:t>
      </w:r>
      <w:r w:rsidR="00B52D65">
        <w:rPr>
          <w:rFonts w:eastAsia="Batang"/>
        </w:rPr>
        <w:t>тна заплата от 1 януари 2026 г.</w:t>
      </w:r>
    </w:p>
    <w:p w14:paraId="7FE9129D" w14:textId="77777777" w:rsidR="000E564D" w:rsidRPr="00856223" w:rsidRDefault="000E564D" w:rsidP="00074767">
      <w:pPr>
        <w:pStyle w:val="Heading4"/>
      </w:pPr>
      <w:r w:rsidRPr="00856223">
        <w:t xml:space="preserve">Политика в областта на управлението и развитието на системата на МВР </w:t>
      </w:r>
    </w:p>
    <w:p w14:paraId="2B7C14E9" w14:textId="77777777" w:rsidR="0021173D" w:rsidRPr="0021173D" w:rsidRDefault="0021173D" w:rsidP="0021173D">
      <w:pPr>
        <w:rPr>
          <w:rFonts w:eastAsia="Batang"/>
        </w:rPr>
      </w:pPr>
      <w:r w:rsidRPr="0021173D">
        <w:rPr>
          <w:rFonts w:eastAsia="Batang"/>
        </w:rPr>
        <w:t>Тази област на политика е насочена към интегрирано развитие на автоматизираните информационни и комуникационните системи, гъвкаво управление на ресурсите и обучение на служителите, както и към подобряване на административното обслужване на гражданите.</w:t>
      </w:r>
    </w:p>
    <w:p w14:paraId="523AFC7F" w14:textId="77777777" w:rsidR="0021173D" w:rsidRPr="0021173D" w:rsidRDefault="0021173D" w:rsidP="0021173D">
      <w:pPr>
        <w:rPr>
          <w:rFonts w:eastAsia="Batang"/>
        </w:rPr>
      </w:pPr>
      <w:r w:rsidRPr="0021173D">
        <w:rPr>
          <w:rFonts w:eastAsia="Batang"/>
        </w:rPr>
        <w:lastRenderedPageBreak/>
        <w:t>Дейностите по тази политика се изпълняват от административни звена в МВР, Националната система 112, Академията на МВР и Медицинския институт на МВР.</w:t>
      </w:r>
    </w:p>
    <w:p w14:paraId="3BF56369" w14:textId="77777777" w:rsidR="0021173D" w:rsidRPr="0021173D" w:rsidRDefault="0021173D" w:rsidP="00957ED7">
      <w:pPr>
        <w:rPr>
          <w:rFonts w:eastAsia="Batang"/>
        </w:rPr>
      </w:pPr>
      <w:r w:rsidRPr="0021173D">
        <w:rPr>
          <w:rFonts w:eastAsia="Batang"/>
        </w:rPr>
        <w:t>МВР осъществява взаимодействие с всички структури в системата за защита на националната сигурност, определени в Закона за управление и функциониране на системата за защита на националната сигурност, с други държавни органи и институции, неправителствени организации и граждани.</w:t>
      </w:r>
    </w:p>
    <w:p w14:paraId="4FF393BA" w14:textId="77777777" w:rsidR="0033580A" w:rsidRPr="00EA6851" w:rsidRDefault="0033580A" w:rsidP="00074767">
      <w:pPr>
        <w:pStyle w:val="Heading3"/>
        <w:ind w:left="0"/>
      </w:pPr>
      <w:r w:rsidRPr="00EA6851">
        <w:t>Политика в областта на съдебната система</w:t>
      </w:r>
    </w:p>
    <w:p w14:paraId="4E772594" w14:textId="77777777" w:rsidR="0021173D" w:rsidRPr="0021173D" w:rsidRDefault="0021173D" w:rsidP="0021173D">
      <w:pPr>
        <w:rPr>
          <w:szCs w:val="24"/>
        </w:rPr>
      </w:pPr>
      <w:r w:rsidRPr="0021173D">
        <w:rPr>
          <w:szCs w:val="24"/>
        </w:rPr>
        <w:t>Политиките в областта на съдебната власт се координират от Висшия съдебен съвет като постоянно действащ орган, представляващ съдебната власт, който осигурява и отстоява нейната независимост, определя състава и организацията на работа на съдилищата, прокуратурите и следствените органи и обезпечава финансово и технически тяхната дейност без да се намесва в нейното осъществяване.</w:t>
      </w:r>
    </w:p>
    <w:p w14:paraId="4BE984E4" w14:textId="77777777" w:rsidR="0021173D" w:rsidRPr="0021173D" w:rsidRDefault="0021173D" w:rsidP="0021173D">
      <w:pPr>
        <w:rPr>
          <w:szCs w:val="24"/>
        </w:rPr>
      </w:pPr>
      <w:r w:rsidRPr="0021173D">
        <w:rPr>
          <w:szCs w:val="24"/>
        </w:rPr>
        <w:t xml:space="preserve">Изпълнението на заложените политики цели повишаване на общественото доверие в съдебната власт, постигане на ефективно, бързо, прозрачно, справедливо и достъпно правосъдие, както и създаване на съвременни условия на гражданите, вкл. за обвиняемите, за провеждане на съдебния процес. За постигането на тези цели е важно да се наблегне на качествено изпълнение на предвидените в Закона за съдебната власт задължения и повишаване на общественото доверие в съдебната власт, както и да се засили контролът на органите на съдебната власт, основаващ се на принципите на законосъобразност, обективност и публичност. </w:t>
      </w:r>
    </w:p>
    <w:p w14:paraId="589C0EC5" w14:textId="77777777" w:rsidR="0021173D" w:rsidRPr="0021173D" w:rsidRDefault="0021173D" w:rsidP="0021173D">
      <w:pPr>
        <w:rPr>
          <w:szCs w:val="24"/>
        </w:rPr>
      </w:pPr>
      <w:r w:rsidRPr="0021173D">
        <w:rPr>
          <w:szCs w:val="24"/>
        </w:rPr>
        <w:t>С проекта на бюджет за съдебната власт за 2026 г. и с актуализираната средносрочна бюджетна прогноза за периода 2027-2028 г. са предвидени допълнителни средства за индексиране на основните и допълнителните възнаграждения на заетите в съдебната система, които се определят съгласно разписаните в Закона за съдебната власт механизми (съгласно чл. 218, чл. 233, ал. 6 и чл. 345, ал. 5).</w:t>
      </w:r>
    </w:p>
    <w:p w14:paraId="75EF83A4" w14:textId="77777777" w:rsidR="0021173D" w:rsidRPr="0021173D" w:rsidRDefault="0021173D" w:rsidP="00957ED7">
      <w:pPr>
        <w:rPr>
          <w:szCs w:val="24"/>
        </w:rPr>
      </w:pPr>
      <w:r w:rsidRPr="0021173D">
        <w:rPr>
          <w:szCs w:val="24"/>
        </w:rPr>
        <w:t xml:space="preserve">По </w:t>
      </w:r>
      <w:r w:rsidR="00110C68">
        <w:rPr>
          <w:szCs w:val="24"/>
        </w:rPr>
        <w:t>проекто</w:t>
      </w:r>
      <w:r w:rsidRPr="0021173D">
        <w:rPr>
          <w:szCs w:val="24"/>
        </w:rPr>
        <w:t>бюджета на съдебната власт за 2026 г. са предвидени разходи за персонал в размер на 2 099,0 хил. евро, произтичащи от изпълнението на § 11 от преходните и заключителните разпоредби към Закона за изменение и допълнение на Закона за държавната собственост.</w:t>
      </w:r>
    </w:p>
    <w:p w14:paraId="009A0FE3" w14:textId="77777777" w:rsidR="00C32082" w:rsidRPr="00856223" w:rsidRDefault="00C32082" w:rsidP="007560DF">
      <w:pPr>
        <w:pStyle w:val="Heading4"/>
      </w:pPr>
      <w:r w:rsidRPr="00856223">
        <w:t xml:space="preserve">Политика в областта на правосъдието </w:t>
      </w:r>
    </w:p>
    <w:p w14:paraId="31601AC2" w14:textId="77777777" w:rsidR="0021173D" w:rsidRPr="0021173D" w:rsidRDefault="0021173D" w:rsidP="0021173D">
      <w:pPr>
        <w:rPr>
          <w:szCs w:val="24"/>
        </w:rPr>
      </w:pPr>
      <w:r w:rsidRPr="0021173D">
        <w:rPr>
          <w:szCs w:val="24"/>
        </w:rPr>
        <w:t xml:space="preserve">Приоритет на </w:t>
      </w:r>
      <w:r w:rsidRPr="0021173D">
        <w:rPr>
          <w:b/>
          <w:szCs w:val="24"/>
        </w:rPr>
        <w:t>Министерството на правосъдието</w:t>
      </w:r>
      <w:r w:rsidRPr="0021173D">
        <w:rPr>
          <w:szCs w:val="24"/>
        </w:rPr>
        <w:t xml:space="preserve"> е да се реформира и подобри работата на съдебната система за постигане на достъпно, предвидимо, бързо и справедливо правосъдие, за възстановяване на справедливостта в обществото, което да гарантира правовия ред в страната, постигане на конкретни резултати в борбата с престъпността и ефективно справяне с корупцията.</w:t>
      </w:r>
    </w:p>
    <w:p w14:paraId="4EEF4D28" w14:textId="77777777" w:rsidR="0021173D" w:rsidRPr="0021173D" w:rsidRDefault="0021173D" w:rsidP="0021173D">
      <w:pPr>
        <w:rPr>
          <w:szCs w:val="24"/>
        </w:rPr>
      </w:pPr>
      <w:r w:rsidRPr="0021173D">
        <w:rPr>
          <w:szCs w:val="24"/>
        </w:rPr>
        <w:t>Визията на Министерство</w:t>
      </w:r>
      <w:r w:rsidR="00DB6980">
        <w:rPr>
          <w:szCs w:val="24"/>
        </w:rPr>
        <w:t>то</w:t>
      </w:r>
      <w:r w:rsidRPr="0021173D">
        <w:rPr>
          <w:szCs w:val="24"/>
        </w:rPr>
        <w:t xml:space="preserve"> на правосъдието за политиката в областта на правосъдието е постигане на независима, прозрачна, достъпна, справедлива и ползваща се с доверие от гражданите и стопанс</w:t>
      </w:r>
      <w:r w:rsidR="00DC08A9">
        <w:rPr>
          <w:szCs w:val="24"/>
        </w:rPr>
        <w:t>ките субекти правосъдна система</w:t>
      </w:r>
      <w:r w:rsidRPr="0021173D">
        <w:rPr>
          <w:szCs w:val="24"/>
        </w:rPr>
        <w:t xml:space="preserve"> чрез ефективно управление и организационно усъвършенстване.</w:t>
      </w:r>
    </w:p>
    <w:p w14:paraId="4D6FE437" w14:textId="77777777" w:rsidR="0021173D" w:rsidRPr="0021173D" w:rsidRDefault="0021173D" w:rsidP="0021173D">
      <w:pPr>
        <w:rPr>
          <w:szCs w:val="24"/>
        </w:rPr>
      </w:pPr>
      <w:r w:rsidRPr="0021173D">
        <w:rPr>
          <w:szCs w:val="24"/>
        </w:rPr>
        <w:t>Стратегическата цел е ефективно, прозрачно, справедливо и достъпно правосъдие. Оперативните цели са следните: укрепване на върховенството на правото, справедливо, прозрачно и достъпно правосъдие</w:t>
      </w:r>
      <w:r w:rsidR="0026302B">
        <w:rPr>
          <w:szCs w:val="24"/>
        </w:rPr>
        <w:t>;</w:t>
      </w:r>
      <w:r w:rsidRPr="0021173D">
        <w:rPr>
          <w:szCs w:val="24"/>
        </w:rPr>
        <w:t xml:space="preserve"> повишаване ефективността и ефикасността на </w:t>
      </w:r>
      <w:r w:rsidRPr="0021173D">
        <w:rPr>
          <w:szCs w:val="24"/>
        </w:rPr>
        <w:lastRenderedPageBreak/>
        <w:t xml:space="preserve">Министерството на правосъдието; осигуряване на модерна наказателна политика, ефективно противодействие на престъпността и </w:t>
      </w:r>
      <w:proofErr w:type="spellStart"/>
      <w:r w:rsidRPr="0021173D">
        <w:rPr>
          <w:szCs w:val="24"/>
        </w:rPr>
        <w:t>хуманизиране</w:t>
      </w:r>
      <w:proofErr w:type="spellEnd"/>
      <w:r w:rsidRPr="0021173D">
        <w:rPr>
          <w:szCs w:val="24"/>
        </w:rPr>
        <w:t xml:space="preserve"> на наказателно-изпълнителната система; повишена законова и институционална защита на правата на гражданите; ефективна защита на националните интереси в областта на правосъдието; подобряване на достъпа до електронно правосъдие и дигитализация на съдебната система.</w:t>
      </w:r>
    </w:p>
    <w:p w14:paraId="5892EAB2" w14:textId="77777777" w:rsidR="0021173D" w:rsidRPr="0021173D" w:rsidRDefault="0026302B" w:rsidP="0021173D">
      <w:pPr>
        <w:rPr>
          <w:szCs w:val="24"/>
        </w:rPr>
      </w:pPr>
      <w:r>
        <w:rPr>
          <w:szCs w:val="24"/>
        </w:rPr>
        <w:t>У</w:t>
      </w:r>
      <w:r w:rsidR="0021173D" w:rsidRPr="0021173D">
        <w:rPr>
          <w:szCs w:val="24"/>
        </w:rPr>
        <w:t xml:space="preserve">силия </w:t>
      </w:r>
      <w:r>
        <w:rPr>
          <w:szCs w:val="24"/>
        </w:rPr>
        <w:t>щ</w:t>
      </w:r>
      <w:r w:rsidRPr="0021173D">
        <w:rPr>
          <w:szCs w:val="24"/>
        </w:rPr>
        <w:t xml:space="preserve">е бъдат положени </w:t>
      </w:r>
      <w:r w:rsidR="0021173D" w:rsidRPr="0021173D">
        <w:rPr>
          <w:szCs w:val="24"/>
        </w:rPr>
        <w:t>за усъвършенстване и надграждане на съществуващите електронни регистри към Агенцията по вписванията, създаване на нови регистри и свързването им с регистри, поддържани от други държавни и общински институции и институции от държави членки на Европейския съюз, както и за оптимизация на дейността по водене, съхраняване и достъп до регистрите.</w:t>
      </w:r>
    </w:p>
    <w:p w14:paraId="17428AE7" w14:textId="77777777" w:rsidR="0021173D" w:rsidRPr="0021173D" w:rsidRDefault="0021173D" w:rsidP="0021173D">
      <w:pPr>
        <w:rPr>
          <w:szCs w:val="24"/>
        </w:rPr>
      </w:pPr>
      <w:r w:rsidRPr="0021173D">
        <w:rPr>
          <w:szCs w:val="24"/>
        </w:rPr>
        <w:t>Главна дирекция „Охрана“ в системата на Министерството на правосъдието осъществява функции, свързани с осигуряване на висока степен на сигурност и опазване на обществения ред в съдебните сгради; опазване здравето и живота на магистрати; конвоиране на задържани лица до органите на съдебната власт, оказване на своевременно съдействие на съдебната власт при призоваване, принудително довеждане  на лица и привеждане в изпълнение на влезли в сила присъди.</w:t>
      </w:r>
    </w:p>
    <w:p w14:paraId="6ED78A65" w14:textId="77777777" w:rsidR="0021173D" w:rsidRPr="0021173D" w:rsidRDefault="0021173D" w:rsidP="00957ED7">
      <w:pPr>
        <w:rPr>
          <w:szCs w:val="24"/>
        </w:rPr>
      </w:pPr>
      <w:r w:rsidRPr="0021173D">
        <w:rPr>
          <w:szCs w:val="24"/>
        </w:rPr>
        <w:t>Извън дейностите, които се финансират с бюджетни средства, се подготвят и дейности, финансирани със средства от Норвежкия финансов механизъм, Швейцарско-българската програма за сътрудничество, Инструмента за техническа подкрепа на Европейската комисия, Хоризонтална програма „Правосъдие“ на Европейската комисия и Механизма за възстановяване и устойчивост.</w:t>
      </w:r>
    </w:p>
    <w:p w14:paraId="5DE533A9" w14:textId="77777777" w:rsidR="007478EA" w:rsidRPr="007A58A1" w:rsidRDefault="007478EA" w:rsidP="007560DF">
      <w:pPr>
        <w:pStyle w:val="Heading4"/>
      </w:pPr>
      <w:r w:rsidRPr="007A58A1">
        <w:t xml:space="preserve">Политика в областта на изпълнение на наказанията </w:t>
      </w:r>
    </w:p>
    <w:p w14:paraId="3CFBB4AF" w14:textId="77777777" w:rsidR="0021173D" w:rsidRPr="0021173D" w:rsidRDefault="0021173D" w:rsidP="0021173D">
      <w:pPr>
        <w:rPr>
          <w:szCs w:val="24"/>
        </w:rPr>
      </w:pPr>
      <w:r w:rsidRPr="0021173D">
        <w:rPr>
          <w:szCs w:val="24"/>
        </w:rPr>
        <w:t>Политиката по изпълнение на наказанията e насочена към по-нататъшното развитие, усъвършенстване и демократизиране на институциите на наказателно-изпълнителната система, като необходима предпоставка за хуманно третиране на закононарушителите и гаранция за спазването на правата на човека.</w:t>
      </w:r>
    </w:p>
    <w:p w14:paraId="1F4F72B2" w14:textId="77777777" w:rsidR="0021173D" w:rsidRPr="0021173D" w:rsidRDefault="0021173D" w:rsidP="0021173D">
      <w:pPr>
        <w:rPr>
          <w:szCs w:val="24"/>
        </w:rPr>
      </w:pPr>
      <w:r w:rsidRPr="0021173D">
        <w:rPr>
          <w:szCs w:val="24"/>
        </w:rPr>
        <w:t xml:space="preserve">Политиката в наказателно-изпълнителната дейност цели утвърждаването на съвременен модел на управление и развитие на </w:t>
      </w:r>
      <w:proofErr w:type="spellStart"/>
      <w:r w:rsidRPr="0021173D">
        <w:rPr>
          <w:szCs w:val="24"/>
        </w:rPr>
        <w:t>пенитенциарната</w:t>
      </w:r>
      <w:proofErr w:type="spellEnd"/>
      <w:r w:rsidRPr="0021173D">
        <w:rPr>
          <w:szCs w:val="24"/>
        </w:rPr>
        <w:t xml:space="preserve"> система в съответствие с международните минимални стандарти, приети за местата за задържане и Европейските правила за затворите. </w:t>
      </w:r>
    </w:p>
    <w:p w14:paraId="45EFD754" w14:textId="77777777" w:rsidR="0021173D" w:rsidRPr="0021173D" w:rsidRDefault="0021173D" w:rsidP="0021173D">
      <w:pPr>
        <w:rPr>
          <w:szCs w:val="24"/>
        </w:rPr>
      </w:pPr>
      <w:r w:rsidRPr="0021173D">
        <w:rPr>
          <w:szCs w:val="24"/>
        </w:rPr>
        <w:t xml:space="preserve">Дейността по изпълнение на наказанията е изцяло ориентирана към реформиране на </w:t>
      </w:r>
      <w:proofErr w:type="spellStart"/>
      <w:r w:rsidRPr="0021173D">
        <w:rPr>
          <w:szCs w:val="24"/>
        </w:rPr>
        <w:t>пенитенциарните</w:t>
      </w:r>
      <w:proofErr w:type="spellEnd"/>
      <w:r w:rsidRPr="0021173D">
        <w:rPr>
          <w:szCs w:val="24"/>
        </w:rPr>
        <w:t xml:space="preserve"> заведения и към създаването на условия в тях за поправянето и </w:t>
      </w:r>
      <w:proofErr w:type="spellStart"/>
      <w:r w:rsidRPr="0021173D">
        <w:rPr>
          <w:szCs w:val="24"/>
        </w:rPr>
        <w:t>ресоциализацията</w:t>
      </w:r>
      <w:proofErr w:type="spellEnd"/>
      <w:r w:rsidRPr="0021173D">
        <w:rPr>
          <w:szCs w:val="24"/>
        </w:rPr>
        <w:t xml:space="preserve"> на осъдените лица. Основната ѝ цел е да осигури защита на обществото от правонарушителите, да гарантира правата и свободите на лишените от свобода и възможностите за тяхната социална рехабилитация.</w:t>
      </w:r>
    </w:p>
    <w:p w14:paraId="1D2481FE" w14:textId="77777777" w:rsidR="0021173D" w:rsidRPr="0021173D" w:rsidRDefault="0021173D" w:rsidP="0021173D">
      <w:pPr>
        <w:rPr>
          <w:szCs w:val="24"/>
        </w:rPr>
      </w:pPr>
      <w:r w:rsidRPr="0021173D">
        <w:rPr>
          <w:szCs w:val="24"/>
        </w:rPr>
        <w:t xml:space="preserve">Реформирането на </w:t>
      </w:r>
      <w:proofErr w:type="spellStart"/>
      <w:r w:rsidRPr="0021173D">
        <w:rPr>
          <w:szCs w:val="24"/>
        </w:rPr>
        <w:t>пенитенциарната</w:t>
      </w:r>
      <w:proofErr w:type="spellEnd"/>
      <w:r w:rsidRPr="0021173D">
        <w:rPr>
          <w:szCs w:val="24"/>
        </w:rPr>
        <w:t xml:space="preserve"> система е неразделна част от процеса на ускорена съдебна реформа и успешното противодействие на престъпността. Въпреки че през последните години страната ни постигна значителен напредък в развитието и усъвършенстванет</w:t>
      </w:r>
      <w:r w:rsidR="00203012">
        <w:rPr>
          <w:szCs w:val="24"/>
        </w:rPr>
        <w:t xml:space="preserve">о на наказателното изпълнение, </w:t>
      </w:r>
      <w:r w:rsidRPr="0021173D">
        <w:rPr>
          <w:szCs w:val="24"/>
        </w:rPr>
        <w:t>процесът на реформа</w:t>
      </w:r>
      <w:r w:rsidR="00203012">
        <w:rPr>
          <w:szCs w:val="24"/>
        </w:rPr>
        <w:t xml:space="preserve"> е невъзможен  без подобряване </w:t>
      </w:r>
      <w:r w:rsidRPr="0021173D">
        <w:rPr>
          <w:szCs w:val="24"/>
        </w:rPr>
        <w:t xml:space="preserve">материалните условия на бит и живот на лишените от свобода и по-нататъшното демократизиране институциите на наказателно-изпълнителната система. </w:t>
      </w:r>
    </w:p>
    <w:p w14:paraId="1C9BA3E6" w14:textId="77777777" w:rsidR="0021173D" w:rsidRPr="0021173D" w:rsidRDefault="0021173D" w:rsidP="0021173D">
      <w:pPr>
        <w:rPr>
          <w:szCs w:val="24"/>
        </w:rPr>
      </w:pPr>
      <w:r w:rsidRPr="0021173D">
        <w:rPr>
          <w:szCs w:val="24"/>
        </w:rPr>
        <w:t xml:space="preserve">Оперативните цели са следните: подобряване на жилищно-битовите условия в затворите и арестите; повишаване на сигурността на затворите и арестите с внедряването на </w:t>
      </w:r>
      <w:r w:rsidRPr="0021173D">
        <w:rPr>
          <w:szCs w:val="24"/>
        </w:rPr>
        <w:lastRenderedPageBreak/>
        <w:t>съвременни и модерни технически средства за наблюдение и контрол, охрана и управление; по-интензивно прилагане на програмите за обществено въздействие в пробационните служби; усъвършенстване на системата за електронен мониторинг; продължаване на действията за повишаване капацитета на персонала чрез обучения по новата съвременна програма за първоначално и продължаващо обучение на служителите; продължаване на действията по внедряване на съвременни програми за рехабилитация и реинтеграция на лишените от свобода.</w:t>
      </w:r>
    </w:p>
    <w:p w14:paraId="19EB71FE" w14:textId="77777777" w:rsidR="007A58A1" w:rsidRPr="007560DF" w:rsidRDefault="007A58A1" w:rsidP="007560DF">
      <w:pPr>
        <w:pStyle w:val="Heading4"/>
        <w:rPr>
          <w:color w:val="auto"/>
        </w:rPr>
      </w:pPr>
      <w:r w:rsidRPr="007560DF">
        <w:rPr>
          <w:color w:val="auto"/>
        </w:rPr>
        <w:t xml:space="preserve">Конституционен съд </w:t>
      </w:r>
    </w:p>
    <w:p w14:paraId="7880E307" w14:textId="77777777" w:rsidR="0021173D" w:rsidRPr="0021173D" w:rsidRDefault="0021173D" w:rsidP="0021173D">
      <w:pPr>
        <w:rPr>
          <w:szCs w:val="24"/>
        </w:rPr>
      </w:pPr>
      <w:r w:rsidRPr="0021173D">
        <w:rPr>
          <w:szCs w:val="24"/>
        </w:rPr>
        <w:t xml:space="preserve">Конституционният съд на Република България е независим държавен орган, създаден с Конституцията и натоварен да осигурява нейното върховенство. Независим е от законодателната, изпълнителната и съдебната власт. Основната му дейност е да дава задължителни тълкувания на Конституцията, както и да се произнася по съответствието ѝ със законите, актовете на Народното събрание и президента и международните договори, по които България е страна. </w:t>
      </w:r>
    </w:p>
    <w:p w14:paraId="039287DF" w14:textId="77777777" w:rsidR="0021173D" w:rsidRPr="0021173D" w:rsidRDefault="0021173D" w:rsidP="0021173D">
      <w:pPr>
        <w:rPr>
          <w:szCs w:val="24"/>
        </w:rPr>
      </w:pPr>
      <w:r w:rsidRPr="0021173D">
        <w:rPr>
          <w:szCs w:val="24"/>
        </w:rPr>
        <w:t xml:space="preserve">Конституционният съд членува в три международни организации, като членството в тях е от изключително важно значение за развитието и работата на съда и за добрата позиция в международен аспект на българския Конституционен съд. </w:t>
      </w:r>
    </w:p>
    <w:p w14:paraId="27732119" w14:textId="77777777" w:rsidR="0021173D" w:rsidRPr="0021173D" w:rsidRDefault="0021173D" w:rsidP="0021173D">
      <w:pPr>
        <w:rPr>
          <w:szCs w:val="24"/>
        </w:rPr>
      </w:pPr>
      <w:r w:rsidRPr="0021173D">
        <w:rPr>
          <w:szCs w:val="24"/>
        </w:rPr>
        <w:t xml:space="preserve">Бюджетната прогноза на Конституционния съд отразява оптималния размер на средствата, необходими за нормално функциониране на съда и повишаване ефективността на работата му. </w:t>
      </w:r>
    </w:p>
    <w:p w14:paraId="06C98092" w14:textId="77777777" w:rsidR="0021173D" w:rsidRPr="00584FC5" w:rsidRDefault="0021173D" w:rsidP="00957ED7">
      <w:pPr>
        <w:rPr>
          <w:szCs w:val="24"/>
        </w:rPr>
      </w:pPr>
      <w:r w:rsidRPr="0021173D">
        <w:rPr>
          <w:szCs w:val="24"/>
        </w:rPr>
        <w:t>Дейността на Конституционния съд попада в обхвата на функционална област „</w:t>
      </w:r>
      <w:r w:rsidR="00584FC5">
        <w:rPr>
          <w:szCs w:val="24"/>
        </w:rPr>
        <w:t>Върховенство на конституцията“.</w:t>
      </w:r>
    </w:p>
    <w:p w14:paraId="7B561543" w14:textId="77777777" w:rsidR="0033580A" w:rsidRPr="00EA6851" w:rsidRDefault="0033580A" w:rsidP="00074767">
      <w:pPr>
        <w:pStyle w:val="Heading3"/>
        <w:ind w:left="0"/>
      </w:pPr>
      <w:r w:rsidRPr="00EA6851">
        <w:t>Външна политика</w:t>
      </w:r>
    </w:p>
    <w:p w14:paraId="307A9C55" w14:textId="77777777" w:rsidR="007732C5" w:rsidRPr="007732C5" w:rsidRDefault="007732C5" w:rsidP="007732C5">
      <w:pPr>
        <w:rPr>
          <w:noProof/>
          <w:szCs w:val="24"/>
        </w:rPr>
      </w:pPr>
      <w:r w:rsidRPr="007732C5">
        <w:rPr>
          <w:noProof/>
          <w:szCs w:val="24"/>
        </w:rPr>
        <w:t xml:space="preserve">Външната политика на Република България се ръководи от принципа на прагматично следване на националния интерес и недопускане на намеса във вътрешните работи на страната ни - утвърждаване и развитие на Република България като модерна европейска демокрация, осигуряваща пълноценно развитие и просперитет за българските граждани, гарантиране на най-високи стандарти в областта на правата на човека и основните свободи, устойчиво гражданско общество, развиващо се в условията на членство на Република България в ЕС и НАТО, принос към укрепване на единството и солидарността на евроатлантическата общност и утвърждаване на нейните ценности и принципи в регионален, европейски и глобален мащаб. </w:t>
      </w:r>
    </w:p>
    <w:p w14:paraId="6ACC3F6B" w14:textId="77777777" w:rsidR="007732C5" w:rsidRPr="007732C5" w:rsidRDefault="007732C5" w:rsidP="00957ED7">
      <w:pPr>
        <w:rPr>
          <w:noProof/>
          <w:szCs w:val="24"/>
        </w:rPr>
      </w:pPr>
      <w:r w:rsidRPr="007732C5">
        <w:rPr>
          <w:b/>
          <w:noProof/>
          <w:szCs w:val="24"/>
        </w:rPr>
        <w:t>Министерството на външните работи</w:t>
      </w:r>
      <w:r w:rsidRPr="007732C5">
        <w:rPr>
          <w:noProof/>
          <w:szCs w:val="24"/>
        </w:rPr>
        <w:t xml:space="preserve"> ръководи, координира и контролира осъществяването на държавната политика на Република България в отношенията ѝ с други държави, като осигурява поддържането и развитието на външнополитическия диалог, политиката на сигурност и двустранното, регионалното и многостранното сътрудничество</w:t>
      </w:r>
      <w:r w:rsidR="005533F9">
        <w:rPr>
          <w:noProof/>
          <w:szCs w:val="24"/>
        </w:rPr>
        <w:t>,</w:t>
      </w:r>
      <w:r w:rsidRPr="007732C5">
        <w:rPr>
          <w:noProof/>
          <w:szCs w:val="24"/>
        </w:rPr>
        <w:t xml:space="preserve"> </w:t>
      </w:r>
      <w:r w:rsidR="005533F9">
        <w:rPr>
          <w:noProof/>
          <w:szCs w:val="24"/>
        </w:rPr>
        <w:t>и о</w:t>
      </w:r>
      <w:r w:rsidRPr="007732C5">
        <w:rPr>
          <w:noProof/>
          <w:szCs w:val="24"/>
        </w:rPr>
        <w:t>съществява общата координация в областта на външната политика и международната дейност на Република България. Българската дипломация защитава правата и интересите на българската държава и на българските граждани и юридически лица в чужбина в рамките на международноправните норми и установената практика, предприема дипломатически действия за опазване на българското културно-историческо наследство и паметници в чужбина.</w:t>
      </w:r>
    </w:p>
    <w:p w14:paraId="38A9E435" w14:textId="77777777" w:rsidR="00E9058E" w:rsidRPr="007A58A1" w:rsidRDefault="00E9058E" w:rsidP="007560DF">
      <w:pPr>
        <w:pStyle w:val="Heading4"/>
      </w:pPr>
      <w:r w:rsidRPr="007A58A1">
        <w:lastRenderedPageBreak/>
        <w:t>Политика в областта на активната двустранна и многостранна дипломация</w:t>
      </w:r>
    </w:p>
    <w:p w14:paraId="68A4944D" w14:textId="77777777" w:rsidR="007732C5" w:rsidRPr="007732C5" w:rsidRDefault="007732C5" w:rsidP="007732C5">
      <w:r w:rsidRPr="007732C5">
        <w:t xml:space="preserve">Чрез осъществяването на политиката на активна двустранна и многостранна дипломация се постигат външнополитическите приоритети на страната и се работи за осигуряване на благоприятна и стабилна външнополитическа среда за развитие и просперитет на българското общество и подобряване качеството на живот на българските граждани, както и за създаването на благоприятна инвестиционна и бизнес среда в страната ни. </w:t>
      </w:r>
    </w:p>
    <w:p w14:paraId="0CDA4004" w14:textId="77777777" w:rsidR="007732C5" w:rsidRPr="007732C5" w:rsidRDefault="007732C5" w:rsidP="007732C5">
      <w:r w:rsidRPr="007732C5">
        <w:t xml:space="preserve">Успешната външна политика допринася за укрепване на националната сигурност, отстояване на суверенитета, развитието на икономиката, включително туризма, обогатяването на възможностите за научен, културен и образователен обмен, защита на правата и интересите на лицата с българско гражданство и самосъзнание, и на българските общности зад граница, оказвайки им подкрепа за съхраняване на тяхната идентичност. </w:t>
      </w:r>
    </w:p>
    <w:p w14:paraId="2BD69E77" w14:textId="77777777" w:rsidR="007732C5" w:rsidRPr="007732C5" w:rsidRDefault="007732C5" w:rsidP="007732C5">
      <w:r w:rsidRPr="007732C5">
        <w:t>В рамките на тази политика е включена и програма, чрез която се отделя специално внимание и ресурси за осъществяването на дипломатическа и консулска защита, както и за предоставянето на качествени консулски услуги за българските граждани.</w:t>
      </w:r>
    </w:p>
    <w:p w14:paraId="6389F9DE" w14:textId="77777777" w:rsidR="00B93B17" w:rsidRPr="00C55658" w:rsidRDefault="007732C5" w:rsidP="00B93B17">
      <w:r w:rsidRPr="007732C5">
        <w:t>Важен акцент при осъществяването на тази политика е защита на националните интереси, активно участие и конструктивен принос на България в разработването и прилагането на политиките на ЕС, НАТО</w:t>
      </w:r>
      <w:r w:rsidRPr="007732C5">
        <w:rPr>
          <w:vertAlign w:val="superscript"/>
        </w:rPr>
        <w:footnoteReference w:id="32"/>
      </w:r>
      <w:r w:rsidRPr="007732C5">
        <w:t>, ООН</w:t>
      </w:r>
      <w:r w:rsidRPr="007732C5">
        <w:rPr>
          <w:vertAlign w:val="superscript"/>
        </w:rPr>
        <w:footnoteReference w:id="33"/>
      </w:r>
      <w:r w:rsidRPr="007732C5">
        <w:t>, Съвета на Европа, ОССЕ</w:t>
      </w:r>
      <w:r w:rsidRPr="007732C5">
        <w:rPr>
          <w:vertAlign w:val="superscript"/>
        </w:rPr>
        <w:footnoteReference w:id="34"/>
      </w:r>
      <w:r w:rsidRPr="007732C5">
        <w:t>; поддържане на активна роля на България в областта на многостранната дипломация и в решаването на глобалните предизвикателства чрез многостранно сътрудничество, утвърждаване на България като водещ фактор за стабилност в Югоизточна Европа, допринасящ за отношения на добросъседство, регионално сътрудничество, интеграция и свързаност, както и превръщане на България в регионален лидер в областта на иновациите и новите технологии.</w:t>
      </w:r>
    </w:p>
    <w:p w14:paraId="3F43B428" w14:textId="77777777" w:rsidR="00B93B17" w:rsidRPr="00B93B17" w:rsidRDefault="00B93B17" w:rsidP="00B93B17">
      <w:r w:rsidRPr="00B93B17">
        <w:t>Българската външна политика работи за приключването на разговорите по присъединяването на България към Организацията за икономическо сътрудничество и развитие</w:t>
      </w:r>
      <w:r w:rsidRPr="00E71766">
        <w:t>.</w:t>
      </w:r>
    </w:p>
    <w:p w14:paraId="23633BB3" w14:textId="77777777" w:rsidR="00E9058E" w:rsidRPr="007A58A1" w:rsidRDefault="00E9058E" w:rsidP="007560DF">
      <w:pPr>
        <w:pStyle w:val="Heading4"/>
      </w:pPr>
      <w:r w:rsidRPr="007A58A1">
        <w:t>Политика в областта на публичната дипломация и публичните дейности в подкрепа на целите на външната политика</w:t>
      </w:r>
    </w:p>
    <w:p w14:paraId="30F5FB59" w14:textId="77777777" w:rsidR="007732C5" w:rsidRPr="007732C5" w:rsidRDefault="007732C5" w:rsidP="007732C5">
      <w:pPr>
        <w:rPr>
          <w:noProof/>
          <w:szCs w:val="24"/>
        </w:rPr>
      </w:pPr>
      <w:r w:rsidRPr="007732C5">
        <w:rPr>
          <w:noProof/>
          <w:szCs w:val="24"/>
        </w:rPr>
        <w:t>Стратегическа цел на политиката е генериране на благоприятна вътрешна и външна среда и обществена подкрепа, осигуряваща успешно изпълнение на външнополитическата програма и заложените в нея водещи цели и приоритети, част от които са повишаване на специализираните знания и умения на представителите на дипломатическата служба и държавната администрация, чиято дейност е свързана с планиране и провеждане на външната политика на Република България; насърчаване на публичната дискусия по актуални външнополитически теми и приобщаване на българското общество и гражданските институции към външнополитическите позиции и действия на България; подготовка на служителите от централната администрация за пълноценно участие в процеса на вземане на решения в ЕС и международни организации, както и развитие на положителен публичен образ в страната и в чужбина.</w:t>
      </w:r>
    </w:p>
    <w:p w14:paraId="67B85D72" w14:textId="77777777" w:rsidR="00E9058E" w:rsidRPr="007A58A1" w:rsidRDefault="00E9058E" w:rsidP="007560DF">
      <w:pPr>
        <w:pStyle w:val="Heading4"/>
      </w:pPr>
      <w:r w:rsidRPr="007A58A1">
        <w:lastRenderedPageBreak/>
        <w:t>Политика в областта на подкрепата за българските общности и лицата с българско самосъзнание зад граница</w:t>
      </w:r>
    </w:p>
    <w:p w14:paraId="26E5CFA2" w14:textId="77777777" w:rsidR="007732C5" w:rsidRPr="007732C5" w:rsidRDefault="007732C5" w:rsidP="007732C5">
      <w:pPr>
        <w:rPr>
          <w:noProof/>
          <w:szCs w:val="24"/>
        </w:rPr>
      </w:pPr>
      <w:r w:rsidRPr="007732C5">
        <w:rPr>
          <w:noProof/>
          <w:szCs w:val="24"/>
        </w:rPr>
        <w:t xml:space="preserve">Чрез осъществяването на Политиката за подкрепата за българските общности и лицата с българско самосъзнание зад граница се постигат външнополитическите приоритети на страната с оглед опазване и възраждане на българското национално самосъзнание, приобщаване и включване на българските граждани – временно или постоянно пребиваващи зад граница – към държавния и обществено-политическия живот в България; грижа за българските емигранти и техните деца, които са с българско гражданство и постоянно живеещи и работещи в чужбина, и създаване на условия за тяхното завръщане и/или реализация в страната; разпространение на положителния образ на България по света; създаване на подходящи условия за мотивиране към професионална реализация в България на български граждани – временно или постоянно пребиваващи зад граница; използване на възможностите на българските граждани в контекста на мобилността и свободното движение на хора; създаване на по-тесни контакти между българските представители на научната и професионална сфера в страната и чужбина. </w:t>
      </w:r>
    </w:p>
    <w:p w14:paraId="595B3EEF" w14:textId="77777777" w:rsidR="0033580A" w:rsidRPr="00EA6851" w:rsidRDefault="0033580A" w:rsidP="00074767">
      <w:pPr>
        <w:pStyle w:val="Heading3"/>
        <w:ind w:left="0"/>
      </w:pPr>
      <w:r w:rsidRPr="00EA6851">
        <w:t>Политика в областта на енергетиката</w:t>
      </w:r>
    </w:p>
    <w:p w14:paraId="1C8A42CC" w14:textId="77777777" w:rsidR="00657F31" w:rsidRPr="00657F31" w:rsidRDefault="00657F31" w:rsidP="00657F31">
      <w:pPr>
        <w:rPr>
          <w:noProof/>
        </w:rPr>
      </w:pPr>
      <w:r w:rsidRPr="00657F31">
        <w:rPr>
          <w:noProof/>
        </w:rPr>
        <w:t xml:space="preserve">Политиката в областта на енергетиката, изпълнявана от </w:t>
      </w:r>
      <w:r w:rsidRPr="00657F31">
        <w:rPr>
          <w:b/>
          <w:noProof/>
        </w:rPr>
        <w:t>Министерството на енергетиката</w:t>
      </w:r>
      <w:r w:rsidRPr="00657F31">
        <w:rPr>
          <w:noProof/>
        </w:rPr>
        <w:t>, е насочена към устойчиво енергийно развитие на страната, ефективно използване на енергията и енергийните ресурси, задоволяване потребностите на обществото от електрическа и топлинна енергия, природен газ и горива, установяване на по-чисто и ефективно производство на енергия чрез рационално използване на конвенционалните и възобновяеми източници на енергия, минимизиране влиянието на производството, преноса и използването на енергия върху околната среда, подобряване управлението на природните ресурси. Тенденцията е да се гарантира сигурно, безопасно и устойчиво снабдяване с енергия. Целта на енергийната политика е гарантиране на енергийната сигурност на страната чрез проучване на нови райони, от които да се извършва снабдяване с горива, проучване на нови технологии, по-нататъшно разработване на местните ресурси и подобряване на инфраструктурата за достъп до нови източници на снабдяване, в т.ч.:</w:t>
      </w:r>
    </w:p>
    <w:p w14:paraId="7F315C21" w14:textId="77777777" w:rsidR="00657F31" w:rsidRPr="00657F31" w:rsidRDefault="00657F31" w:rsidP="00657F31">
      <w:pPr>
        <w:numPr>
          <w:ilvl w:val="0"/>
          <w:numId w:val="13"/>
        </w:numPr>
        <w:rPr>
          <w:noProof/>
        </w:rPr>
      </w:pPr>
      <w:r w:rsidRPr="00657F31">
        <w:rPr>
          <w:noProof/>
        </w:rPr>
        <w:t>Изграждане на междусистемните газови връзки между България и съседните страни;</w:t>
      </w:r>
    </w:p>
    <w:p w14:paraId="23A85DE5" w14:textId="77777777" w:rsidR="00657F31" w:rsidRPr="00657F31" w:rsidRDefault="00657F31" w:rsidP="00657F31">
      <w:pPr>
        <w:numPr>
          <w:ilvl w:val="0"/>
          <w:numId w:val="13"/>
        </w:numPr>
        <w:rPr>
          <w:noProof/>
        </w:rPr>
      </w:pPr>
      <w:r w:rsidRPr="00657F31">
        <w:rPr>
          <w:noProof/>
        </w:rPr>
        <w:t>Пълна либерализация на пазарите на електроенергия и газ и интегрирането им в Общия европейски енергиен пазар. Защита на уязвимите потребители;</w:t>
      </w:r>
    </w:p>
    <w:p w14:paraId="0D26D011" w14:textId="77777777" w:rsidR="00657F31" w:rsidRPr="00657F31" w:rsidRDefault="00657F31" w:rsidP="00657F31">
      <w:pPr>
        <w:numPr>
          <w:ilvl w:val="0"/>
          <w:numId w:val="13"/>
        </w:numPr>
        <w:rPr>
          <w:noProof/>
        </w:rPr>
      </w:pPr>
      <w:r w:rsidRPr="00657F31">
        <w:rPr>
          <w:noProof/>
        </w:rPr>
        <w:t>Установяване на по-чисто и ефективно производство на енергия чрез по-рационално използване на изкопаемите ресурси, минимизиране влиянието на производството, преноса, разпределението и потреблението на енергия върху околната среда, подобряване управлението на естествените ресурси;</w:t>
      </w:r>
    </w:p>
    <w:p w14:paraId="2508E6A8" w14:textId="77777777" w:rsidR="00657F31" w:rsidRPr="00657F31" w:rsidRDefault="00657F31" w:rsidP="00657F31">
      <w:pPr>
        <w:numPr>
          <w:ilvl w:val="0"/>
          <w:numId w:val="13"/>
        </w:numPr>
        <w:rPr>
          <w:noProof/>
        </w:rPr>
      </w:pPr>
      <w:r w:rsidRPr="00657F31">
        <w:rPr>
          <w:noProof/>
        </w:rPr>
        <w:t>Запазване и развитие капацитета на ядрената енергетика;</w:t>
      </w:r>
    </w:p>
    <w:p w14:paraId="618583A3" w14:textId="77777777" w:rsidR="00657F31" w:rsidRPr="00657F31" w:rsidRDefault="00657F31" w:rsidP="00657F31">
      <w:pPr>
        <w:numPr>
          <w:ilvl w:val="0"/>
          <w:numId w:val="13"/>
        </w:numPr>
        <w:rPr>
          <w:noProof/>
        </w:rPr>
      </w:pPr>
      <w:r w:rsidRPr="00657F31">
        <w:rPr>
          <w:noProof/>
        </w:rPr>
        <w:t>Развитие на нови икономически ефективни проекти, създаващи възможност за екологично нисковъглеродно производство на енергия, без предоставяне на държавни или корпоративни гаранции.</w:t>
      </w:r>
    </w:p>
    <w:p w14:paraId="5A17DE6D" w14:textId="77777777" w:rsidR="0033580A" w:rsidRPr="00EA6851" w:rsidRDefault="0033580A" w:rsidP="00074767">
      <w:pPr>
        <w:pStyle w:val="Heading3"/>
        <w:ind w:left="0"/>
      </w:pPr>
      <w:r w:rsidRPr="00EA6851">
        <w:lastRenderedPageBreak/>
        <w:t>Политика в областта на опазване на околната среда и водите</w:t>
      </w:r>
    </w:p>
    <w:p w14:paraId="60BCF01C" w14:textId="77777777" w:rsidR="00657F31" w:rsidRPr="00657F31" w:rsidRDefault="00657F31" w:rsidP="00657F31">
      <w:pPr>
        <w:rPr>
          <w:noProof/>
        </w:rPr>
      </w:pPr>
      <w:r w:rsidRPr="00657F31">
        <w:rPr>
          <w:noProof/>
        </w:rPr>
        <w:t xml:space="preserve">С провежданата политика в областта на опазването на околната среда и водите се цели опазване и съхраняване на уникалната българска природа и подобряване на екологичната устойчивост. Следи се за баланса между развитието на бизнеса и опазването на биоразнообразието и ресурсите за постигане на максималните възможни ползи за икономиката и обществото. Акцент се поставя върху цели, които укрепват връзките между ресурсната ефективност и принципите на кръговата икономика, издръжливостта на екосистемите и човешкото благополучие, като усилията ще бъдат насочени към подобряване на взаимодействието с бизнеса, национални и регионални органи, местни власти, неправителствени и научни организации. </w:t>
      </w:r>
    </w:p>
    <w:p w14:paraId="4B544D52" w14:textId="77777777" w:rsidR="00657F31" w:rsidRPr="00657F31" w:rsidRDefault="00657F31" w:rsidP="00957ED7">
      <w:pPr>
        <w:rPr>
          <w:noProof/>
        </w:rPr>
      </w:pPr>
      <w:r w:rsidRPr="00657F31">
        <w:rPr>
          <w:noProof/>
        </w:rPr>
        <w:t xml:space="preserve">За провеждането на политиката в областта на опазването на околната среда и водите отговорна институция е </w:t>
      </w:r>
      <w:r w:rsidRPr="00657F31">
        <w:rPr>
          <w:b/>
          <w:noProof/>
        </w:rPr>
        <w:t>Министерството на околната среда и водите</w:t>
      </w:r>
      <w:r w:rsidRPr="00657F31">
        <w:rPr>
          <w:noProof/>
        </w:rPr>
        <w:t xml:space="preserve">, както и </w:t>
      </w:r>
      <w:r w:rsidRPr="00657F31">
        <w:rPr>
          <w:b/>
          <w:noProof/>
        </w:rPr>
        <w:t>Предприятието за управление на дейностите по опазване на околната среда (ПУДООС)</w:t>
      </w:r>
      <w:r w:rsidRPr="00657F31">
        <w:rPr>
          <w:noProof/>
        </w:rPr>
        <w:t xml:space="preserve"> за реализацията на проекти и дейности в изпълнение на национални и общински програми в областта на околната среда. С преминаването на Националния институт по метеорология и хидрология (НИМХ) към Министерството на околната среда и водите се цели по-добра взаимовръзка с оглед изпълнението на дейностите по Закона за водите.</w:t>
      </w:r>
    </w:p>
    <w:p w14:paraId="7C2712E2" w14:textId="77777777" w:rsidR="003A5772" w:rsidRPr="00306A2D" w:rsidRDefault="003A5772" w:rsidP="00026C7D">
      <w:pPr>
        <w:pStyle w:val="Heading4"/>
      </w:pPr>
      <w:r w:rsidRPr="00306A2D">
        <w:t xml:space="preserve">Политика в областта на опазването и ползването на компонентите на околната среда </w:t>
      </w:r>
    </w:p>
    <w:p w14:paraId="020C6EFA" w14:textId="77777777" w:rsidR="00657F31" w:rsidRPr="00657F31" w:rsidRDefault="00657F31" w:rsidP="00657F31">
      <w:pPr>
        <w:rPr>
          <w:noProof/>
        </w:rPr>
      </w:pPr>
      <w:r w:rsidRPr="00657F31">
        <w:rPr>
          <w:noProof/>
        </w:rPr>
        <w:t xml:space="preserve">Стратегическата цел на политиката в областта на опазването и ползването на компонентите на околната среда е насочена към опазване, съхранение и увеличаване на природния капитал, подобряване на управлението на отпадъците, преход към ефективна кръгова и конкурентоспособна нисковъглеродна икономика от гледна точка на използването на ресурсите и провеждане на устойчива политика за постигане на здравословна околна среда и защита на населението от свързани с околната среда въздействия. Визията за развитие на политиката обхваща прилагането и развиването на комплекс от инструменти, които допринасят във висока степен за опазване чистотата на водите, почвите и въздуха, предотвратяване образуването на отпадъците и увеличаване на оползотворяването на отпадъците, адаптиране към измененията на климата и ефективно използване на ресурсите в икономическия цикъл на страната. </w:t>
      </w:r>
    </w:p>
    <w:p w14:paraId="320A1E80" w14:textId="77777777" w:rsidR="00657F31" w:rsidRPr="00657F31" w:rsidRDefault="00657F31" w:rsidP="00957ED7">
      <w:pPr>
        <w:rPr>
          <w:noProof/>
        </w:rPr>
      </w:pPr>
      <w:r w:rsidRPr="00657F31">
        <w:rPr>
          <w:noProof/>
        </w:rPr>
        <w:t>В рамките на тази политика чрез бюджета на Предприятието за управление на дейностите по опазване на околната среда ще бъдат безвъзмездно финансирани екологични проекти на общините, неинвестиционни проекти и дейности, способстващи за осъществяване на политиката, насочени в секторите: управление на водите, управление на отпадъците и ограничаване загубата на биологичното разнообразие и запазване на естествените екосистеми. Проектите са насочени към изграждането на малки водоснабдителни мрежи и съоръжения, пречиствателни станции за отпадъчни и канализационни мрежи и довеждащи колектори както и проекти за изграждане на нови или реконструкция на съществуващи обекти.</w:t>
      </w:r>
    </w:p>
    <w:p w14:paraId="4940D863" w14:textId="77777777" w:rsidR="003A5772" w:rsidRPr="00306A2D" w:rsidRDefault="003A5772" w:rsidP="00026C7D">
      <w:pPr>
        <w:pStyle w:val="Heading4"/>
      </w:pPr>
      <w:r w:rsidRPr="00306A2D">
        <w:t xml:space="preserve">Политика в областта на Националната система за мониторинг на околната среда и информационна обезпеченост </w:t>
      </w:r>
    </w:p>
    <w:p w14:paraId="57BA2E2C" w14:textId="77777777" w:rsidR="00657F31" w:rsidRPr="00657F31" w:rsidRDefault="00657F31" w:rsidP="00657F31">
      <w:pPr>
        <w:rPr>
          <w:noProof/>
        </w:rPr>
      </w:pPr>
      <w:r w:rsidRPr="00657F31">
        <w:rPr>
          <w:noProof/>
        </w:rPr>
        <w:t xml:space="preserve">Политиката в областта на Националната система за мониторинг на околната среда и информационна обезпеченост е насочена към осигуряване на мониторинг на околната </w:t>
      </w:r>
      <w:r w:rsidRPr="00657F31">
        <w:rPr>
          <w:noProof/>
        </w:rPr>
        <w:lastRenderedPageBreak/>
        <w:t>среда, анализ и оценка на състоянието на компонентите и факторите на околната среда за изготвяне и предоставяне на информация, която да служи за основа за вземане на решения относно ефективността и целесъобразността на провежданите политики в областта на околната среда. Основен инструмент на политиката е Националната система за мониторинг на околната среда (НСМОС), чието развитие е насочено към цялостно осигуряване на актуална и достоверна информация за състоянието на околната среда, с което да се гарантира вземането на навременни и ефективни управленски решения, както и към непрекъснато разширяване на обхвата на предоставяната публична информация.</w:t>
      </w:r>
    </w:p>
    <w:p w14:paraId="1C8A3084" w14:textId="77777777" w:rsidR="00657F31" w:rsidRPr="00657F31" w:rsidRDefault="00657F31" w:rsidP="00657F31">
      <w:pPr>
        <w:rPr>
          <w:bCs/>
          <w:noProof/>
        </w:rPr>
      </w:pPr>
      <w:r w:rsidRPr="00657F31">
        <w:rPr>
          <w:noProof/>
        </w:rPr>
        <w:t xml:space="preserve">В рамките на тази политика чрез Националния институт за метеорология и хидрология се извършва мониторинг </w:t>
      </w:r>
      <w:r w:rsidRPr="00657F31">
        <w:rPr>
          <w:bCs/>
          <w:noProof/>
        </w:rPr>
        <w:t>на количеството на валежите, подземните и повърхностните води, осигуряват се метеорологични прогнози, анализи и оценки на тенденциите и се създават сценарии за климатични изменения и влиянието им върху ресурсите и други.</w:t>
      </w:r>
    </w:p>
    <w:p w14:paraId="7C740C52" w14:textId="77777777" w:rsidR="0033580A" w:rsidRPr="00EA6851" w:rsidRDefault="0033580A" w:rsidP="00074767">
      <w:pPr>
        <w:pStyle w:val="Heading3"/>
        <w:ind w:left="0"/>
      </w:pPr>
      <w:r w:rsidRPr="00EA6851">
        <w:t>Политика в областта на регионалното развитие</w:t>
      </w:r>
    </w:p>
    <w:p w14:paraId="0B0993DD" w14:textId="77777777" w:rsidR="00960D92" w:rsidRPr="00A42321" w:rsidRDefault="00960D92" w:rsidP="00026C7D">
      <w:pPr>
        <w:pStyle w:val="Heading4"/>
      </w:pPr>
      <w:r w:rsidRPr="00A42321">
        <w:t>Политика за интегрирано развитие на регионите за постигане на растеж и подобряване качеството на жизнената среда</w:t>
      </w:r>
    </w:p>
    <w:p w14:paraId="097A3252" w14:textId="77777777" w:rsidR="00657F31" w:rsidRPr="00657F31" w:rsidRDefault="00657F31" w:rsidP="00657F31">
      <w:r w:rsidRPr="00657F31">
        <w:t xml:space="preserve">Чрез провежданата от </w:t>
      </w:r>
      <w:r w:rsidRPr="00000F10">
        <w:rPr>
          <w:b/>
        </w:rPr>
        <w:t>Министерството на регионалното развитие и благоустройството (МРРБ)</w:t>
      </w:r>
      <w:r w:rsidRPr="00657F31">
        <w:t xml:space="preserve"> политика за интегрирано развитие на регионите за постигане на растеж и подобряване качеството на живот в България се цели да се създадат жизнени, силни и устойчиви региони като отговор на неблагоприятните демографски тенденции и задълбочаване на между-регионалните и вътрешно-регионалните различия.</w:t>
      </w:r>
    </w:p>
    <w:p w14:paraId="2FE92DA3" w14:textId="77777777" w:rsidR="00657F31" w:rsidRPr="00657F31" w:rsidRDefault="00657F31" w:rsidP="00657F31">
      <w:r w:rsidRPr="00657F31">
        <w:t xml:space="preserve">Тази политика е насочена към подобряване качеството на жизнената среда и превръщането на регионите в привлекателно място за инвестиции и бизнес, както и прилагане на целенасочени мерки за подпомагане на регионите, изоставащи с развитието си, като се отчитат специфичните им нужди и местния потенциал за развитие. Целта е насочена към сближаване в три аспекта – икономическо, социално и териториално сближаване, както и три нива – европейско – с регионите на ЕС, национално – между българските райони и вътрешно регионално – между общините в отделните райони. </w:t>
      </w:r>
    </w:p>
    <w:p w14:paraId="1F888262" w14:textId="77777777" w:rsidR="00657F31" w:rsidRPr="00657F31" w:rsidRDefault="00657F31" w:rsidP="00657F31">
      <w:r w:rsidRPr="00657F31">
        <w:t xml:space="preserve">Изпълнението на проекти и програми, свързани с устойчивото развитие на регионите, е сред приоритетите на МРРБ и включва както мерки по обновяване на жилищния сграден фонд, така и мерки за енергийна ефективност в многофамилни жилищни сгради, което ще допринесе за постигане на по-добри параметри на многоетажните жилищни сгради и до подобряване икономическите условия в градовете, повишаване на заетостта сред населението, създаване на условия за нови инвестиции в регионите и подобряване на конкурентоспособността на икономическите субекти. В тази връзка МРРБ стартира втори етап на Националната програма за енергийна ефективност на многофамилните жилищни сгради. Изпълнението на мерките за енергийна ефективност в многофамилни жилищни сгради ще допринесе за по-високо ниво на енергийната ефективност на многофамилните жилищни сгради и намаляване на разходите за енергия, подобряване на експлоатационните характеристики за удължаване на жизнения цикъл на сградите и осигуряване на условия на жизнена среда в съответствие с критериите за устойчиво развитие. </w:t>
      </w:r>
      <w:r w:rsidRPr="00665688">
        <w:t>Предвиденият ресурс по програмата за периода 2026-2030 г. се предвижда да възлезе на 1 280</w:t>
      </w:r>
      <w:r w:rsidR="00000F10" w:rsidRPr="00665688">
        <w:t>,0</w:t>
      </w:r>
      <w:r w:rsidRPr="00665688">
        <w:t xml:space="preserve"> млн. евро, разпределен по години, както следва:</w:t>
      </w:r>
      <w:r w:rsidRPr="00657F31">
        <w:t xml:space="preserve"> </w:t>
      </w:r>
      <w:r w:rsidR="000C38C4" w:rsidRPr="00665688">
        <w:t xml:space="preserve">за </w:t>
      </w:r>
      <w:r w:rsidRPr="00665688">
        <w:t xml:space="preserve">2026 г. – </w:t>
      </w:r>
      <w:r w:rsidR="00665688">
        <w:t>15</w:t>
      </w:r>
      <w:r w:rsidRPr="00665688">
        <w:t xml:space="preserve">,1 млн. евро, </w:t>
      </w:r>
      <w:r w:rsidR="000C38C4" w:rsidRPr="00665688">
        <w:t xml:space="preserve">за </w:t>
      </w:r>
      <w:r w:rsidRPr="00665688">
        <w:t xml:space="preserve">2027 г. – 54,3 млн. евро, </w:t>
      </w:r>
      <w:r w:rsidR="000C38C4" w:rsidRPr="00665688">
        <w:t xml:space="preserve">за </w:t>
      </w:r>
      <w:r w:rsidRPr="00665688">
        <w:t xml:space="preserve">2028 г. – </w:t>
      </w:r>
      <w:r w:rsidR="000135AF" w:rsidRPr="00665688">
        <w:t>389</w:t>
      </w:r>
      <w:r w:rsidR="00000F10" w:rsidRPr="00665688">
        <w:t>,0</w:t>
      </w:r>
      <w:r w:rsidRPr="00665688">
        <w:t xml:space="preserve"> млн. евро, </w:t>
      </w:r>
      <w:r w:rsidR="000C38C4" w:rsidRPr="00665688">
        <w:t xml:space="preserve">за </w:t>
      </w:r>
      <w:r w:rsidRPr="00665688">
        <w:t>2029 г. – 450</w:t>
      </w:r>
      <w:r w:rsidR="00000F10" w:rsidRPr="00665688">
        <w:t xml:space="preserve">,0 млн. евро и за 2030 г.– </w:t>
      </w:r>
      <w:r w:rsidRPr="00665688">
        <w:t>3</w:t>
      </w:r>
      <w:r w:rsidR="00665688">
        <w:t>71</w:t>
      </w:r>
      <w:r w:rsidRPr="00665688">
        <w:t>,6 млн. евро.</w:t>
      </w:r>
    </w:p>
    <w:p w14:paraId="52FEBDF8" w14:textId="77777777" w:rsidR="00657F31" w:rsidRPr="00657F31" w:rsidRDefault="00657F31" w:rsidP="00657F31">
      <w:r w:rsidRPr="00657F31">
        <w:lastRenderedPageBreak/>
        <w:t>Изпълнението на програмата ще се изпълнява със съдействието на Българската банка за развитие (ББР).</w:t>
      </w:r>
    </w:p>
    <w:p w14:paraId="11CAC12B" w14:textId="77777777" w:rsidR="00960D92" w:rsidRPr="00A42321" w:rsidRDefault="00960D92" w:rsidP="00026C7D">
      <w:pPr>
        <w:pStyle w:val="Heading4"/>
      </w:pPr>
      <w:r w:rsidRPr="00A42321">
        <w:t xml:space="preserve">Политика за подобряване на инвестиционния процес, поддържане, модернизация и изграждане на техническата инфраструктура </w:t>
      </w:r>
    </w:p>
    <w:p w14:paraId="2A613B94" w14:textId="77777777" w:rsidR="00657F31" w:rsidRDefault="00657F31" w:rsidP="00657F31">
      <w:r w:rsidRPr="00657F31">
        <w:t>Политиката е свързана с дейности за управление, поддържане и изграждане на ВиК инфраструктурата с цел осигуряване на съответствие с директивите на Европейския съюз в областта на водите и устойчивост при предоставяне на ВиК услугите. Приоритетите по отношение на устройството на територията са свързани с осигуряване на териториалното развитие, устройството на територията, административно-териториалното устройство, децентрализацията, изграждането и развитието на техническата инфраструктура и благоустрояването на урбанизираните територии (населени места и селищни образувания), в съответствие с националните стратегически документи, приоритети и програми в сферата на пространственото развитие, пътната инфраструктура</w:t>
      </w:r>
      <w:r w:rsidR="000C38C4">
        <w:t xml:space="preserve"> и</w:t>
      </w:r>
      <w:r w:rsidRPr="00657F31">
        <w:t xml:space="preserve"> ВиК инфраструктурата.</w:t>
      </w:r>
    </w:p>
    <w:p w14:paraId="6F377601" w14:textId="77777777" w:rsidR="00B93B17" w:rsidRDefault="00B93B17" w:rsidP="00657F31">
      <w:r w:rsidRPr="00B93B17">
        <w:t>В рамките на тази политика чрез бюджета на МРРБ се финансират и изпълняват приоритетни проекти във ВиК сектора и геозащитата.</w:t>
      </w:r>
    </w:p>
    <w:p w14:paraId="3DB6EB04" w14:textId="77777777" w:rsidR="002377DA" w:rsidRPr="00EA6851" w:rsidRDefault="002377DA" w:rsidP="00074767">
      <w:pPr>
        <w:pStyle w:val="Heading3"/>
        <w:ind w:left="0"/>
      </w:pPr>
      <w:r w:rsidRPr="00EA6851">
        <w:t>Политика в областта на културата</w:t>
      </w:r>
    </w:p>
    <w:p w14:paraId="2D62CC99" w14:textId="77777777" w:rsidR="00152932" w:rsidRPr="00A42321" w:rsidRDefault="00152932" w:rsidP="00026C7D">
      <w:pPr>
        <w:pStyle w:val="Heading4"/>
      </w:pPr>
      <w:r w:rsidRPr="00A42321">
        <w:t xml:space="preserve">Политика в областта на опазване на движимото и недвижимото културно наследство </w:t>
      </w:r>
    </w:p>
    <w:p w14:paraId="424FE2BF" w14:textId="77777777" w:rsidR="00EF64AD" w:rsidRPr="00EF64AD" w:rsidRDefault="00EF64AD" w:rsidP="00EF64AD">
      <w:r w:rsidRPr="00EF64AD">
        <w:t>Основните приоритети на политиката в областта на опазване на движимото и недвижимото културно наследство са опазване и социализиране на културното наследство и стимулиране на обвързването му с туристическите продукти, привличане на проектно финансиране в областта на културата по различни програми и донори, развитие и техническо усъвършенстване на музейната мрежа, привличане на средства от Европейските програми и двустранни спогодби за подкрепа на културата и утвърждаване на България като дестинация за осъществяване на международни културни проекти.</w:t>
      </w:r>
    </w:p>
    <w:p w14:paraId="0DBA9913" w14:textId="77777777" w:rsidR="00EF64AD" w:rsidRPr="00EF64AD" w:rsidRDefault="00EF64AD" w:rsidP="00EF64AD">
      <w:r w:rsidRPr="00EF64AD">
        <w:t xml:space="preserve">В областта на опазването на </w:t>
      </w:r>
      <w:r w:rsidRPr="00EF64AD">
        <w:rPr>
          <w:i/>
        </w:rPr>
        <w:t>недвижимото културно</w:t>
      </w:r>
      <w:r w:rsidRPr="00EF64AD">
        <w:t xml:space="preserve"> наследство ще продължи държавната подкрепа за извършване на археологически проучвания, реставрация и съпътстваща консервация (укрепване, защитни покрития, вертикална планировка и др.) на значими археологически обекти, както и извършването на </w:t>
      </w:r>
      <w:proofErr w:type="spellStart"/>
      <w:r w:rsidRPr="00EF64AD">
        <w:t>консервационно</w:t>
      </w:r>
      <w:proofErr w:type="spellEnd"/>
      <w:r w:rsidRPr="00EF64AD">
        <w:t>-реставрационни работи на недвижими културни ценности.</w:t>
      </w:r>
    </w:p>
    <w:p w14:paraId="4A8F1FA8" w14:textId="77777777" w:rsidR="00EF64AD" w:rsidRPr="00864DAD" w:rsidRDefault="00EF64AD" w:rsidP="00957ED7">
      <w:r w:rsidRPr="00EF64AD">
        <w:t xml:space="preserve">В областта на опазването и представянето на </w:t>
      </w:r>
      <w:r w:rsidRPr="00EF64AD">
        <w:rPr>
          <w:i/>
        </w:rPr>
        <w:t>движимото културно и аудио-визуално наследство</w:t>
      </w:r>
      <w:r w:rsidRPr="00EF64AD">
        <w:t xml:space="preserve"> (държавните музеи, художествените галерии и Българската национална филмотека) ще продължи финансирането на дейностите им по стандарти в подкрепа на възможностите за по-голяма самостоятелност и мотивация на работещите в музейното дело за популяризирането на националното културно богатство.</w:t>
      </w:r>
    </w:p>
    <w:p w14:paraId="6FBE3AE2" w14:textId="77777777" w:rsidR="00152932" w:rsidRPr="00845C25" w:rsidRDefault="00152932" w:rsidP="00026C7D">
      <w:pPr>
        <w:pStyle w:val="Heading4"/>
      </w:pPr>
      <w:r w:rsidRPr="00845C25">
        <w:t>Политика в областта на създаване и популяризиране на съвременно изкуство в страната и чужбина и достъп до качествено художествено образование</w:t>
      </w:r>
    </w:p>
    <w:p w14:paraId="6FE5DB8C" w14:textId="77777777" w:rsidR="00EF64AD" w:rsidRPr="00EF64AD" w:rsidRDefault="00EF64AD" w:rsidP="00EF64AD">
      <w:r w:rsidRPr="00EF64AD">
        <w:t xml:space="preserve">Основните приоритети на политиката в тази област са оптимизиране на действащата система на финансиране в мрежата на сценичните изкуства и повишаване на ефективността на маркетинга и атрактивността на предлаганите културни продукти, </w:t>
      </w:r>
      <w:r w:rsidRPr="00EF64AD">
        <w:lastRenderedPageBreak/>
        <w:t>разширяване на равнопоставения достъп до култура и културно наследство, опазване и социализиране на културното наследство и стимулиране на обвързването му с туристическите продукти, привличане на проектно финансиране в областта на културата по различни програми и донори, привличане на средства от европейските програми и двустранни спогодби за подкрепа на културата, разширяване на гамата на предлаганите културни продукти и услуги в чужбина и утвърждаване на България като дестинация за осъществяване на международни културни проекти.</w:t>
      </w:r>
    </w:p>
    <w:p w14:paraId="602475FB" w14:textId="77777777" w:rsidR="00EF64AD" w:rsidRPr="00EF64AD" w:rsidRDefault="00EF64AD" w:rsidP="00EF64AD">
      <w:r w:rsidRPr="00EF64AD">
        <w:t xml:space="preserve">В областта на </w:t>
      </w:r>
      <w:r w:rsidRPr="00EF64AD">
        <w:rPr>
          <w:i/>
        </w:rPr>
        <w:t>филмовото изкуство</w:t>
      </w:r>
      <w:r w:rsidRPr="00EF64AD">
        <w:t xml:space="preserve"> ще продължи подкрепата за създаването на нови български филми. </w:t>
      </w:r>
    </w:p>
    <w:p w14:paraId="71CEFC37" w14:textId="77777777" w:rsidR="00EF64AD" w:rsidRPr="00EF64AD" w:rsidRDefault="00EF64AD" w:rsidP="00EF64AD">
      <w:r w:rsidRPr="00EF64AD">
        <w:t xml:space="preserve">В областта на </w:t>
      </w:r>
      <w:r w:rsidRPr="00EF64AD">
        <w:rPr>
          <w:i/>
        </w:rPr>
        <w:t>сценичните изкуства (театри, опери, оперно-филхармонични дружества, оркестри и ансамбли)</w:t>
      </w:r>
      <w:r w:rsidRPr="00EF64AD">
        <w:t xml:space="preserve"> ще продължи подобряване на управлението, осигуряване на по-голямо разнообразие от представления и на по-широк достъп на зрителите до художествения продукт, както и създаване на трайна уредба на единните разходни стандарти за финансиране на държавните културни институти, осъществяващи дейности в областта на сценичните изкуства. Издръжката за държавните културни институти в областта на сценичните изкуства е увеличе</w:t>
      </w:r>
      <w:r>
        <w:t>на със 17,</w:t>
      </w:r>
      <w:r w:rsidRPr="00EF64AD">
        <w:t>4 млн. евро за 2026 г.</w:t>
      </w:r>
    </w:p>
    <w:p w14:paraId="2CAEC89C" w14:textId="77777777" w:rsidR="00EF64AD" w:rsidRDefault="00EF64AD" w:rsidP="00957ED7">
      <w:r w:rsidRPr="00EF64AD">
        <w:t xml:space="preserve">В областта на </w:t>
      </w:r>
      <w:r w:rsidRPr="00EF64AD">
        <w:rPr>
          <w:i/>
        </w:rPr>
        <w:t>литературното наследство</w:t>
      </w:r>
      <w:r w:rsidRPr="00EF64AD">
        <w:t xml:space="preserve"> основните приоритети ще се насочат към подкрепа на книгоиздаването чрез подпомагане на издателската дейност и популяризиране на българската книга по света и създаване на условия за развитието и утвърждаването на библиотеките като съвременни центрове, осигуряващи ефективно библиотечно информационно обслужване на широк кръг потребители. Националната библиотека „Св. св. Кирил и Методий“ ще продължи финансирането на дейностите си по стандарти, прилагайки системата на делегиран бюджет.</w:t>
      </w:r>
    </w:p>
    <w:p w14:paraId="4852E19D" w14:textId="77777777" w:rsidR="00AC7A0D" w:rsidRPr="00AC7A0D" w:rsidRDefault="00BE5924" w:rsidP="00AC7A0D">
      <w:r w:rsidRPr="00AC7A0D">
        <w:rPr>
          <w:i/>
        </w:rPr>
        <w:t>За делегираните от държавата дейности</w:t>
      </w:r>
      <w:r w:rsidRPr="00AC7A0D">
        <w:t xml:space="preserve"> в областта на култура</w:t>
      </w:r>
      <w:r>
        <w:t>та</w:t>
      </w:r>
      <w:r w:rsidRPr="00AC7A0D">
        <w:t xml:space="preserve">, финансирани чрез бюджетите на общините за 2026 г. е предвидено увеличение от </w:t>
      </w:r>
      <w:r w:rsidRPr="000B6A65">
        <w:t>2</w:t>
      </w:r>
      <w:r>
        <w:t>2,8</w:t>
      </w:r>
      <w:r w:rsidRPr="00AC7A0D">
        <w:t xml:space="preserve"> млн. евро спрямо програмата за 2025 г. Средствата са за осигуряване ръста на минималната работна заплата от 1 януари 202</w:t>
      </w:r>
      <w:r>
        <w:t>6 г.,</w:t>
      </w:r>
      <w:r w:rsidRPr="00AC7A0D">
        <w:t xml:space="preserve"> политиката по доходите за увеличение с </w:t>
      </w:r>
      <w:r>
        <w:t>10</w:t>
      </w:r>
      <w:r w:rsidRPr="00AC7A0D">
        <w:t xml:space="preserve">% на възнагражденията на персонала извън наетия на МРЗ, както </w:t>
      </w:r>
      <w:r>
        <w:t xml:space="preserve">и </w:t>
      </w:r>
      <w:r w:rsidRPr="00AC7A0D">
        <w:t>промяна в натуралните показатели на музеите, художествените галерии и читалищата</w:t>
      </w:r>
      <w:r>
        <w:t>.</w:t>
      </w:r>
      <w:r w:rsidR="00AC7A0D" w:rsidRPr="00AC7A0D">
        <w:t xml:space="preserve"> През 2026 г. е </w:t>
      </w:r>
      <w:r w:rsidR="000B6A65" w:rsidRPr="000B6A65">
        <w:t>предвидено</w:t>
      </w:r>
      <w:r w:rsidR="00AC7A0D" w:rsidRPr="00AC7A0D">
        <w:t xml:space="preserve"> да се изравни размерът на стандарта на регионални библиотеки с размера на стандарта за музеи и художествени галерии с регионален характер, като за целта са разчетени допълнително 0,8 млн. евро.</w:t>
      </w:r>
    </w:p>
    <w:p w14:paraId="2EA60ED1" w14:textId="77777777" w:rsidR="00AC7A0D" w:rsidRPr="00AC7A0D" w:rsidRDefault="00AC7A0D" w:rsidP="00AC7A0D">
      <w:r w:rsidRPr="00AC7A0D">
        <w:t xml:space="preserve">През 2026 г. по предложение на министъра на културата като делегирана дейност е предвидено да се финансират и 49 общински музея и художествени галерии. </w:t>
      </w:r>
    </w:p>
    <w:p w14:paraId="3393260B" w14:textId="77777777" w:rsidR="0033580A" w:rsidRPr="00EA6851" w:rsidRDefault="0033580A" w:rsidP="00074767">
      <w:pPr>
        <w:pStyle w:val="Heading3"/>
        <w:ind w:left="0"/>
      </w:pPr>
      <w:bookmarkStart w:id="309" w:name="_Toc464464925"/>
      <w:bookmarkStart w:id="310" w:name="_Toc464465431"/>
      <w:bookmarkStart w:id="311" w:name="_Toc464465619"/>
      <w:bookmarkStart w:id="312" w:name="_Toc464466444"/>
      <w:bookmarkStart w:id="313" w:name="_Toc464466688"/>
      <w:bookmarkStart w:id="314" w:name="_Toc464466731"/>
      <w:bookmarkStart w:id="315" w:name="_Toc464470237"/>
      <w:bookmarkStart w:id="316" w:name="_Toc464645003"/>
      <w:bookmarkStart w:id="317" w:name="_Toc464646370"/>
      <w:r w:rsidRPr="00EA6851">
        <w:t>Политика в областта на младежта и спорта</w:t>
      </w:r>
    </w:p>
    <w:p w14:paraId="2F273DBA" w14:textId="77777777" w:rsidR="00EF64AD" w:rsidRPr="00845C25" w:rsidRDefault="00EF64AD" w:rsidP="00957ED7">
      <w:pPr>
        <w:rPr>
          <w:rFonts w:eastAsia="Times New Roman" w:cs="Times New Roman"/>
        </w:rPr>
      </w:pPr>
      <w:r w:rsidRPr="00EF64AD">
        <w:rPr>
          <w:rFonts w:eastAsia="Times New Roman" w:cs="Times New Roman"/>
          <w:b/>
        </w:rPr>
        <w:t xml:space="preserve">Политиките в областта на младежта и спорта </w:t>
      </w:r>
      <w:r w:rsidRPr="00EF64AD">
        <w:rPr>
          <w:rFonts w:eastAsia="Times New Roman" w:cs="Times New Roman"/>
        </w:rPr>
        <w:t xml:space="preserve">са насочени към насърчаване на икономическата активност и развитие на младите хора, развитие на спорта за учащи и спорта в свободното време, развитие и утвърждаване </w:t>
      </w:r>
      <w:r>
        <w:rPr>
          <w:rFonts w:eastAsia="Times New Roman" w:cs="Times New Roman"/>
        </w:rPr>
        <w:t>на спорта за високи постижения.</w:t>
      </w:r>
    </w:p>
    <w:p w14:paraId="0F77D839" w14:textId="77777777" w:rsidR="00097EB2" w:rsidRPr="00097EB2" w:rsidRDefault="00097EB2" w:rsidP="00026C7D">
      <w:pPr>
        <w:pStyle w:val="Heading4"/>
      </w:pPr>
      <w:r w:rsidRPr="00097EB2">
        <w:t>Политика в областта на младите хора</w:t>
      </w:r>
    </w:p>
    <w:p w14:paraId="03AEB969" w14:textId="77777777" w:rsidR="00EF64AD" w:rsidRPr="00EF64AD" w:rsidRDefault="00EF64AD" w:rsidP="00EF64AD">
      <w:pPr>
        <w:rPr>
          <w:rFonts w:eastAsia="Times New Roman" w:cs="Times New Roman"/>
        </w:rPr>
      </w:pPr>
      <w:r w:rsidRPr="00EF64AD">
        <w:rPr>
          <w:rFonts w:eastAsia="Times New Roman" w:cs="Times New Roman"/>
          <w:b/>
          <w:i/>
        </w:rPr>
        <w:t>Политиката за младежта</w:t>
      </w:r>
      <w:r w:rsidRPr="00EF64AD">
        <w:rPr>
          <w:rFonts w:eastAsia="Times New Roman" w:cs="Times New Roman"/>
        </w:rPr>
        <w:t xml:space="preserve"> се разработва с оглед подобряване на качеството на живот на младите хора и създаването на условия за успеха на всеки млад човек чрез създаване на устойчиви механизми за инвестиране в младежта като значим социален капитал и </w:t>
      </w:r>
      <w:r w:rsidRPr="00EF64AD">
        <w:rPr>
          <w:rFonts w:eastAsia="Times New Roman" w:cs="Times New Roman"/>
        </w:rPr>
        <w:lastRenderedPageBreak/>
        <w:t xml:space="preserve">мобилизиране на потенциала на развитието на младите хора в България и Европейския съюз. </w:t>
      </w:r>
    </w:p>
    <w:p w14:paraId="610B952F" w14:textId="77777777" w:rsidR="00EF64AD" w:rsidRPr="00EF64AD" w:rsidRDefault="00EF64AD" w:rsidP="00EF64AD">
      <w:pPr>
        <w:rPr>
          <w:rFonts w:eastAsia="Times New Roman" w:cs="Times New Roman"/>
        </w:rPr>
      </w:pPr>
      <w:r w:rsidRPr="00EF64AD">
        <w:rPr>
          <w:rFonts w:eastAsia="Times New Roman" w:cs="Times New Roman"/>
        </w:rPr>
        <w:t>Приоритетите в областта на младежта са насочени към: улесняване на достъпа до качествени услуги за специална подкрепа на пълноценното личностно и обществено развитие на младите хора в съответствие с потребностите и интересите им; развитие на доброволчеството сред младите хора като движеща сила за личностно развитие, мобилност, учене, конкурентоспособност, социално сближаване, солидарност между поколенията и формиране на гражданско самосъзнание; осигуряване на възможности за пълноценно участие на младите хора в гражданския живот и за приобщаването им към основните демократични ценности и стандарти; превенция срещу рисково поведение и различни форми на зависимост.</w:t>
      </w:r>
    </w:p>
    <w:p w14:paraId="14671414" w14:textId="77777777" w:rsidR="00EF64AD" w:rsidRPr="00EF64AD" w:rsidRDefault="00EF64AD" w:rsidP="00EF64AD">
      <w:pPr>
        <w:rPr>
          <w:rFonts w:eastAsia="Times New Roman" w:cs="Times New Roman"/>
        </w:rPr>
      </w:pPr>
      <w:r w:rsidRPr="00EF64AD">
        <w:rPr>
          <w:rFonts w:eastAsia="Times New Roman" w:cs="Times New Roman"/>
        </w:rPr>
        <w:t>За периода 202</w:t>
      </w:r>
      <w:r w:rsidRPr="008A5C40">
        <w:rPr>
          <w:rFonts w:eastAsia="Times New Roman" w:cs="Times New Roman"/>
        </w:rPr>
        <w:t>6</w:t>
      </w:r>
      <w:r w:rsidRPr="00EF64AD">
        <w:rPr>
          <w:rFonts w:eastAsia="Times New Roman" w:cs="Times New Roman"/>
        </w:rPr>
        <w:t>-2028 г. са осигурени условия за изпълнение на целите и дейностите във връзка с реализирането на приоритетите на провежданата политика в областта на младите хора.</w:t>
      </w:r>
    </w:p>
    <w:p w14:paraId="5179FB3C" w14:textId="77777777" w:rsidR="00EF64AD" w:rsidRPr="00EF64AD" w:rsidRDefault="00EF64AD" w:rsidP="00EF64AD">
      <w:pPr>
        <w:rPr>
          <w:rFonts w:eastAsia="Times New Roman" w:cs="Times New Roman"/>
        </w:rPr>
      </w:pPr>
      <w:r w:rsidRPr="00EF64AD">
        <w:rPr>
          <w:rFonts w:eastAsia="Times New Roman" w:cs="Times New Roman"/>
        </w:rPr>
        <w:t>Основните цели и дейности в областта на младите хора се реализират по две национални програми – Национална програма за младежта и Национална програма за изпълнение на младежки дейности по чл. 10а от Закона за хазарта.</w:t>
      </w:r>
    </w:p>
    <w:p w14:paraId="4FA820EF" w14:textId="77777777" w:rsidR="00EF64AD" w:rsidRPr="00EF64AD" w:rsidRDefault="00EF64AD" w:rsidP="00EF64AD">
      <w:pPr>
        <w:rPr>
          <w:rFonts w:eastAsia="Times New Roman" w:cs="Times New Roman"/>
        </w:rPr>
      </w:pPr>
      <w:r w:rsidRPr="00EF64AD">
        <w:rPr>
          <w:rFonts w:eastAsia="Times New Roman" w:cs="Times New Roman"/>
          <w:b/>
          <w:i/>
        </w:rPr>
        <w:t>Политиката в областта на спорта</w:t>
      </w:r>
      <w:r w:rsidRPr="00EF64AD">
        <w:rPr>
          <w:rFonts w:eastAsia="Times New Roman" w:cs="Times New Roman"/>
        </w:rPr>
        <w:t xml:space="preserve"> е насочена към укрепването на здравето и физическата активност, практикуването на спорт от всички и развитие на спорта за високи постижения.</w:t>
      </w:r>
    </w:p>
    <w:p w14:paraId="00045F7F" w14:textId="77777777" w:rsidR="00EF64AD" w:rsidRPr="00EF64AD" w:rsidRDefault="00EF64AD" w:rsidP="00EF64AD">
      <w:pPr>
        <w:rPr>
          <w:rFonts w:eastAsia="Times New Roman" w:cs="Times New Roman"/>
        </w:rPr>
      </w:pPr>
      <w:r w:rsidRPr="00EF64AD">
        <w:rPr>
          <w:rFonts w:eastAsia="Times New Roman" w:cs="Times New Roman"/>
        </w:rPr>
        <w:t>За периода са разчетени и разходи за финансиране на дейности в областта на физическото възпитание, спорта и културата за сметка на постъпления от хазартните игри, организирани от Държавно предприятие „Български спортен тотализатор“, съгласно разпоредбите на Закона за хазарта:</w:t>
      </w:r>
    </w:p>
    <w:p w14:paraId="42D0497A" w14:textId="77777777" w:rsidR="00EF64AD" w:rsidRPr="00EF64AD" w:rsidRDefault="00EF64AD" w:rsidP="005B790D">
      <w:pPr>
        <w:numPr>
          <w:ilvl w:val="0"/>
          <w:numId w:val="24"/>
        </w:numPr>
        <w:rPr>
          <w:rFonts w:eastAsia="Times New Roman" w:cs="Times New Roman"/>
        </w:rPr>
      </w:pPr>
      <w:r w:rsidRPr="00EF64AD">
        <w:rPr>
          <w:rFonts w:eastAsia="Times New Roman" w:cs="Times New Roman"/>
        </w:rPr>
        <w:t>капиталови разходи за поддържане, ремонт, реконструкция, цялостно обновяване или създаване на нови спортни обекти и/или спортни съоръжения в държавните и общинските училища въз основа на съвместна годишна програма на министъра на младежта и спорта и министъра на образованието и науката съгласно чл. 14, ал. 3, т. 2 от Закона за хазарта;</w:t>
      </w:r>
    </w:p>
    <w:p w14:paraId="4B9FABF5" w14:textId="77777777" w:rsidR="00EF64AD" w:rsidRPr="00EF64AD" w:rsidRDefault="00EF64AD" w:rsidP="005B790D">
      <w:pPr>
        <w:numPr>
          <w:ilvl w:val="0"/>
          <w:numId w:val="24"/>
        </w:numPr>
        <w:rPr>
          <w:rFonts w:eastAsia="Times New Roman" w:cs="Times New Roman"/>
        </w:rPr>
      </w:pPr>
      <w:r w:rsidRPr="00EF64AD">
        <w:rPr>
          <w:rFonts w:eastAsia="Times New Roman" w:cs="Times New Roman"/>
        </w:rPr>
        <w:t>дейности, финансирани от Национален фонд „Култура“</w:t>
      </w:r>
      <w:r w:rsidRPr="008A5C40">
        <w:rPr>
          <w:rFonts w:eastAsia="Times New Roman" w:cs="Times New Roman"/>
        </w:rPr>
        <w:t xml:space="preserve"> </w:t>
      </w:r>
      <w:r w:rsidRPr="00EF64AD">
        <w:rPr>
          <w:rFonts w:eastAsia="Times New Roman" w:cs="Times New Roman"/>
        </w:rPr>
        <w:t xml:space="preserve">съгласно чл. 14, ал. 3, т. 3 от Закона за хазарта. </w:t>
      </w:r>
    </w:p>
    <w:p w14:paraId="4794A727" w14:textId="77777777" w:rsidR="00EF64AD" w:rsidRPr="00EF64AD" w:rsidRDefault="00EF64AD" w:rsidP="00EF64AD">
      <w:pPr>
        <w:rPr>
          <w:rFonts w:eastAsia="Times New Roman" w:cs="Times New Roman"/>
        </w:rPr>
      </w:pPr>
      <w:r w:rsidRPr="00EF64AD">
        <w:rPr>
          <w:rFonts w:eastAsia="Times New Roman" w:cs="Times New Roman"/>
        </w:rPr>
        <w:t xml:space="preserve">Съгласно § 9, ал. 2 от преходните и заключителните разпоредби на Закона за хазарта в бюджетната прогноза за периода 2026-2028 г. на Министерството на младежта и спорта са предвидени разходи за дейности в областта на физическото възпитание, физическата активност, спорта и спортно-туристическата дейност в размер, надвишаващ размера на данъка по Закона за корпоративното подоходно облагане, променливата част от таксите по чл. 30, ал. 3 и 4, внесени през 2024 г. в държавния </w:t>
      </w:r>
      <w:r w:rsidR="00B078B3">
        <w:rPr>
          <w:rFonts w:eastAsia="Times New Roman" w:cs="Times New Roman"/>
        </w:rPr>
        <w:t>бюджет от Държавно предприятие „Български спортен тотализатор“</w:t>
      </w:r>
      <w:r w:rsidRPr="00EF64AD">
        <w:rPr>
          <w:rFonts w:eastAsia="Times New Roman" w:cs="Times New Roman"/>
        </w:rPr>
        <w:t xml:space="preserve">. </w:t>
      </w:r>
    </w:p>
    <w:p w14:paraId="2CDD5225" w14:textId="77777777" w:rsidR="00EF64AD" w:rsidRPr="00864DAD" w:rsidRDefault="00EF64AD" w:rsidP="00957ED7">
      <w:pPr>
        <w:rPr>
          <w:rFonts w:eastAsia="Times New Roman" w:cs="Times New Roman"/>
        </w:rPr>
      </w:pPr>
      <w:r w:rsidRPr="00EF64AD">
        <w:rPr>
          <w:rFonts w:eastAsia="Times New Roman" w:cs="Times New Roman"/>
        </w:rPr>
        <w:t>За периода 2026-2028 г. са осигурени условия и финансов ресурс за изпълнението на целите и дейностите във връзка с реализирането на приоритетите на провежданите политики в областта на спорта.</w:t>
      </w:r>
    </w:p>
    <w:p w14:paraId="41A51A27" w14:textId="77777777" w:rsidR="00097EB2" w:rsidRPr="00097EB2" w:rsidRDefault="00097EB2" w:rsidP="00026C7D">
      <w:pPr>
        <w:pStyle w:val="Heading4"/>
      </w:pPr>
      <w:r w:rsidRPr="00097EB2">
        <w:lastRenderedPageBreak/>
        <w:t>Политика в областта на спорта за учащи и спорта в свободното време</w:t>
      </w:r>
    </w:p>
    <w:p w14:paraId="75E9134C" w14:textId="77777777" w:rsidR="00071DC9" w:rsidRPr="00071DC9" w:rsidRDefault="00071DC9" w:rsidP="00071DC9">
      <w:pPr>
        <w:rPr>
          <w:rFonts w:eastAsia="Times New Roman" w:cs="Times New Roman"/>
        </w:rPr>
      </w:pPr>
      <w:r w:rsidRPr="00071DC9">
        <w:rPr>
          <w:rFonts w:eastAsia="Times New Roman" w:cs="Times New Roman"/>
        </w:rPr>
        <w:t>Приоритетите на политиката в об</w:t>
      </w:r>
      <w:r w:rsidR="00A7795D">
        <w:rPr>
          <w:rFonts w:eastAsia="Times New Roman" w:cs="Times New Roman"/>
        </w:rPr>
        <w:t>ластта на спорта за учащи, в т.</w:t>
      </w:r>
      <w:r w:rsidRPr="00071DC9">
        <w:rPr>
          <w:rFonts w:eastAsia="Times New Roman" w:cs="Times New Roman"/>
        </w:rPr>
        <w:t>ч. деца в риск, са насочени към насърчаване на учащите от различните възрастови групи към физическа активност, здравословен начин на живот и създаване на навици за занимания със спорт. Водеща цел на политиката по отношение на спортните училища е свързана с осигуряване на условия за качествен подбор на деца със спортен талант, конкурентна среда за развитие, възможности за спортно усъвършенстване, създаване на възможности за реализиране на „двойна кариера“ и мотивираща среда за професионалната и личностната реализация на спортистите.</w:t>
      </w:r>
    </w:p>
    <w:p w14:paraId="09962F3E" w14:textId="77777777" w:rsidR="00071DC9" w:rsidRPr="00071DC9" w:rsidRDefault="00071DC9" w:rsidP="00071DC9">
      <w:pPr>
        <w:rPr>
          <w:rFonts w:eastAsia="Times New Roman" w:cs="Times New Roman"/>
        </w:rPr>
      </w:pPr>
      <w:r w:rsidRPr="00071DC9">
        <w:rPr>
          <w:rFonts w:eastAsia="Times New Roman" w:cs="Times New Roman"/>
        </w:rPr>
        <w:t>Приоритетите на политиката в областта на спорта в свободното време (спорта за всички и спортно-туристическата дейност) са насочени към укрепване на здравето на гражданите чрез здравословна физическа активност и осигуряване на условия за практикуване на спорт, изява и реализиране на лични спортни резултати, увеличаване броя на лицата, практикуващи спорт като средство за профилактика, поддържане и съхраняване на здравето и на тяхната физическа дееспособност.</w:t>
      </w:r>
    </w:p>
    <w:p w14:paraId="619F0EE6" w14:textId="77777777" w:rsidR="00097EB2" w:rsidRPr="00097EB2" w:rsidRDefault="00097EB2" w:rsidP="00026C7D">
      <w:pPr>
        <w:pStyle w:val="Heading4"/>
      </w:pPr>
      <w:r w:rsidRPr="00097EB2">
        <w:t>Политика в областта на спорта за високи постижения</w:t>
      </w:r>
    </w:p>
    <w:p w14:paraId="2E0B824B" w14:textId="77777777" w:rsidR="00071DC9" w:rsidRPr="00071DC9" w:rsidRDefault="00071DC9" w:rsidP="00071DC9">
      <w:pPr>
        <w:rPr>
          <w:rFonts w:eastAsia="Times New Roman" w:cs="Times New Roman"/>
        </w:rPr>
      </w:pPr>
      <w:r w:rsidRPr="00071DC9">
        <w:rPr>
          <w:rFonts w:eastAsia="Times New Roman" w:cs="Times New Roman"/>
        </w:rPr>
        <w:t>Политиката е насочена към създаване на условия и възможности за развитие на елитния спорт на регионално, национално и международно ниво чрез реализиране на програми, оптимизиране управлението на спортната подготовка и подобряване на координацията между държавните институции, общините и спортните организации, предоставяне на обективна информация и анализи с високо качество относно динамиката на функционалния капацитет и физическите качества на тестваните спортисти и изпълнение на заложените цели и приоритети в областта на държавната политика по отношение на борбата срещу използването на допинг в спорта.</w:t>
      </w:r>
    </w:p>
    <w:p w14:paraId="0A9250F0" w14:textId="77777777" w:rsidR="00071DC9" w:rsidRPr="00071DC9" w:rsidRDefault="00071DC9" w:rsidP="00071DC9">
      <w:pPr>
        <w:rPr>
          <w:rFonts w:eastAsia="Times New Roman" w:cs="Times New Roman"/>
        </w:rPr>
      </w:pPr>
      <w:r w:rsidRPr="00071DC9">
        <w:rPr>
          <w:rFonts w:eastAsia="Times New Roman" w:cs="Times New Roman"/>
        </w:rPr>
        <w:t>Политиката е разработена за реализиране на следните основни цели:</w:t>
      </w:r>
    </w:p>
    <w:p w14:paraId="2A37CAED"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Реализиране на програми за елитен спорт и осигурен ефективен тренировъчен процес за постигане на спортни резултати на международно ниво;</w:t>
      </w:r>
    </w:p>
    <w:p w14:paraId="3970A15E"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Развитие на потенциала на младите талантливи спортисти;</w:t>
      </w:r>
    </w:p>
    <w:p w14:paraId="30EB60A0"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Разработване и внедряване на нови методики за оптимизиране на методите за контрол и оценка на ефективността на тренировъчните въздействия;</w:t>
      </w:r>
    </w:p>
    <w:p w14:paraId="50E6ACEC"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Създаване на условия за реализиране на ефективен тренировъчен и състезателен процес на спортистите, масовизиране на заниманията със спорт в различните възрастови групи и усъвършенстване на системата за управление на тренировъчния процес, като възможност за спортно развитие и основа за реализиране на високи спортни резултати;</w:t>
      </w:r>
    </w:p>
    <w:p w14:paraId="3C84A88F"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 xml:space="preserve">Подпомагане провеждането на международни спортни прояви на територията на страната (домакинства на състезания и първенства от международния спортен календар); </w:t>
      </w:r>
    </w:p>
    <w:p w14:paraId="48435316"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 xml:space="preserve">Осигуряване на награди на спортисти, медалисти и </w:t>
      </w:r>
      <w:proofErr w:type="spellStart"/>
      <w:r w:rsidRPr="00071DC9">
        <w:rPr>
          <w:rFonts w:eastAsia="Times New Roman" w:cs="Times New Roman"/>
        </w:rPr>
        <w:t>призьори</w:t>
      </w:r>
      <w:proofErr w:type="spellEnd"/>
      <w:r w:rsidRPr="00071DC9">
        <w:rPr>
          <w:rFonts w:eastAsia="Times New Roman" w:cs="Times New Roman"/>
        </w:rPr>
        <w:t xml:space="preserve"> от европейски и световни първенства, олимпийски игри и аналогични първенства и игри за хора с увреждания за постигнати спортни резултати и класирания; </w:t>
      </w:r>
    </w:p>
    <w:p w14:paraId="59D7445D"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lastRenderedPageBreak/>
        <w:t xml:space="preserve">Осигуряване на месечни премии на медалисти от олимпийски и </w:t>
      </w:r>
      <w:proofErr w:type="spellStart"/>
      <w:r w:rsidRPr="00071DC9">
        <w:rPr>
          <w:rFonts w:eastAsia="Times New Roman" w:cs="Times New Roman"/>
        </w:rPr>
        <w:t>паралимпийски</w:t>
      </w:r>
      <w:proofErr w:type="spellEnd"/>
      <w:r w:rsidRPr="00071DC9">
        <w:rPr>
          <w:rFonts w:eastAsia="Times New Roman" w:cs="Times New Roman"/>
        </w:rPr>
        <w:t xml:space="preserve"> игри, прекратили активната си състезателна дейност и на треньори на олимпийските медалисти и на сборните олимпийски отбори по съответния спорт;</w:t>
      </w:r>
    </w:p>
    <w:p w14:paraId="326687AA"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Предотвратяване на употребата на допинг в спорта и борба с това явление до окончателното му премахване;</w:t>
      </w:r>
    </w:p>
    <w:p w14:paraId="226F6378" w14:textId="77777777" w:rsidR="00071DC9" w:rsidRPr="00071DC9" w:rsidRDefault="00071DC9" w:rsidP="005B790D">
      <w:pPr>
        <w:numPr>
          <w:ilvl w:val="0"/>
          <w:numId w:val="25"/>
        </w:numPr>
        <w:rPr>
          <w:rFonts w:eastAsia="Times New Roman" w:cs="Times New Roman"/>
        </w:rPr>
      </w:pPr>
      <w:r w:rsidRPr="00071DC9">
        <w:rPr>
          <w:rFonts w:eastAsia="Times New Roman" w:cs="Times New Roman"/>
        </w:rPr>
        <w:t>Постигане на социален ефект чрез отразяване на постиженията на елитните спортисти и увеличена популярност на спорта сред подрастващите, издигане спортния престиж на нацията на световно равнище и популяризирането на страната като спортна и туристическа дестинация.</w:t>
      </w:r>
    </w:p>
    <w:p w14:paraId="2647BCD9" w14:textId="77777777" w:rsidR="00097EB2" w:rsidRPr="00026C7D" w:rsidRDefault="00097EB2" w:rsidP="00026C7D">
      <w:pPr>
        <w:pStyle w:val="Heading4"/>
      </w:pPr>
      <w:r w:rsidRPr="00026C7D">
        <w:t>Политика в областта на привеждането на спортните обекти и съоръжения във вид, отговарящ на съвременните международни стандарти</w:t>
      </w:r>
    </w:p>
    <w:p w14:paraId="2924AAE6" w14:textId="77777777" w:rsidR="00071DC9" w:rsidRPr="00071DC9" w:rsidRDefault="00071DC9" w:rsidP="00071DC9">
      <w:pPr>
        <w:rPr>
          <w:rFonts w:eastAsia="Times New Roman" w:cs="Times New Roman"/>
        </w:rPr>
      </w:pPr>
      <w:r w:rsidRPr="00071DC9">
        <w:rPr>
          <w:rFonts w:eastAsia="Times New Roman" w:cs="Times New Roman"/>
        </w:rPr>
        <w:t>Държавната политика в тази област е насочена към изграждане, реконструкция и модернизация на спортните обекти и съоръжения и обектите за социален туризъм с цел привеждането им във вид, отговарящ на съвременните международни стандарти. Спортните обекти и съоръжения и обектите за социален туризъм са основна предпоставка за развитие на системата на физическото възпитание и спорта.</w:t>
      </w:r>
    </w:p>
    <w:p w14:paraId="7EBCF9C4" w14:textId="77777777" w:rsidR="00071DC9" w:rsidRPr="00071DC9" w:rsidRDefault="00071DC9" w:rsidP="00071DC9">
      <w:pPr>
        <w:rPr>
          <w:rFonts w:eastAsia="Times New Roman" w:cs="Times New Roman"/>
        </w:rPr>
      </w:pPr>
      <w:r w:rsidRPr="00071DC9">
        <w:rPr>
          <w:rFonts w:eastAsia="Times New Roman" w:cs="Times New Roman"/>
        </w:rPr>
        <w:t>Изграждането на съвременна спортна инфраструктура дава възможност за оптимални условия за спортна подготовка, провеждане на подготвителни лагери и организиране на състезания от държавния и международния спортен календар. Изграждането на модерни спортни съоръжения е предпоставка за привличане на подрастващите към системни занимания със спорт, привикване към здравословен начин на живот и превенция на зависимости.</w:t>
      </w:r>
    </w:p>
    <w:p w14:paraId="32C6C798" w14:textId="77777777" w:rsidR="00097EB2" w:rsidRPr="00026C7D" w:rsidRDefault="00097EB2" w:rsidP="00026C7D">
      <w:pPr>
        <w:pStyle w:val="Heading4"/>
      </w:pPr>
      <w:r w:rsidRPr="00026C7D">
        <w:t>Политика в областта на усвояването и прилагането на добри международни практики за спорта</w:t>
      </w:r>
    </w:p>
    <w:p w14:paraId="0EE3E192" w14:textId="77777777" w:rsidR="00071DC9" w:rsidRDefault="00071DC9" w:rsidP="00071DC9">
      <w:pPr>
        <w:rPr>
          <w:rFonts w:eastAsia="Times New Roman" w:cs="Times New Roman"/>
          <w:bCs/>
          <w:iCs/>
        </w:rPr>
      </w:pPr>
      <w:r w:rsidRPr="00071DC9">
        <w:rPr>
          <w:rFonts w:eastAsia="Times New Roman" w:cs="Times New Roman"/>
          <w:bCs/>
          <w:iCs/>
        </w:rPr>
        <w:t>Основната цел на политиката е оползотворяване на възможностите, произтичащи от членството ни в Европейския съюз, както и прилагане на добри международни практики в областта на спорта и подкрепа на дейността на спортните организации за въвеждане на нови европейски и световни управленски практики.</w:t>
      </w:r>
    </w:p>
    <w:p w14:paraId="57515F3A" w14:textId="77777777" w:rsidR="00734A76" w:rsidRPr="00EA6851" w:rsidRDefault="0033580A" w:rsidP="00074767">
      <w:pPr>
        <w:pStyle w:val="Heading3"/>
        <w:ind w:left="0"/>
      </w:pPr>
      <w:bookmarkStart w:id="318" w:name="_Политика_в_областта"/>
      <w:bookmarkEnd w:id="318"/>
      <w:r w:rsidRPr="00EA6851">
        <w:t>Политика в областта на транспорта и съобщенията</w:t>
      </w:r>
    </w:p>
    <w:p w14:paraId="67BF0EF5" w14:textId="77777777" w:rsidR="00734A76" w:rsidRPr="00F77D5B" w:rsidRDefault="00734A76" w:rsidP="00026C7D">
      <w:pPr>
        <w:pStyle w:val="Heading4"/>
      </w:pPr>
      <w:r w:rsidRPr="00F77D5B">
        <w:t>Политика в областта на транспорта</w:t>
      </w:r>
    </w:p>
    <w:p w14:paraId="27ADB382" w14:textId="77777777" w:rsidR="00CE794C" w:rsidRPr="00CE794C" w:rsidRDefault="00CE794C" w:rsidP="00CE794C">
      <w:r w:rsidRPr="00CE794C">
        <w:t xml:space="preserve">Политиката в областта на транспорта е насочена към развитие на базисната транспортна инфраструктура, която е важно условие за поддържането на устойчив икономически растеж. Основен приоритет на транспортната политика е повишаване на качеството на предлаганите транспортни услуги и устойчивото развитие на транспорта. Транспортният сектор е ключов за българската икономика, както поради неговата свързваща роля по отношение на останалите сектори, така и заради собствения му принос в брутната добавена стойност и заетостта. </w:t>
      </w:r>
    </w:p>
    <w:p w14:paraId="4DCC4849" w14:textId="77777777" w:rsidR="00CE794C" w:rsidRPr="00CE794C" w:rsidRDefault="00CE794C" w:rsidP="00CE794C">
      <w:r w:rsidRPr="00CE794C">
        <w:t>Развитието на транспортната инфраструктура, продиктувано от нуждите на икономиката и обществото,</w:t>
      </w:r>
      <w:r w:rsidRPr="00CE794C">
        <w:rPr>
          <w:bCs/>
        </w:rPr>
        <w:t xml:space="preserve"> извеждат на преден план железопътния транспорт – дигитализацията в сектора, повишаването на енергийната ефективност, закупуването на нов подвижен състав с високи екологични показатели, внедряването на системи за безопасност и </w:t>
      </w:r>
      <w:r w:rsidRPr="00CE794C">
        <w:rPr>
          <w:bCs/>
        </w:rPr>
        <w:lastRenderedPageBreak/>
        <w:t>сигурност, интермодалния</w:t>
      </w:r>
      <w:r w:rsidR="00F449A8">
        <w:rPr>
          <w:bCs/>
        </w:rPr>
        <w:t>т</w:t>
      </w:r>
      <w:r w:rsidRPr="00CE794C">
        <w:rPr>
          <w:bCs/>
        </w:rPr>
        <w:t xml:space="preserve"> транспорт – в който преобладават екологичните видове транспорт (комбинирания транспорт), строителството на нови интермодални терминали, използването на алтернативни горива, разширение на метрото. </w:t>
      </w:r>
    </w:p>
    <w:p w14:paraId="30FDEBFE" w14:textId="77777777" w:rsidR="00CE794C" w:rsidRPr="00CE794C" w:rsidRDefault="00CE794C" w:rsidP="00CE794C">
      <w:r w:rsidRPr="00CE794C">
        <w:t xml:space="preserve">Приоритет е и поддържането и развитието на републиканската пътна инфраструктура в съответствие със съвременните изисквания на автомобилния транспорт чрез изграждане на националната мрежа от магистрали и скоростни пътища, свързването ѝ с европейските транспортни коридори, модернизация и обновяване на републиканската пътна мрежа и осигуряване на добро експлоатационно състояние и ниво на безопасност на съществуващата пътна мрежа. </w:t>
      </w:r>
    </w:p>
    <w:p w14:paraId="18533017" w14:textId="77777777" w:rsidR="00CE794C" w:rsidRPr="00CE794C" w:rsidRDefault="00CE794C" w:rsidP="00CE794C">
      <w:r w:rsidRPr="00CE794C">
        <w:t>В рамките на капиталовите разходи по бюджета на Министерството на регионалното развитие и благоустройството за периода 2026-2028 г. се предвижда да бъдат финансирани следните приоритетни инвестиционни проекти:</w:t>
      </w:r>
    </w:p>
    <w:p w14:paraId="4A689A67" w14:textId="77777777" w:rsidR="00CE794C" w:rsidRPr="00CE794C" w:rsidRDefault="00CE794C" w:rsidP="00215864">
      <w:pPr>
        <w:ind w:firstLine="360"/>
      </w:pPr>
      <w:r w:rsidRPr="00CE794C">
        <w:t>-</w:t>
      </w:r>
      <w:r w:rsidRPr="00CE794C">
        <w:tab/>
        <w:t>За изгра</w:t>
      </w:r>
      <w:r w:rsidR="00215864">
        <w:t>ждане на автомагистрала „Хемус“;</w:t>
      </w:r>
      <w:r w:rsidRPr="00CE794C">
        <w:t xml:space="preserve"> </w:t>
      </w:r>
    </w:p>
    <w:p w14:paraId="29F8362A" w14:textId="77777777" w:rsidR="00CE794C" w:rsidRPr="00CE794C" w:rsidRDefault="00CE794C" w:rsidP="00215864">
      <w:pPr>
        <w:ind w:firstLine="360"/>
      </w:pPr>
      <w:r w:rsidRPr="00CE794C">
        <w:t>-</w:t>
      </w:r>
      <w:r w:rsidRPr="00CE794C">
        <w:tab/>
        <w:t>Реконструкция и разширен</w:t>
      </w:r>
      <w:r w:rsidR="00215864">
        <w:t>ие на Софийски околовръстен път;</w:t>
      </w:r>
    </w:p>
    <w:p w14:paraId="3242AD72" w14:textId="77777777" w:rsidR="00CE794C" w:rsidRPr="00CE794C" w:rsidRDefault="00CE794C" w:rsidP="00215864">
      <w:pPr>
        <w:ind w:firstLine="360"/>
      </w:pPr>
      <w:r w:rsidRPr="00CE794C">
        <w:t>-</w:t>
      </w:r>
      <w:r w:rsidRPr="00CE794C">
        <w:tab/>
        <w:t>За изграж</w:t>
      </w:r>
      <w:r w:rsidR="00215864">
        <w:t>дане на автомагистрала „Струма“;</w:t>
      </w:r>
    </w:p>
    <w:p w14:paraId="4304AD21" w14:textId="77777777" w:rsidR="00CE794C" w:rsidRPr="00CE794C" w:rsidRDefault="00CE794C" w:rsidP="00215864">
      <w:pPr>
        <w:ind w:firstLine="360"/>
      </w:pPr>
      <w:r w:rsidRPr="00CE794C">
        <w:t>-</w:t>
      </w:r>
      <w:r w:rsidRPr="00CE794C">
        <w:tab/>
        <w:t>За изграждане на автомаг</w:t>
      </w:r>
      <w:r w:rsidR="00A7795D">
        <w:t>истрала „Русе -</w:t>
      </w:r>
      <w:r w:rsidR="00215864">
        <w:t xml:space="preserve"> Велико Търново“;</w:t>
      </w:r>
    </w:p>
    <w:p w14:paraId="2572A61A" w14:textId="77777777" w:rsidR="00CE794C" w:rsidRPr="00CE794C" w:rsidRDefault="00CE794C" w:rsidP="00215864">
      <w:pPr>
        <w:ind w:firstLine="360"/>
      </w:pPr>
      <w:r w:rsidRPr="00CE794C">
        <w:t>-</w:t>
      </w:r>
      <w:r w:rsidRPr="00CE794C">
        <w:tab/>
        <w:t>Модернизация на път I-1 (Е79) "Видин - Ботевград".</w:t>
      </w:r>
    </w:p>
    <w:p w14:paraId="3A5B087D" w14:textId="77777777" w:rsidR="00CE794C" w:rsidRPr="00CE794C" w:rsidRDefault="00CE794C" w:rsidP="00957ED7">
      <w:r w:rsidRPr="00CE794C">
        <w:t xml:space="preserve">Отговорни институции за изпълнението на политиката в областта на транспорта са </w:t>
      </w:r>
      <w:r w:rsidRPr="00CE794C">
        <w:rPr>
          <w:b/>
        </w:rPr>
        <w:t>Министерството на транспорта и съобщенията</w:t>
      </w:r>
      <w:r w:rsidRPr="00CE794C">
        <w:t xml:space="preserve"> и </w:t>
      </w:r>
      <w:r w:rsidRPr="00CE794C">
        <w:rPr>
          <w:b/>
        </w:rPr>
        <w:t>Министерството на регионалното развитие и благоустройството чрез Агенция „Пътна инфраструктура“</w:t>
      </w:r>
      <w:r w:rsidRPr="00CE794C">
        <w:t>.</w:t>
      </w:r>
    </w:p>
    <w:p w14:paraId="51618378" w14:textId="77777777" w:rsidR="00734A76" w:rsidRPr="00DC63A3" w:rsidRDefault="00734A76" w:rsidP="00026C7D">
      <w:pPr>
        <w:pStyle w:val="Heading4"/>
      </w:pPr>
      <w:r w:rsidRPr="00DC63A3">
        <w:t>Политика в областта на съобщенията и цифровата свързаност</w:t>
      </w:r>
    </w:p>
    <w:p w14:paraId="24FD6731" w14:textId="77777777" w:rsidR="00CE794C" w:rsidRPr="00CE794C" w:rsidRDefault="00CE794C" w:rsidP="00CE794C">
      <w:pPr>
        <w:rPr>
          <w:bCs/>
        </w:rPr>
      </w:pPr>
      <w:r w:rsidRPr="00CE794C">
        <w:rPr>
          <w:bCs/>
        </w:rPr>
        <w:t>Политиката в областта на съобщенията отразява необходимостта от установяване на подходящ баланс между интересите на всички участници на пазара, както на електронните съобщителни мрежи и услуги, от една страна и от друга – хармонизация на законодателството в съответствие с европейската регулаторна рамка в областта на съобщенията при отчитане на националните особености.</w:t>
      </w:r>
    </w:p>
    <w:p w14:paraId="286C790D" w14:textId="77777777" w:rsidR="00CE794C" w:rsidRPr="00CE794C" w:rsidRDefault="00CE794C" w:rsidP="00CE794C">
      <w:pPr>
        <w:rPr>
          <w:bCs/>
        </w:rPr>
      </w:pPr>
      <w:r w:rsidRPr="00CE794C">
        <w:rPr>
          <w:bCs/>
        </w:rPr>
        <w:t>Цифровата</w:t>
      </w:r>
      <w:r w:rsidRPr="00CE794C">
        <w:rPr>
          <w:b/>
          <w:bCs/>
        </w:rPr>
        <w:t xml:space="preserve"> </w:t>
      </w:r>
      <w:r w:rsidRPr="00CE794C">
        <w:rPr>
          <w:bCs/>
        </w:rPr>
        <w:t xml:space="preserve">свързаност е от стратегическо значение за растежа и иновациите във всички сектори на икономиката и за социалното и териториалното сближаване. Тя поддържа ефективността на бизнеса, гарантира конкурентоспособността на икономиката и дава възможност на гражданите да подобрят уменията си и да се възползват от онлайн услуги и предложения, включително ключови обществени услуги. </w:t>
      </w:r>
    </w:p>
    <w:p w14:paraId="646CAEAE" w14:textId="77777777" w:rsidR="00CE794C" w:rsidRPr="00CE794C" w:rsidRDefault="00CE794C" w:rsidP="00CE794C">
      <w:pPr>
        <w:rPr>
          <w:bCs/>
        </w:rPr>
      </w:pPr>
      <w:r w:rsidRPr="00CE794C">
        <w:rPr>
          <w:bCs/>
        </w:rPr>
        <w:t xml:space="preserve">До 2030 г. България трябва да бъде снабдена със симетрични </w:t>
      </w:r>
      <w:proofErr w:type="spellStart"/>
      <w:r w:rsidRPr="00CE794C">
        <w:rPr>
          <w:bCs/>
        </w:rPr>
        <w:t>гигабитови</w:t>
      </w:r>
      <w:proofErr w:type="spellEnd"/>
      <w:r w:rsidRPr="00CE794C">
        <w:rPr>
          <w:bCs/>
        </w:rPr>
        <w:t xml:space="preserve"> мрежи за достъп в цялата страна. Устойчивата оптична мрежа, комбинирана с универсално достъпна мобилна мрежа, ще позволи на всеки гражданин, всеки бизнес и всяка публична институция да използва възможностите за цифровизация при равни условия в цялата страна. </w:t>
      </w:r>
    </w:p>
    <w:p w14:paraId="38762393" w14:textId="77777777" w:rsidR="00CE794C" w:rsidRPr="00CE794C" w:rsidRDefault="00373E33" w:rsidP="00957ED7">
      <w:pPr>
        <w:rPr>
          <w:bCs/>
        </w:rPr>
      </w:pPr>
      <w:r>
        <w:rPr>
          <w:bCs/>
        </w:rPr>
        <w:t xml:space="preserve">Усилията ще бъдат насочени към преодоляване </w:t>
      </w:r>
      <w:r w:rsidR="00CE794C" w:rsidRPr="00CE794C">
        <w:rPr>
          <w:bCs/>
        </w:rPr>
        <w:t xml:space="preserve">в максимална степен </w:t>
      </w:r>
      <w:r>
        <w:rPr>
          <w:bCs/>
        </w:rPr>
        <w:t xml:space="preserve">на </w:t>
      </w:r>
      <w:r w:rsidR="00CE794C" w:rsidRPr="00CE794C">
        <w:rPr>
          <w:bCs/>
        </w:rPr>
        <w:t xml:space="preserve">цифровото разделение чрез разгръщане на цифрова свързаност в отдалечените и слабонаселени райони и повишаване на цифровите компетентности на населението, постигайки целите на политическата програма „Цифрово десетилетие“ до 2030 г., а именно </w:t>
      </w:r>
      <w:proofErr w:type="spellStart"/>
      <w:r w:rsidR="00CE794C" w:rsidRPr="00CE794C">
        <w:rPr>
          <w:bCs/>
        </w:rPr>
        <w:t>гигабитов</w:t>
      </w:r>
      <w:proofErr w:type="spellEnd"/>
      <w:r w:rsidR="00CE794C" w:rsidRPr="00CE794C">
        <w:rPr>
          <w:bCs/>
        </w:rPr>
        <w:t xml:space="preserve"> интернет за всички европейски домакинства и 5G за всички населени места до 2030 г. В </w:t>
      </w:r>
      <w:r w:rsidR="00CE794C" w:rsidRPr="00CE794C">
        <w:rPr>
          <w:bCs/>
        </w:rPr>
        <w:lastRenderedPageBreak/>
        <w:t>резултат на това България ще играе съществена роля в европейския цифров пазар и ще осигури и разшири позицията си на доверен партньор, утвърждаващ европейските ценности на Западните Балкани.</w:t>
      </w:r>
    </w:p>
    <w:p w14:paraId="273F9A7E" w14:textId="77777777" w:rsidR="00434D0A" w:rsidRPr="00DC63A3" w:rsidRDefault="00E71237" w:rsidP="00074767">
      <w:pPr>
        <w:pStyle w:val="Heading3"/>
        <w:ind w:left="0"/>
      </w:pPr>
      <w:r w:rsidRPr="00DC63A3">
        <w:t>Политика в областта на електронното управление</w:t>
      </w:r>
    </w:p>
    <w:p w14:paraId="4E169051" w14:textId="77777777" w:rsidR="004C0B1F" w:rsidRPr="004C0B1F" w:rsidRDefault="004C0B1F" w:rsidP="004C0B1F">
      <w:pPr>
        <w:rPr>
          <w:bCs/>
        </w:rPr>
      </w:pPr>
      <w:r w:rsidRPr="004C0B1F">
        <w:rPr>
          <w:bCs/>
        </w:rPr>
        <w:t xml:space="preserve">Мисията на </w:t>
      </w:r>
      <w:r w:rsidRPr="004C0B1F">
        <w:rPr>
          <w:b/>
          <w:bCs/>
        </w:rPr>
        <w:t>Министерството на електронното управление</w:t>
      </w:r>
      <w:r w:rsidRPr="004C0B1F">
        <w:rPr>
          <w:bCs/>
        </w:rPr>
        <w:t xml:space="preserve"> </w:t>
      </w:r>
      <w:r w:rsidR="00573125">
        <w:rPr>
          <w:bCs/>
        </w:rPr>
        <w:t xml:space="preserve">(МЕУ) </w:t>
      </w:r>
      <w:r w:rsidRPr="004C0B1F">
        <w:rPr>
          <w:bCs/>
        </w:rPr>
        <w:t>е да провежда политиката на цифровата трансформация на Република България, като създава необходимите нормативни и технологични условия за развитие на електронното управление, информационните технологии и информационното общество, осигурява мрежовата и информационна сигурност на услугите и ресурсите, които предоставя на другите администрации, гражданите и бизнеса в съответствие с изискванията на потребителите и при спазване на националното и европейското законодателство.</w:t>
      </w:r>
    </w:p>
    <w:p w14:paraId="52AB4446" w14:textId="77777777" w:rsidR="004C0B1F" w:rsidRPr="004C0B1F" w:rsidRDefault="004C0B1F" w:rsidP="004C0B1F">
      <w:pPr>
        <w:rPr>
          <w:bCs/>
        </w:rPr>
      </w:pPr>
      <w:r w:rsidRPr="004C0B1F">
        <w:rPr>
          <w:bCs/>
        </w:rPr>
        <w:t>Провежданата държавна политика, включвайки електронните удостоверителни услуги, електронната идентификация, инфраструктурата за пространствена информация и информацията от обществения сектор в машинно четим отворен формат и създаването, съхранението, управлението и споделянето на данни, допринася икономическата и социалната среда да е все по-конкурентоспособна и бързо развиваща се.</w:t>
      </w:r>
    </w:p>
    <w:p w14:paraId="0F670AE6" w14:textId="77777777" w:rsidR="004C0B1F" w:rsidRPr="004C0B1F" w:rsidRDefault="004C0B1F" w:rsidP="004C0B1F">
      <w:pPr>
        <w:rPr>
          <w:bCs/>
        </w:rPr>
      </w:pPr>
      <w:r w:rsidRPr="004C0B1F">
        <w:rPr>
          <w:bCs/>
        </w:rPr>
        <w:t xml:space="preserve">Ключов приоритет е подобряване и развитие на електронното управление като основен инструмент за реализиране на важни политики, които правят икономическата и социалната среда все по-конкурентноспособна и бързо развиваща се. Политиката в областта на електронното управление цели да допринесе за постигането на значителен интелигентен, устойчив и приобщаващ цифров растеж, който да гарантира максималното използване на иновационния икономически и социален потенциал на информационните технологии (ИТ) като подготви българските граждани да придобият умения за живот и работа в цифрова среда. Създаването на цифрови институции е основополагащо за постигането на действителен единен цифров пазар. Цифровата трансформация на администрацията и публичните институции води до повишаване на качеството на административните услуги, преминаване към рационални електронни процеси на функциониране и управление в публичния сектор и за достъп по електронен път и повторно използване на информацията. Основната платформа за цифровата трансформация е електронното управление. </w:t>
      </w:r>
    </w:p>
    <w:p w14:paraId="7F19C862" w14:textId="77777777" w:rsidR="004C0B1F" w:rsidRPr="004C0B1F" w:rsidRDefault="004C0B1F" w:rsidP="004C0B1F">
      <w:pPr>
        <w:rPr>
          <w:bCs/>
        </w:rPr>
      </w:pPr>
      <w:r w:rsidRPr="004C0B1F">
        <w:rPr>
          <w:bCs/>
        </w:rPr>
        <w:t xml:space="preserve">През последното десетилетие световната икономика осезаемо се превръща в цифрова. Секторът на информационните и комуникационните технологии (ИКТ) трайно навлиза във всички области на социалния и икономическия живот. Това все по-широко и стремително навлизане на цифровите технологии в бизнеса, обществения живот и административното управление е причината за промяна на </w:t>
      </w:r>
      <w:r w:rsidR="007833A5">
        <w:rPr>
          <w:bCs/>
        </w:rPr>
        <w:t>подхода на Европейската комисия</w:t>
      </w:r>
      <w:r w:rsidRPr="004C0B1F">
        <w:rPr>
          <w:bCs/>
        </w:rPr>
        <w:t xml:space="preserve"> към темата за бъдещото развитие и координация на процесите на цифровата трансформация. По тази причина е разработена политическата програма „Цифрово десетилетие” до 2030 г., която влезе в сила на 8 януари 2023 г. Програмата поставя амбициозни цели пред Европейския съюз в четири основни политически области на цифровата трансформация: цифрови умения; цифрова свързаност; цифровизация на предприятията и цифровизация на обществените услуги.</w:t>
      </w:r>
    </w:p>
    <w:p w14:paraId="1B294599" w14:textId="77777777" w:rsidR="004C0B1F" w:rsidRPr="004C0B1F" w:rsidRDefault="004C0B1F" w:rsidP="004C0B1F">
      <w:pPr>
        <w:rPr>
          <w:bCs/>
        </w:rPr>
      </w:pPr>
      <w:r w:rsidRPr="004C0B1F">
        <w:rPr>
          <w:bCs/>
        </w:rPr>
        <w:t xml:space="preserve">Напредъкът в развитието на електронното управление се свързва с прилагането на принципите и изискванията на Закона за електронното управление, както и привеждането в съответствие с него на законодателната рамка в отделните области на </w:t>
      </w:r>
      <w:r w:rsidRPr="004C0B1F">
        <w:rPr>
          <w:bCs/>
        </w:rPr>
        <w:lastRenderedPageBreak/>
        <w:t>политики, в които нормативни актове въвеждат изключения от реда, предвиден в Закона за електронното управление.</w:t>
      </w:r>
    </w:p>
    <w:p w14:paraId="195FCAF0" w14:textId="77777777" w:rsidR="004C0B1F" w:rsidRPr="004C0B1F" w:rsidRDefault="004C0B1F" w:rsidP="004C0B1F">
      <w:pPr>
        <w:rPr>
          <w:bCs/>
        </w:rPr>
      </w:pPr>
      <w:r w:rsidRPr="004C0B1F">
        <w:rPr>
          <w:bCs/>
        </w:rPr>
        <w:t xml:space="preserve">Наред с нормативния аспект, важна роля за развитие на електронното управление има и изграждането и надграждането на информационните ресурси, включително споделени, хоризонтални и централизирани информационни системи и инфраструктурата, чрез които се осъществява служебният и автоматизиран обмен на данни и информация, и се предоставят електронни административни услуги или ИТ услуги. Така налагането на единна архитектура на електронното управление и транслирането на нейните изисквания към секторните архитектури по различните области на политики е в основата на ефективното, ефикасно и икономично разходване на публичните средства за електронно управление и информационни и комуникационни технологии в администрацията. Без висококачествена и устойчива цифрова инфраструктура не само ефективното използване на цифрови услуги е ограничено или затруднено, но и използването и развитието на технологиите и различните иновативни решения. </w:t>
      </w:r>
    </w:p>
    <w:p w14:paraId="0AF91030" w14:textId="77777777" w:rsidR="004C0B1F" w:rsidRPr="004C0B1F" w:rsidRDefault="004C0B1F" w:rsidP="004C0B1F">
      <w:pPr>
        <w:rPr>
          <w:bCs/>
        </w:rPr>
      </w:pPr>
      <w:r w:rsidRPr="004C0B1F">
        <w:rPr>
          <w:bCs/>
        </w:rPr>
        <w:t>Основополагащ елемент от цялостната архитектура е наличието на технологична възможност за електронна идентификация, чрез която се гарантира високо ниво на сигурност при предоставянето на електронни административни услуги за гражданите и бизнеса. Тя представлява отключващ фактор за повишаване на използваемостта на електронните административни услуги и повишаване на доверието при взаимодействие по електронен път между гражданите, бизнеса и публичните органи.</w:t>
      </w:r>
    </w:p>
    <w:p w14:paraId="0FEEC15B" w14:textId="77777777" w:rsidR="004C0B1F" w:rsidRPr="004C0B1F" w:rsidRDefault="004C0B1F" w:rsidP="004C0B1F">
      <w:pPr>
        <w:rPr>
          <w:bCs/>
        </w:rPr>
      </w:pPr>
      <w:r w:rsidRPr="004C0B1F">
        <w:rPr>
          <w:bCs/>
        </w:rPr>
        <w:t xml:space="preserve">С оглед осигуряване на възможност за трансгранична електронна идентификация на българските граждани и гражданите на страните-членки на Европейския съюз при заявяване на електронни административни услуги МЕУ поддържа и надгражда </w:t>
      </w:r>
      <w:proofErr w:type="spellStart"/>
      <w:r w:rsidRPr="004C0B1F">
        <w:rPr>
          <w:bCs/>
        </w:rPr>
        <w:t>eIDAS</w:t>
      </w:r>
      <w:proofErr w:type="spellEnd"/>
      <w:r w:rsidRPr="004C0B1F">
        <w:rPr>
          <w:bCs/>
        </w:rPr>
        <w:t xml:space="preserve"> възел. </w:t>
      </w:r>
    </w:p>
    <w:p w14:paraId="557C7136" w14:textId="77777777" w:rsidR="004C0B1F" w:rsidRPr="004C0B1F" w:rsidRDefault="00AF56B1" w:rsidP="004C0B1F">
      <w:pPr>
        <w:rPr>
          <w:bCs/>
        </w:rPr>
      </w:pPr>
      <w:r>
        <w:rPr>
          <w:bCs/>
        </w:rPr>
        <w:t>У</w:t>
      </w:r>
      <w:r w:rsidR="004C0B1F" w:rsidRPr="004C0B1F">
        <w:rPr>
          <w:bCs/>
        </w:rPr>
        <w:t xml:space="preserve">силията за изграждане на електронно управление </w:t>
      </w:r>
      <w:r>
        <w:rPr>
          <w:bCs/>
        </w:rPr>
        <w:t>щ</w:t>
      </w:r>
      <w:r w:rsidRPr="004C0B1F">
        <w:rPr>
          <w:bCs/>
        </w:rPr>
        <w:t xml:space="preserve">е продължат </w:t>
      </w:r>
      <w:r w:rsidR="004C0B1F" w:rsidRPr="004C0B1F">
        <w:rPr>
          <w:bCs/>
        </w:rPr>
        <w:t xml:space="preserve">чрез доизграждане на необходимата инфраструктура, свързване на ключови регистри и осигуряване на оперативна съвместимост за преминаване към автоматизиран обмен на данни и електронни документи. </w:t>
      </w:r>
    </w:p>
    <w:p w14:paraId="22100474" w14:textId="77777777" w:rsidR="004C0B1F" w:rsidRPr="004C0B1F" w:rsidRDefault="004C0B1F" w:rsidP="004C0B1F">
      <w:pPr>
        <w:rPr>
          <w:bCs/>
        </w:rPr>
      </w:pPr>
      <w:r w:rsidRPr="004C0B1F">
        <w:rPr>
          <w:bCs/>
        </w:rPr>
        <w:t>Политиката в сферата на електронното управление цели минимизиране на инстанциите, пътя и времето, които са нужни на гражданите и бизнеса за ползването на административни услуги, намалявайки административната тежест и подобрявайки условията за живот и правене на бизнес</w:t>
      </w:r>
      <w:r w:rsidR="00373E33">
        <w:rPr>
          <w:bCs/>
        </w:rPr>
        <w:t>, като</w:t>
      </w:r>
      <w:r w:rsidRPr="004C0B1F">
        <w:rPr>
          <w:bCs/>
        </w:rPr>
        <w:t xml:space="preserve"> </w:t>
      </w:r>
      <w:r w:rsidR="00373E33">
        <w:rPr>
          <w:bCs/>
        </w:rPr>
        <w:t>щ</w:t>
      </w:r>
      <w:r w:rsidRPr="004C0B1F">
        <w:rPr>
          <w:bCs/>
        </w:rPr>
        <w:t>е се направят инвестиции за цифровизацията на административни услуги както на централно, така и на местно ниво.</w:t>
      </w:r>
    </w:p>
    <w:p w14:paraId="5B8795D4" w14:textId="77777777" w:rsidR="004C0B1F" w:rsidRPr="004C0B1F" w:rsidRDefault="004C0B1F" w:rsidP="004C0B1F">
      <w:pPr>
        <w:rPr>
          <w:bCs/>
        </w:rPr>
      </w:pPr>
      <w:r w:rsidRPr="004C0B1F">
        <w:rPr>
          <w:bCs/>
        </w:rPr>
        <w:t xml:space="preserve">Ключов аспект в тази политика ще e предоставянето на удобен потребителски интерфейс и консолидирането на точките за ползване на цифрови административни услуги чрез ясно обособени интернет портали. За целта ще са нужни и инвестиции в цифровизацията на всички бази данни, имащи отношение към предоставянето на административните услуги, включително държавни и местни архиви, както и разширяване на използването от административните органи на хоризонталните системи на електронното управление и на средата за </w:t>
      </w:r>
      <w:proofErr w:type="spellStart"/>
      <w:r w:rsidRPr="004C0B1F">
        <w:rPr>
          <w:bCs/>
        </w:rPr>
        <w:t>междурегистров</w:t>
      </w:r>
      <w:proofErr w:type="spellEnd"/>
      <w:r w:rsidRPr="004C0B1F">
        <w:rPr>
          <w:bCs/>
        </w:rPr>
        <w:t xml:space="preserve"> обмен. Важен елемент ще бъде и преминаването към използването на споделените ресурси на електронното управление, като Държавен хибриден частен облак и Единна електронна съобщителна мрежа. </w:t>
      </w:r>
    </w:p>
    <w:p w14:paraId="7B8BCEFD" w14:textId="77777777" w:rsidR="004C0B1F" w:rsidRPr="0027504D" w:rsidRDefault="00AF56B1" w:rsidP="004C0B1F">
      <w:pPr>
        <w:rPr>
          <w:bCs/>
        </w:rPr>
      </w:pPr>
      <w:r>
        <w:rPr>
          <w:bCs/>
        </w:rPr>
        <w:t>А</w:t>
      </w:r>
      <w:r w:rsidR="004C0B1F" w:rsidRPr="004C0B1F">
        <w:rPr>
          <w:bCs/>
        </w:rPr>
        <w:t xml:space="preserve">ктивно </w:t>
      </w:r>
      <w:r>
        <w:rPr>
          <w:bCs/>
        </w:rPr>
        <w:t>щ</w:t>
      </w:r>
      <w:r w:rsidRPr="004C0B1F">
        <w:rPr>
          <w:bCs/>
        </w:rPr>
        <w:t xml:space="preserve">е се работи </w:t>
      </w:r>
      <w:r w:rsidR="004C0B1F" w:rsidRPr="004C0B1F">
        <w:rPr>
          <w:bCs/>
        </w:rPr>
        <w:t xml:space="preserve">за внедряването и прилагането на нови технологии в администрацията, базирани на Интернет на нещата, изкуствен интелект, блокчейн, и др., които способстват за автоматизираното предоставяне на информация в реално време, за обработката на големи масиви от данни и за защита и проследимост на използването на </w:t>
      </w:r>
      <w:r w:rsidR="004C0B1F" w:rsidRPr="004C0B1F">
        <w:rPr>
          <w:bCs/>
        </w:rPr>
        <w:lastRenderedPageBreak/>
        <w:t xml:space="preserve">данни. </w:t>
      </w:r>
      <w:r>
        <w:rPr>
          <w:bCs/>
        </w:rPr>
        <w:t>П</w:t>
      </w:r>
      <w:r w:rsidR="002C0615">
        <w:rPr>
          <w:bCs/>
        </w:rPr>
        <w:t>олитиката за отворени данни</w:t>
      </w:r>
      <w:r w:rsidR="004C0B1F" w:rsidRPr="004C0B1F">
        <w:rPr>
          <w:bCs/>
        </w:rPr>
        <w:t xml:space="preserve"> </w:t>
      </w:r>
      <w:r>
        <w:rPr>
          <w:bCs/>
        </w:rPr>
        <w:t>също щ</w:t>
      </w:r>
      <w:r w:rsidRPr="004C0B1F">
        <w:rPr>
          <w:bCs/>
        </w:rPr>
        <w:t>е продължи да се развива</w:t>
      </w:r>
      <w:r>
        <w:rPr>
          <w:bCs/>
        </w:rPr>
        <w:t xml:space="preserve"> </w:t>
      </w:r>
      <w:r w:rsidR="004C0B1F" w:rsidRPr="004C0B1F">
        <w:rPr>
          <w:bCs/>
        </w:rPr>
        <w:t>чрез отварянето на нови масиви от данни на публичните институции.</w:t>
      </w:r>
      <w:r w:rsidR="004C0B1F" w:rsidRPr="0027504D">
        <w:rPr>
          <w:bCs/>
        </w:rPr>
        <w:t xml:space="preserve"> </w:t>
      </w:r>
      <w:r>
        <w:rPr>
          <w:bCs/>
        </w:rPr>
        <w:t>Предвижда се да се</w:t>
      </w:r>
      <w:r w:rsidR="004C0B1F" w:rsidRPr="004C0B1F">
        <w:rPr>
          <w:bCs/>
        </w:rPr>
        <w:t xml:space="preserve"> акцентира и върху политиката за създаване, съхранение, управление и споделяне на данни с цел да се оползотвори потенциала на данните като ключов капитал на обществото, включително чрез създаване на устойчиви механизми, процеси и структури за улесняване на повторното използване, управление и споделяне на определени категории защитени данни от обществения сектор, повишаване на доверието в посредническите услуги за данни и насърчаване на алтруизма по отношение на данните.</w:t>
      </w:r>
    </w:p>
    <w:p w14:paraId="3D90AC1B" w14:textId="77777777" w:rsidR="004C0B1F" w:rsidRPr="00C156DA" w:rsidRDefault="004C0B1F" w:rsidP="00957ED7">
      <w:pPr>
        <w:rPr>
          <w:bCs/>
        </w:rPr>
      </w:pPr>
      <w:r w:rsidRPr="004C0B1F">
        <w:rPr>
          <w:bCs/>
        </w:rPr>
        <w:t>Министерството на електронното управление активно ще участва в изграждането на интегрирана национална екосистема за киберсигурност със способности за адаптиране към динамиката на глобалните киберзаплахи и за реакция при мащабни атаки срещу българските информационни ресурси. Тя ще бъде напълно интегрирана в системата за киберсигурност на Европейския съюз и призната за надежден партньор на водещите европейски структури.</w:t>
      </w:r>
    </w:p>
    <w:p w14:paraId="72276CBC" w14:textId="77777777" w:rsidR="00E71237" w:rsidRPr="00DC63A3" w:rsidRDefault="00E71237" w:rsidP="00074767">
      <w:pPr>
        <w:pStyle w:val="Heading3"/>
        <w:ind w:left="0"/>
      </w:pPr>
      <w:r w:rsidRPr="00DC63A3">
        <w:t>Политика в областта на туризма</w:t>
      </w:r>
    </w:p>
    <w:p w14:paraId="6D835BD5" w14:textId="77777777" w:rsidR="004C0B1F" w:rsidRPr="004C0B1F" w:rsidRDefault="004C0B1F" w:rsidP="004C0B1F">
      <w:r w:rsidRPr="004C0B1F">
        <w:t xml:space="preserve">Визията на политиката за устойчиво развитие на туризма е България да бъде предпочитана дестинация за устойчив туризъм в четири сезона, развиваща и предлагаща качествен туристически продукт. </w:t>
      </w:r>
    </w:p>
    <w:p w14:paraId="6366FE2D" w14:textId="77777777" w:rsidR="004C0B1F" w:rsidRPr="004C0B1F" w:rsidRDefault="004C0B1F" w:rsidP="004C0B1F">
      <w:r w:rsidRPr="00BF2A85">
        <w:rPr>
          <w:b/>
        </w:rPr>
        <w:t>Министерството на туризма</w:t>
      </w:r>
      <w:r w:rsidRPr="004C0B1F">
        <w:t xml:space="preserve"> ще развива политиката в областта на туризма с акцент върху развитие на специализираните форми на туризъм в подкрепа на устойчивото икономическо развитие на страната, като провеждането ѝ да гарантира повишаване на конкурентоспособността на сектора при новите реалности, които предполагат правилно и точно позициониране на българския туристически продукт. Това ще доведе до насърчаване на вътрешния туризъм и възстановяване на туристическите посещения на чужденци в България. В т</w:t>
      </w:r>
      <w:r w:rsidR="00926677">
        <w:t>ази връзка</w:t>
      </w:r>
      <w:r w:rsidRPr="004C0B1F">
        <w:t xml:space="preserve"> са предвидени нарочни кампании, подкрепа на събития и реализиране на конференции.</w:t>
      </w:r>
    </w:p>
    <w:p w14:paraId="0131F1AC" w14:textId="77777777" w:rsidR="004C0B1F" w:rsidRPr="0027504D" w:rsidRDefault="004C0B1F" w:rsidP="004C0B1F">
      <w:r w:rsidRPr="004C0B1F">
        <w:t xml:space="preserve">Министерството на туризма ще продължи предприетите действия за повишаване на имиджа на професиите в областта на туризма сред бъдещото поколение професионалисти в туризма, като се даде възможност за изява на младите хора от професионалните гимназии по туризъм и се улесни контакта им с работодателите, за да останат да работят в България след завършване на образованието си. Дейностите в посока насърчаване развитието на </w:t>
      </w:r>
      <w:proofErr w:type="spellStart"/>
      <w:r w:rsidRPr="004C0B1F">
        <w:t>дуалното</w:t>
      </w:r>
      <w:proofErr w:type="spellEnd"/>
      <w:r w:rsidRPr="004C0B1F">
        <w:t xml:space="preserve"> образование в областта на туризма ще улеснят прехода от образование към устойчива заетост и ще се даде възможност за тясна обвързаност между образователната система и реалните потребности на пазара на труда. Всичко това ще бъде подкрепено и във връзка с влизането на страната ни в еврозоната</w:t>
      </w:r>
      <w:r w:rsidRPr="0027504D">
        <w:t>.</w:t>
      </w:r>
    </w:p>
    <w:p w14:paraId="7411077B" w14:textId="77777777" w:rsidR="004C0B1F" w:rsidRPr="004C0B1F" w:rsidRDefault="004C0B1F" w:rsidP="004C0B1F">
      <w:r w:rsidRPr="004C0B1F">
        <w:t>В процеса на бъдещо развитие ще се изисква и по-гъвкав подход за решаване на дългосрочните структурни проблеми, акцент</w:t>
      </w:r>
      <w:r w:rsidR="00326A4A">
        <w:t>ът ще бъде</w:t>
      </w:r>
      <w:r w:rsidRPr="004C0B1F">
        <w:t xml:space="preserve"> </w:t>
      </w:r>
      <w:r w:rsidR="00326A4A">
        <w:t xml:space="preserve">поставен </w:t>
      </w:r>
      <w:r w:rsidRPr="004C0B1F">
        <w:t xml:space="preserve">върху иновациите и инвестициите в устойчив туризъм и насърчаването на прехода към дигитална и нисковъглеродна икономика, като се обръща внимание на ползите за местните общности и за икономиките като цяло. </w:t>
      </w:r>
      <w:r w:rsidR="00A828C9">
        <w:t>Предвижда се з</w:t>
      </w:r>
      <w:r w:rsidRPr="004C0B1F">
        <w:t xml:space="preserve">асилване на рекламата на дестинация България за по-видимото позициониране на бранд България и промотиране на нашия комбиниран туристически продукт. </w:t>
      </w:r>
    </w:p>
    <w:p w14:paraId="4C58FC22" w14:textId="77777777" w:rsidR="004C0B1F" w:rsidRPr="004C0B1F" w:rsidRDefault="004C0B1F" w:rsidP="004C0B1F">
      <w:r w:rsidRPr="004C0B1F">
        <w:t xml:space="preserve">Министерството на туризма ще продължи да подпомага бизнеса от сектор туризъм правилно да идентифицира възможностите за подкрепа като кандидатства по международни и </w:t>
      </w:r>
      <w:r w:rsidR="00926677">
        <w:t>е</w:t>
      </w:r>
      <w:r w:rsidRPr="004C0B1F">
        <w:t>вропейски програми.</w:t>
      </w:r>
    </w:p>
    <w:p w14:paraId="0CCD92E0" w14:textId="77777777" w:rsidR="004C0B1F" w:rsidRPr="004C0B1F" w:rsidRDefault="004C0B1F" w:rsidP="004C0B1F">
      <w:r w:rsidRPr="004C0B1F">
        <w:lastRenderedPageBreak/>
        <w:t xml:space="preserve">Очакваните ползи/ефекти от изпълнението на политиката, могат да бъдат обобщени до няколко направления. </w:t>
      </w:r>
    </w:p>
    <w:p w14:paraId="45884BC7" w14:textId="77777777" w:rsidR="004C0B1F" w:rsidRPr="004C0B1F" w:rsidRDefault="004C0B1F" w:rsidP="004C0B1F">
      <w:r w:rsidRPr="004C0B1F">
        <w:t>Ръстът на приходите от туризъм е пряко свързан със създаването на по-високи нива на добавена стойност от икономиката, респективно реален растеж на БВП, като водят до подобряване на състоянието на платежния баланс, увеличаване на заетостта, понижаване на безработицата и индиректно подобряване на благосъстоянието на живот.</w:t>
      </w:r>
    </w:p>
    <w:p w14:paraId="18CFF82C" w14:textId="77777777" w:rsidR="004C0B1F" w:rsidRPr="004C0B1F" w:rsidRDefault="004C0B1F" w:rsidP="004C0B1F">
      <w:pPr>
        <w:rPr>
          <w:i/>
          <w:iCs/>
        </w:rPr>
      </w:pPr>
      <w:r w:rsidRPr="004C0B1F">
        <w:t>Развитието на туризма ще подпомогне общините да постигнат по-висок икономически раст</w:t>
      </w:r>
      <w:r w:rsidR="00A137AF">
        <w:t>еж и ще окаже положителен ефект</w:t>
      </w:r>
      <w:r w:rsidRPr="004C0B1F">
        <w:t xml:space="preserve"> върху балансираното регионално развитие на страната.</w:t>
      </w:r>
    </w:p>
    <w:p w14:paraId="7D707284" w14:textId="77777777" w:rsidR="004C0B1F" w:rsidRPr="004C0B1F" w:rsidRDefault="004C0B1F" w:rsidP="004C0B1F">
      <w:r w:rsidRPr="004C0B1F">
        <w:t>От макроикономическа гледна точка туристическият сектор в България е не само важен компонент на БВП, но и съществен източник на приток на чуждестранна валута за платеж</w:t>
      </w:r>
      <w:r w:rsidR="00926677">
        <w:t>ния</w:t>
      </w:r>
      <w:r w:rsidRPr="004C0B1F">
        <w:t xml:space="preserve"> баланс на страната.</w:t>
      </w:r>
    </w:p>
    <w:p w14:paraId="5DE63D8B" w14:textId="77777777" w:rsidR="004C0B1F" w:rsidRPr="004C0B1F" w:rsidRDefault="004C0B1F" w:rsidP="004C0B1F">
      <w:r w:rsidRPr="004C0B1F">
        <w:t>Съществуват опасения, че поради редица обективни обстоятелства, свързани с влиянието на международната ситуация и военните конфликти върху туристопотока вкл. и към България, част от планираните инвестиции в туризма в близките години биха могли да бъдат временно отложени. Като резултат може да се очаква, че през следващите години приносът на туризма к</w:t>
      </w:r>
      <w:r w:rsidR="00BF2A85">
        <w:t>ъм БВП на страната ще остане по-</w:t>
      </w:r>
      <w:r w:rsidRPr="004C0B1F">
        <w:t>нисък от постигнатото равнище през 2019 г., но с тенденция към възстановяване.</w:t>
      </w:r>
    </w:p>
    <w:p w14:paraId="64D3E69E" w14:textId="77777777" w:rsidR="004C0B1F" w:rsidRPr="00026C7D" w:rsidRDefault="004C0B1F" w:rsidP="00957ED7">
      <w:r w:rsidRPr="004C0B1F">
        <w:t>Устойчивото провеждане на политиките в областта на маркетинга и рекламата и нуждата да се отговаря адекватно на промените в туристическия бизнес са пряко свързани с възможностите за навременна реакция и адекватно увеличаване на финансирането за национален маркетинг. Засилването на рекламата на дестинация България ще допринесе за по-видимото позициониране на бранд България и промотиране на нашия комбиниран туристически продукт.</w:t>
      </w:r>
    </w:p>
    <w:p w14:paraId="30433588" w14:textId="77777777" w:rsidR="00E71237" w:rsidRPr="00DC63A3" w:rsidRDefault="00E71237" w:rsidP="00074767">
      <w:pPr>
        <w:pStyle w:val="Heading3"/>
        <w:ind w:left="0"/>
      </w:pPr>
      <w:r w:rsidRPr="00DC63A3">
        <w:t>Политика в областта на селското стопанство</w:t>
      </w:r>
    </w:p>
    <w:p w14:paraId="1D697F18" w14:textId="77777777" w:rsidR="00B61071" w:rsidRPr="00B61071" w:rsidRDefault="00B61071" w:rsidP="00B61071">
      <w:r w:rsidRPr="00B61071">
        <w:t xml:space="preserve">Съвременното селско стопанство е изправено пред редица предизвикателства като нарастваща нестабилност на цените, все по-видими прояви на екстремни метеорологични явления, увеличени изисквания и очаквания на потребителите за консумация на безопасни продукти и храни, задълбочаващи се социални и демографски проблеми, развитие на икономически и политически кризи в международен мащаб. Това налага фокусът на аграрната политика да се насочи към повишаване на ефективността, конкурентоспособността и екологичната устойчивост на земеделското производство, по-ефективно използване на ресурсите, увеличаване на икономическата активност и нарастване на заетостта в селските райони, производство на растителни и животински продукти, отговарящи на европейските стандарти за качество и безопасни за човешкото здраве. </w:t>
      </w:r>
    </w:p>
    <w:p w14:paraId="733D89A4" w14:textId="77777777" w:rsidR="00C97002" w:rsidRPr="00DC63A3" w:rsidRDefault="00C97002" w:rsidP="00026C7D">
      <w:pPr>
        <w:pStyle w:val="Heading4"/>
      </w:pPr>
      <w:r w:rsidRPr="00DC63A3">
        <w:t>Политика в областта на земеделието и селските райони</w:t>
      </w:r>
    </w:p>
    <w:p w14:paraId="1AD65530" w14:textId="77777777" w:rsidR="00B61071" w:rsidRPr="00B61071" w:rsidRDefault="00B61071" w:rsidP="00B61071">
      <w:r w:rsidRPr="00B61071">
        <w:t xml:space="preserve">Отговорността за разпределението на публичните разходи за политиката в областта на земеделието и селските райони е на </w:t>
      </w:r>
      <w:r w:rsidRPr="00BF2A85">
        <w:rPr>
          <w:b/>
        </w:rPr>
        <w:t>Министерството на земеделието и храните</w:t>
      </w:r>
      <w:r w:rsidRPr="00B61071">
        <w:t xml:space="preserve">, и се осъществява чрез бюджета на министерството, бюджета на Държавен фонд „Земеделие“ (ДФЗ) и сметките за средства от Европейския съюз. Прилаганата политика обхваща дейности в подкрепа на ефективното използване и опазване на земеделските земи и водите, съхраняване и подобряване на генетичните ресурси в растениевъдството и </w:t>
      </w:r>
      <w:r w:rsidRPr="00B61071">
        <w:lastRenderedPageBreak/>
        <w:t xml:space="preserve">животновъдството и развитие на потенциала на двата подсектора за производство на конкурентоспособна продукция, развитие на научните изследвания в аграрната сфера, предоставяне на качествено научно обслужване и консултации на земеделските производители, стабилизиране на пазарите на земеделска продукция и гарантиране на доходите на производителите, сигурност и безопасност по веригата на предлагане на храни. </w:t>
      </w:r>
    </w:p>
    <w:p w14:paraId="2B8EC89D" w14:textId="77777777" w:rsidR="00B61071" w:rsidRPr="00B61071" w:rsidRDefault="00B61071" w:rsidP="00B61071">
      <w:r w:rsidRPr="00B61071">
        <w:t>Планираните средства в тази област са насочени към развитие на аграрния отрасъл за осигуряване на хранителна сигурност на страната – достатъчно количество земеделски продукти с гарантирани качество и безопасност, за производство на продукти с висока добавена стойност при устойчиво управление на природните ресурси и мобилизиране на потенциала на селските райони към постигане на балансирано социално и териториално развитие. Принос за прилагане на политиката, освен структурите в системата на Министерството на земеделието и храните (МЗХ), имат ДФЗ-Разплащателна агенция, Министерството на отбраната (Военно-географска служба), Агенция „Митници“, Министерство</w:t>
      </w:r>
      <w:r w:rsidR="00BF2A85">
        <w:t>то</w:t>
      </w:r>
      <w:r w:rsidRPr="00B61071">
        <w:t xml:space="preserve"> на околната среда и водите, Министерство</w:t>
      </w:r>
      <w:r w:rsidR="00BF2A85">
        <w:t>то</w:t>
      </w:r>
      <w:r w:rsidRPr="00B61071">
        <w:t xml:space="preserve"> на туризма, Национална агенция за приходите, Гранична полиция, Регионални здравни инспекции, прокуратура, природозащитни организации и други държавни и неправителствени институции и др.</w:t>
      </w:r>
    </w:p>
    <w:p w14:paraId="1FB2EF07" w14:textId="77777777" w:rsidR="00B61071" w:rsidRPr="00B61071" w:rsidRDefault="00B61071" w:rsidP="00B61071">
      <w:r w:rsidRPr="00B61071">
        <w:t xml:space="preserve">В областта на селското стопанство и земеделие се предоставят услуги на бенефициенти по програмите и мерките за държавно подпомагане, а чрез предвидени ключови индикатори се определя оценката за оказаната финансова подкрепа, обвързана с постигането на целите за ефективно усвояване на средства от Европейския фонд за гарантиране на земеделието и Европейския земеделски фонд за развитие на селските райони – по-добро административно и финансово управление и контрол; създаване на ефективно, конкурентоспособно и пазарно-ориентирано земеделие; стабилизиране на </w:t>
      </w:r>
      <w:r w:rsidR="002C0615">
        <w:t>пазарите на земеделски продукти</w:t>
      </w:r>
      <w:r w:rsidRPr="00B61071">
        <w:t xml:space="preserve"> чрез оказване на пазарна финансова подкрепа; повишаване</w:t>
      </w:r>
      <w:r w:rsidR="002C0615">
        <w:t xml:space="preserve"> на доходите на производителите</w:t>
      </w:r>
      <w:r w:rsidRPr="00B61071">
        <w:t xml:space="preserve"> чрез директни плащания на държавни помощи и други. </w:t>
      </w:r>
    </w:p>
    <w:p w14:paraId="2E8897AA" w14:textId="77777777" w:rsidR="00B61071" w:rsidRPr="00B61071" w:rsidRDefault="00B61071" w:rsidP="00B61071">
      <w:r w:rsidRPr="00B61071">
        <w:t xml:space="preserve">Предвижда се подпомагането на земеделските стопани през периода 2026-2028 г. да се определя на базата на промените в европейското законодателство и националното право в областта на държавните помощи. Тенденцията е през 2026 г. да се запазят досега действащите държавни помощи, обособени както от специфичните нужди в отделните подсектори на земеделието, така и от интересите на земеделските стопани. Държавен фонд „Земеделие” осъществява дейността по администриране на </w:t>
      </w:r>
      <w:proofErr w:type="spellStart"/>
      <w:r w:rsidRPr="00B61071">
        <w:t>нотифицираните</w:t>
      </w:r>
      <w:proofErr w:type="spellEnd"/>
      <w:r w:rsidRPr="00B61071">
        <w:t xml:space="preserve"> от управляващия орган (Министерството на земеделието и храните) и одобрени от Европейската комисия схеми на държавните помощи с инвестиционен характер. Предвидените средства са за изплащане на държавни помощи, преходна национална помощ за тютюн, преходна национална помощ за животни, средства за ДДС, пазарни мерки и национални доплащания за предходни кампании, като интервенции за подпомагане на </w:t>
      </w:r>
      <w:proofErr w:type="spellStart"/>
      <w:r w:rsidRPr="00B61071">
        <w:t>лозаро</w:t>
      </w:r>
      <w:proofErr w:type="spellEnd"/>
      <w:r w:rsidRPr="00B61071">
        <w:t xml:space="preserve">-винарския сектор (преструктуриране и конверсия на лозя, промоции в трети страни и популяризиране на пазарите на трети държави), интервенции в сектора на пчеларството, схеми „Училищен плод“ и „Училищно мляко“ и други. </w:t>
      </w:r>
    </w:p>
    <w:p w14:paraId="492F3078" w14:textId="77777777" w:rsidR="00B61071" w:rsidRPr="00B61071" w:rsidRDefault="00B61071" w:rsidP="00B61071">
      <w:r w:rsidRPr="00B61071">
        <w:t>Допълнителен инструмент за подкрепа на земеделските стопани при извънредни случаи или в случаи, за които не се прилагат схеми на държавни помощи, е подпомагането по линия на „</w:t>
      </w:r>
      <w:proofErr w:type="spellStart"/>
      <w:r w:rsidRPr="00B61071">
        <w:t>de</w:t>
      </w:r>
      <w:proofErr w:type="spellEnd"/>
      <w:r w:rsidRPr="00B61071">
        <w:t xml:space="preserve"> </w:t>
      </w:r>
      <w:proofErr w:type="spellStart"/>
      <w:r w:rsidRPr="00B61071">
        <w:t>minimis</w:t>
      </w:r>
      <w:proofErr w:type="spellEnd"/>
      <w:r w:rsidRPr="00B61071">
        <w:t>“ помощите. Тези помощи може да се използват при необходимост през периода 202</w:t>
      </w:r>
      <w:r w:rsidR="00993A94">
        <w:t>6</w:t>
      </w:r>
      <w:r w:rsidRPr="00B61071">
        <w:t>-2028 г. в качеството им на резервно подпомагане.</w:t>
      </w:r>
    </w:p>
    <w:p w14:paraId="32635206" w14:textId="77777777" w:rsidR="00B61071" w:rsidRPr="00B61071" w:rsidRDefault="00B61071" w:rsidP="00957ED7">
      <w:r w:rsidRPr="00B61071">
        <w:t xml:space="preserve">Държавен фонд „Земеделие“ участва в прилагането на политиката на МЗХ в областта на земеделието и селските райони. Фондът работи за постигане на дългосрочната визия на </w:t>
      </w:r>
      <w:r w:rsidRPr="00B61071">
        <w:lastRenderedPageBreak/>
        <w:t>Република България за изграждане на конкурентно, ефективно и устойчиво селско стопанство, защита на пазара на земеделски продукти от сътресения и подобряване качеството на живот в селските райони и споделя дългосрочната национална визия, обвързана с изграждане на конкурентен, ефективен, икономически и екологично устойчив сектор „Рибарство”, като допринася за постигане на стратегическите и оперативни цели, заложени в политиките на Министерството на земеделието и храните, в рамките на Общата политика по рибарство на Европейския съюз и съгласно националния стратегически план. Държавен фонд „Земеделие“ отговаря за разпределението на публичните средства за политиката, които разходва пряко - чрез бюджета си и чрез сметката за средства от Европейския съюз, одобрени с годишния закон за държавни</w:t>
      </w:r>
      <w:r>
        <w:t>я бюджет на Република България.</w:t>
      </w:r>
    </w:p>
    <w:p w14:paraId="274E6F45" w14:textId="77777777" w:rsidR="00C97002" w:rsidRPr="00DC63A3" w:rsidRDefault="00C97002" w:rsidP="00026C7D">
      <w:pPr>
        <w:pStyle w:val="Heading4"/>
      </w:pPr>
      <w:r w:rsidRPr="00DC63A3">
        <w:t>Политика в областта на рибарството и аквакултурите</w:t>
      </w:r>
    </w:p>
    <w:p w14:paraId="070F81A9" w14:textId="77777777" w:rsidR="008E7499" w:rsidRPr="008E7499" w:rsidRDefault="008E7499" w:rsidP="008E7499">
      <w:r w:rsidRPr="008E7499">
        <w:t>Прилаганата политика е насочена към поддържане и възстановяване на биоразнообразието във водните екосистеми и прилагане на екосистемен подход към управлението на рибарството и аквакултурите чрез прилагане на европейските стандарти по отношение на производството, преработката и маркетинга на риба от стопански риболов и аквакултури. Също така, една от основните цели на аграрната политика е превръщането на сектор „Рибарство” в модер</w:t>
      </w:r>
      <w:r w:rsidR="00203012">
        <w:t xml:space="preserve">ен и конкурентоспособен сектор </w:t>
      </w:r>
      <w:r w:rsidRPr="008E7499">
        <w:t>чрез прилагането на иновационни дейности, подпомогнати от научни разработки. Оценката за изпълнението на бюджета по ЕФМДР</w:t>
      </w:r>
      <w:r w:rsidRPr="008E7499">
        <w:rPr>
          <w:vertAlign w:val="superscript"/>
        </w:rPr>
        <w:footnoteReference w:id="35"/>
      </w:r>
      <w:r w:rsidRPr="008E7499">
        <w:t>/ЕФМДРА</w:t>
      </w:r>
      <w:r w:rsidRPr="008E7499">
        <w:rPr>
          <w:vertAlign w:val="superscript"/>
        </w:rPr>
        <w:footnoteReference w:id="36"/>
      </w:r>
      <w:r w:rsidRPr="008E7499">
        <w:t>, с който се определя финансовата подкрепа за постигането на целта по подпомагането на сектор „Рибарство“, се основава на ефективното усвояване на сре</w:t>
      </w:r>
      <w:r w:rsidR="00203012">
        <w:t xml:space="preserve">дства от </w:t>
      </w:r>
      <w:r w:rsidRPr="008E7499">
        <w:t>Европейския фонд по морско дело и рибарство, устойчивост и конкурентоспособност на продуктите в областта на рибарството и аквакултурите, и насърчаване динамичността в риболовната промишленост.</w:t>
      </w:r>
    </w:p>
    <w:p w14:paraId="78EDF0D4" w14:textId="77777777" w:rsidR="00C97002" w:rsidRPr="00DC63A3" w:rsidRDefault="00C97002" w:rsidP="00026C7D">
      <w:pPr>
        <w:pStyle w:val="Heading4"/>
      </w:pPr>
      <w:r w:rsidRPr="00DC63A3">
        <w:t>Политика в областта на съхраняването и увеличаването на горите и дивеча</w:t>
      </w:r>
    </w:p>
    <w:p w14:paraId="5B3CFD4F" w14:textId="77777777" w:rsidR="00B61071" w:rsidRPr="00864DAD" w:rsidRDefault="00B61071" w:rsidP="00957ED7">
      <w:r w:rsidRPr="00B61071">
        <w:t xml:space="preserve">С изпълнението на политиката се дава принос за реализация на визията за развитие на горския сектор </w:t>
      </w:r>
      <w:r w:rsidR="008E7499" w:rsidRPr="00B61071">
        <w:t xml:space="preserve">в Република България </w:t>
      </w:r>
      <w:r w:rsidRPr="00B61071">
        <w:t>с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 Секторът подпомага икономическото развитие на страната и се стреми да гарантира поддържането на здравословна околна среда.</w:t>
      </w:r>
    </w:p>
    <w:p w14:paraId="4DCEA91F" w14:textId="77777777" w:rsidR="0033580A" w:rsidRPr="00DC63A3" w:rsidRDefault="00E71237" w:rsidP="00074767">
      <w:pPr>
        <w:pStyle w:val="Heading3"/>
        <w:ind w:left="0"/>
      </w:pPr>
      <w:r w:rsidRPr="00DC63A3">
        <w:t>Икономическа и финансова политика и политика в областта на развитието на инвестициите и иновациите в подкрепа на растежа на българската икономика</w:t>
      </w:r>
    </w:p>
    <w:p w14:paraId="0C3AF9E9" w14:textId="77777777" w:rsidR="00C97002" w:rsidRPr="00DC63A3" w:rsidRDefault="00C97002" w:rsidP="00026C7D">
      <w:pPr>
        <w:pStyle w:val="Heading4"/>
      </w:pPr>
      <w:r w:rsidRPr="00DC63A3">
        <w:t xml:space="preserve">Политика в областта на устойчивото икономическо развитие и конкурентоспособност </w:t>
      </w:r>
    </w:p>
    <w:p w14:paraId="4D92057C" w14:textId="77777777" w:rsidR="00C23F3C" w:rsidRPr="00C23F3C" w:rsidRDefault="00C23F3C" w:rsidP="00C23F3C">
      <w:r w:rsidRPr="00C23F3C">
        <w:t xml:space="preserve">Политиката за устойчиво икономическо развитие и конкурентоспособност, изпълнявана от Министерството на икономиката и индустрията, цели повишаване на потенциала за растеж, основаващ се на насърчаване на инвестициите във високотехнологични промишлени производства и интензивни на знание услуги, насърчаване на </w:t>
      </w:r>
      <w:r w:rsidRPr="00C23F3C">
        <w:lastRenderedPageBreak/>
        <w:t>предприемачеството и повишаването на производителността на труда. Приоритет на икономическата политика е повишаването на привлекателността на България за инвестиции, както и за създаване на предпоставки за развитието на страната като център за интензивни на знание производства и услуги с висока добавена стойност. Важна част от политиката е повишаване на конкурентоспособността на предприятията и създаване на условия за привличане на капитали, както и насърчаване на междуфирменото сътрудничество и на сътрудничеството на бизнеса с образователните и научните институции, за да бъдат предоставени конкурентоспособни продукти и услуги на пазара.</w:t>
      </w:r>
    </w:p>
    <w:p w14:paraId="75E93578" w14:textId="77777777" w:rsidR="00C23F3C" w:rsidRPr="00C23F3C" w:rsidRDefault="00C23F3C" w:rsidP="00957ED7">
      <w:r w:rsidRPr="00C23F3C">
        <w:t>Предвид настоящото състояние на глобалната икономика и обвързаността на българската индустрия с европейските пазари, политиката на Министерство</w:t>
      </w:r>
      <w:r w:rsidR="00DB6980">
        <w:t>то</w:t>
      </w:r>
      <w:r w:rsidRPr="00C23F3C">
        <w:t xml:space="preserve"> на икономиката и индустрията през периода 2026-2028 г. ще бъде фокусирана върху минимизиране влиянието на международните фактори върху икономиката ни, както и на запазване и разширяване на пазарните позиции на българската индустрия.</w:t>
      </w:r>
    </w:p>
    <w:p w14:paraId="0EB52B1E" w14:textId="77777777" w:rsidR="00C97002" w:rsidRPr="00DC63A3" w:rsidRDefault="00C97002" w:rsidP="00026C7D">
      <w:pPr>
        <w:pStyle w:val="Heading4"/>
      </w:pPr>
      <w:r w:rsidRPr="00DC63A3">
        <w:t>Политика в областта на ефективното външноикономическо сътрудничество</w:t>
      </w:r>
    </w:p>
    <w:p w14:paraId="5743CE60" w14:textId="77777777" w:rsidR="00C23F3C" w:rsidRPr="00C23F3C" w:rsidRDefault="00C23F3C" w:rsidP="00C23F3C">
      <w:pPr>
        <w:rPr>
          <w:szCs w:val="24"/>
        </w:rPr>
      </w:pPr>
      <w:r w:rsidRPr="00C23F3C">
        <w:rPr>
          <w:szCs w:val="24"/>
        </w:rPr>
        <w:t xml:space="preserve">Провеждането на ефективни външнотърговска политика и външноикономическо сътрудничество e решаващо за устойчивото икономическо развитие на страната и засилването на конкурентоспособността на българските предприятия. Постигането на ръст на износа и привличането на инвестиции са важни за технологичната модернизация и обновяването на производството, за развитието на иновативни продукти и услуги, за подобряване на конкурентоспособността и постигането по този начин на целите за ускорен растеж и нови работни места. </w:t>
      </w:r>
    </w:p>
    <w:p w14:paraId="5F5126B8" w14:textId="77777777" w:rsidR="00C23F3C" w:rsidRPr="00C23F3C" w:rsidRDefault="00C23F3C" w:rsidP="00C23F3C">
      <w:pPr>
        <w:rPr>
          <w:szCs w:val="24"/>
        </w:rPr>
      </w:pPr>
      <w:r w:rsidRPr="00C23F3C">
        <w:rPr>
          <w:szCs w:val="24"/>
        </w:rPr>
        <w:t xml:space="preserve">За постигане целите на политиката, Министерството на икономиката и индустрията прилага активни мерки за насърчаване на износа и на инвестициите в експортно ориентирани дейности, стимулиране външнотърговския капацитет и конкурентоспособността на българските фирми на външните пазари и популяризиране търговско-икономическия потенциал на Република България в чужбина и подкрепа за представянето на българските компании. </w:t>
      </w:r>
    </w:p>
    <w:p w14:paraId="4747459F" w14:textId="77777777" w:rsidR="00C23F3C" w:rsidRPr="00C23F3C" w:rsidRDefault="00C23F3C" w:rsidP="00957ED7">
      <w:pPr>
        <w:rPr>
          <w:szCs w:val="24"/>
        </w:rPr>
      </w:pPr>
      <w:r w:rsidRPr="00C23F3C">
        <w:rPr>
          <w:szCs w:val="24"/>
        </w:rPr>
        <w:t>Министерството на икономиката и индустрията продължава активно да участва във формирането и прилагането на Общата търговска политика на ЕС и в защитата на българските приоритети и интереси по достъпа до пазара на стоки и услуги, инвестиции, обществени поръчки и други свързани с търговията области в рамките на водените от ЕС двустранни преговори за либерализация на търговията и насърчаване на инвестициите, преговори по други споразумения и форуми за задълбочаване на търговско-икономическите отношения с приоритетни трети страни и региони, както и отстояване на българските интереси в Световната търговска организация и в разговорите за присъединяване на Република България към Организацията за икономическо сътрудничество и развитие.</w:t>
      </w:r>
    </w:p>
    <w:p w14:paraId="1446CA5E" w14:textId="77777777" w:rsidR="00C97002" w:rsidRPr="00DC63A3" w:rsidRDefault="00C97002" w:rsidP="00026C7D">
      <w:pPr>
        <w:pStyle w:val="Heading4"/>
      </w:pPr>
      <w:r w:rsidRPr="00DC63A3">
        <w:t xml:space="preserve">Политика в областта на развитието на инвестициите и иновациите в подкрепа на растежа на българската икономика </w:t>
      </w:r>
    </w:p>
    <w:p w14:paraId="7ACE374F" w14:textId="77777777" w:rsidR="00C23F3C" w:rsidRPr="00C23F3C" w:rsidRDefault="00C23F3C" w:rsidP="00C23F3C">
      <w:pPr>
        <w:rPr>
          <w:szCs w:val="24"/>
        </w:rPr>
      </w:pPr>
      <w:r w:rsidRPr="00C23F3C">
        <w:rPr>
          <w:szCs w:val="24"/>
        </w:rPr>
        <w:t>Основната цел на Министерството на иновациите и растежа, което изпълнява политиката в областта на развитието на инвестициите и иновациите в подкрепа на растежа на българската икономика, е да води ясна и прозрачна политика, която защитава държавния и обществения интерес и е основана на европейските принципи. Министе</w:t>
      </w:r>
      <w:r w:rsidR="000F47FC">
        <w:rPr>
          <w:szCs w:val="24"/>
        </w:rPr>
        <w:t>рството на иновациите и растежа</w:t>
      </w:r>
      <w:r w:rsidRPr="00C23F3C">
        <w:rPr>
          <w:szCs w:val="24"/>
        </w:rPr>
        <w:t xml:space="preserve"> следва общата цел за въвеждането на качествени стандарти за </w:t>
      </w:r>
      <w:r w:rsidRPr="00C23F3C">
        <w:rPr>
          <w:szCs w:val="24"/>
        </w:rPr>
        <w:lastRenderedPageBreak/>
        <w:t xml:space="preserve">оценка и контрол на програми, инструменти и проекти, свързани със стимули за бизнеса, като облекчи процеса на достъп, кандидатстване и управление с цел елиминиране на корупцията и подобряване на икономическата среда. Министерството на иновациите и растежа работи за изграждане на конкурентноспособна икономика, която ще осигури растеж и развитие на регионите в България, насърчаване и ускоряване на иновациите и инвестициите в цялата страна и във всички сектори на икономиката, както и за ефективно, ефикасно и ориентирано към резултатите използване на фондовете на Европейския съюз за споделено финансиране и Националния план за възстановяване и устойчивост, както и за насърчаване на проекти с международно сътрудничество. </w:t>
      </w:r>
    </w:p>
    <w:p w14:paraId="542CD69F" w14:textId="77777777" w:rsidR="00C23F3C" w:rsidRPr="00C23F3C" w:rsidRDefault="00C23F3C" w:rsidP="00C23F3C">
      <w:pPr>
        <w:rPr>
          <w:szCs w:val="24"/>
        </w:rPr>
      </w:pPr>
      <w:r w:rsidRPr="00C23F3C">
        <w:rPr>
          <w:szCs w:val="24"/>
        </w:rPr>
        <w:t>Политиката цели осигуряването на благоприятна среда за привличане на инвестиции, създаване и приложение на иновации, подобряване на международния имидж на България и привличане на висококвалифицирани кадри в подкрепа на растежа на българската икономика и справяне със социални и глобални предизвикателства чрез трансфер на знание, нови технологии, дигитализация и увеличаване на достъпа до национално и европейско финансиране. Тя ще бъде изпълнявана с помощта на редица мерки, кореспондиращи с европейските и националните стратегически документи, като Националната програма за развитие 2030, Иновационната стратегия за интелигента специализация 2021-2027, Националната стратегия за насърчаване на малките и средни предприятия и други за повишаването на потенциала за икономически растеж.</w:t>
      </w:r>
    </w:p>
    <w:p w14:paraId="57327497" w14:textId="77777777" w:rsidR="00C23F3C" w:rsidRPr="00C23F3C" w:rsidRDefault="00C23F3C" w:rsidP="00C23F3C">
      <w:pPr>
        <w:rPr>
          <w:szCs w:val="24"/>
        </w:rPr>
      </w:pPr>
      <w:r w:rsidRPr="00C23F3C">
        <w:rPr>
          <w:szCs w:val="24"/>
        </w:rPr>
        <w:t>Приоритет на политиката в областта на развитието на инвестициите и иновациите в подкрепа на растежа на българската икономика е стимулиране на инвестиционната активност и ускорен ръст на износа, насърчаване на инвестициите в технологични и иновативни производства (включително в сферата на технологиите с двойна употреба и отбранителните технологии, космически технологии и изкуствения интелект), позициониране на българските компании на международните пазари, подкрепа за иновативни стартиращи компании и трансфер на технологии. За постигане на целите на тези ключови политики министерството ще се фокусира върху повишаване на ефективната координация с ресорните министерства и други институции в сферата на икономиката, в подкрепа на бизнеса и увеличаване на конкурентоспособността, със специален фокус върху предприемачеството и иновациите.</w:t>
      </w:r>
    </w:p>
    <w:p w14:paraId="45AFB519" w14:textId="77777777" w:rsidR="00C23F3C" w:rsidRPr="00C23F3C" w:rsidRDefault="00C23F3C" w:rsidP="00957ED7">
      <w:pPr>
        <w:rPr>
          <w:szCs w:val="24"/>
        </w:rPr>
      </w:pPr>
      <w:r w:rsidRPr="00C23F3C">
        <w:rPr>
          <w:szCs w:val="24"/>
        </w:rPr>
        <w:t>В изпълнение на ангажиментите на министерството по Националния план за възстановяване и устойчивост, през 2025 г. бе структуриран Националния иновационен фонд и в процес на структуриране е Съветът по иновации и научни изследвания.</w:t>
      </w:r>
    </w:p>
    <w:p w14:paraId="00C35DAC" w14:textId="77777777" w:rsidR="00CB5D1B" w:rsidRPr="00EA6851" w:rsidRDefault="00CB5D1B" w:rsidP="00026C7D">
      <w:pPr>
        <w:pStyle w:val="Heading4"/>
      </w:pPr>
      <w:r w:rsidRPr="00EA6851">
        <w:t>Политика в областта на държавните резерви, военновременните запаси и задължителните запаси от нефт и нефтопродукти</w:t>
      </w:r>
    </w:p>
    <w:p w14:paraId="61ED3DF0" w14:textId="77777777" w:rsidR="00C23F3C" w:rsidRPr="00C23F3C" w:rsidRDefault="00C23F3C" w:rsidP="00C23F3C">
      <w:pPr>
        <w:rPr>
          <w:szCs w:val="24"/>
        </w:rPr>
      </w:pPr>
      <w:r w:rsidRPr="00C23F3C">
        <w:rPr>
          <w:szCs w:val="24"/>
        </w:rPr>
        <w:t xml:space="preserve">В областта на икономическата и финансова политика държавният надзор върху създаването, съхраняването, обновяването, ползването и възстановяването на запасите с цел осигуряване на снабдяването с течни горива се осъществява от Държавната агенция „Държавен резерв и военновременни запаси“ (ДА ДРВВЗ), която организира и контролира създаването, съхраняването, обновяването, ползването и възстановяването на запасите от нефт и нефтопродукти. ДА ДРВВЗ контролира съхраняването на територията на страната на запаси от нефт и нефтопродукти, създадени за изпълнение на задълженията на други държави-членки на ЕС; води регистри на задължените лица, регистрираните складове за съхраняване на нефт и нефтопродукти, всички създадени и поддържани запаси за извънредни ситуации, всички създадени и поддържани целеви запаси. ДА ДРВВЗ изчислява общото и индивидуалните нива на запасите по видове и количества, които трябва да се поддържат от задължените лица. ДА ДРВВЗ съдейства на </w:t>
      </w:r>
      <w:r w:rsidRPr="00C23F3C">
        <w:rPr>
          <w:szCs w:val="24"/>
        </w:rPr>
        <w:lastRenderedPageBreak/>
        <w:t xml:space="preserve">лицата, упълномощени от Европейската комисия да извършват прегледи на готовността за извънредни ситуации, механизма за съхраняване, наличностите и отчетността на запасите; осъществява взаимодействие с органите на Европейската комисия по повод изпълнението на задължението за поддържане на минимални запаси от нефт и нефтопродукти и/или по повод извънредни ситуации, както и изпълнението на влязло в сила решение на Международната агенция по енергетика за отпускане на запаси. </w:t>
      </w:r>
    </w:p>
    <w:p w14:paraId="656E11B4" w14:textId="77777777" w:rsidR="00C23F3C" w:rsidRPr="00C23F3C" w:rsidRDefault="00C23F3C" w:rsidP="00C23F3C">
      <w:pPr>
        <w:rPr>
          <w:szCs w:val="24"/>
        </w:rPr>
      </w:pPr>
      <w:r w:rsidRPr="00C23F3C">
        <w:rPr>
          <w:szCs w:val="24"/>
        </w:rPr>
        <w:t xml:space="preserve">Политиката в областта на държавните резерви и военновременните запаси е насочена към повишаване на процентната обезпеченост на номенклатурите и нормативите за тях, водени на отчет като държавни резерви (ДР) и военновременни запаси (ВВЗ) с оглед: постигане на оптимална обезпеченост и осигуряване на адекватна реакция на правителството в случай на необходимост; обновяване, в рамките на бюджета на агенцията, на стоки, материали и продукти, управлявани от ДА ДРВВЗ, които са с изтичащ срок на съхранение, както и съобразно тяхната специфика и стратегическа тежест с цел поддържането им в съответното количество и качество, както и в непрекъсната готовност за ползване. </w:t>
      </w:r>
    </w:p>
    <w:p w14:paraId="4AAA12D0" w14:textId="77777777" w:rsidR="00C23F3C" w:rsidRPr="00C23F3C" w:rsidRDefault="00C23F3C" w:rsidP="00C23F3C">
      <w:pPr>
        <w:rPr>
          <w:szCs w:val="24"/>
        </w:rPr>
      </w:pPr>
      <w:r w:rsidRPr="00C23F3C">
        <w:rPr>
          <w:szCs w:val="24"/>
        </w:rPr>
        <w:t>Изпълнение на ангажиментите на страната, произтичаща от Директива на Съвета 2009/119/ЕО, за поддържане на минимално изискуемите нива на запаси от нефт и нефтопродукти, обезпечаващи 90 дни средно дневен нетен внос и ВОП</w:t>
      </w:r>
      <w:r w:rsidR="000F47FC">
        <w:rPr>
          <w:rStyle w:val="FootnoteReference"/>
          <w:szCs w:val="24"/>
        </w:rPr>
        <w:footnoteReference w:id="37"/>
      </w:r>
      <w:r w:rsidRPr="00C23F3C">
        <w:rPr>
          <w:szCs w:val="24"/>
        </w:rPr>
        <w:t xml:space="preserve">, 30 дни от които за сметка на държавния бюджет. </w:t>
      </w:r>
    </w:p>
    <w:p w14:paraId="79A08908" w14:textId="77777777" w:rsidR="00C23F3C" w:rsidRPr="00C23F3C" w:rsidRDefault="00C23F3C" w:rsidP="00957ED7">
      <w:pPr>
        <w:rPr>
          <w:szCs w:val="24"/>
        </w:rPr>
      </w:pPr>
      <w:r w:rsidRPr="00C23F3C">
        <w:rPr>
          <w:szCs w:val="24"/>
        </w:rPr>
        <w:t>Консолидираните разходи по политиката се представят в</w:t>
      </w:r>
      <w:r>
        <w:rPr>
          <w:szCs w:val="24"/>
        </w:rPr>
        <w:t xml:space="preserve"> програмния бюджет на ДА ДРВВЗ.</w:t>
      </w:r>
    </w:p>
    <w:p w14:paraId="1EB5DF16" w14:textId="77777777" w:rsidR="00C2675A" w:rsidRPr="00DC63A3" w:rsidRDefault="00C2675A" w:rsidP="00026C7D">
      <w:pPr>
        <w:pStyle w:val="Heading4"/>
      </w:pPr>
      <w:r w:rsidRPr="00DC63A3">
        <w:t>Политика в областите на публичните финанси, данъчна политика, управление на държавния дълг, вътрешния контрол, финансовите услуги и финансовите пазари</w:t>
      </w:r>
    </w:p>
    <w:p w14:paraId="423C071D" w14:textId="77777777" w:rsidR="00C23F3C" w:rsidRPr="00C23F3C" w:rsidRDefault="00C23F3C" w:rsidP="00C23F3C">
      <w:pPr>
        <w:rPr>
          <w:rFonts w:cs="Times New Roman"/>
        </w:rPr>
      </w:pPr>
      <w:r w:rsidRPr="00C23F3C">
        <w:rPr>
          <w:rFonts w:cs="Times New Roman"/>
          <w:b/>
        </w:rPr>
        <w:t>Министерството на финансите</w:t>
      </w:r>
      <w:r w:rsidRPr="00C23F3C">
        <w:rPr>
          <w:rFonts w:cs="Times New Roman"/>
        </w:rPr>
        <w:t xml:space="preserve"> е отговорна институция за разработването, координирането, провеждането и осъществяването на държавната политика в областта на публичните финанси, данъчната политика, управлението на държавния дълг, вътрешния контрол, финансовите услуги и финансовите пазари.</w:t>
      </w:r>
    </w:p>
    <w:p w14:paraId="13E9BF40" w14:textId="77777777" w:rsidR="00C23F3C" w:rsidRPr="00C23F3C" w:rsidRDefault="00C23F3C" w:rsidP="00C23F3C">
      <w:pPr>
        <w:rPr>
          <w:rFonts w:cs="Times New Roman"/>
        </w:rPr>
      </w:pPr>
      <w:r w:rsidRPr="00C23F3C">
        <w:rPr>
          <w:rFonts w:cs="Times New Roman"/>
        </w:rPr>
        <w:t>В обхвата на отговорността на министъра на финансите попадат и области, за които са отговорни административни структури и органи към Министерството на финансите, като областите администриране и събиране на държавните приходи, митнически контрол и надзор, финансова инспекция, координиране на процеса на управление на програмите, съфинансирани със средства от ЕС и други донорски програми, одит на средствата от ЕС, контрол върху хазарта, обществените поръчки и др.</w:t>
      </w:r>
    </w:p>
    <w:p w14:paraId="095ABA51" w14:textId="77777777" w:rsidR="00C23F3C" w:rsidRPr="00C23F3C" w:rsidRDefault="00C23F3C" w:rsidP="00C23F3C">
      <w:pPr>
        <w:rPr>
          <w:rFonts w:cs="Times New Roman"/>
        </w:rPr>
      </w:pPr>
      <w:r w:rsidRPr="00C23F3C">
        <w:rPr>
          <w:rFonts w:cs="Times New Roman"/>
          <w:b/>
        </w:rPr>
        <w:t>Мисията</w:t>
      </w:r>
      <w:r w:rsidRPr="00C23F3C">
        <w:rPr>
          <w:rFonts w:cs="Times New Roman"/>
        </w:rPr>
        <w:t xml:space="preserve"> на министерството е да осигури благоприятна среда за икономически растеж като фактор за подобряване на благосъстоянието на българските граждани, поддържайки устойчиви, прозрачни и ефективни публични финанси в защита на интересите на редовните данъкоплатци.</w:t>
      </w:r>
    </w:p>
    <w:p w14:paraId="78AA7483" w14:textId="77777777" w:rsidR="00C23F3C" w:rsidRPr="00C23F3C" w:rsidRDefault="00C23F3C" w:rsidP="00C23F3C">
      <w:pPr>
        <w:rPr>
          <w:rFonts w:cs="Times New Roman"/>
          <w:b/>
          <w:sz w:val="20"/>
          <w:szCs w:val="20"/>
        </w:rPr>
      </w:pPr>
      <w:bookmarkStart w:id="319" w:name="_Toc444012205"/>
      <w:bookmarkStart w:id="320" w:name="_Toc209695764"/>
      <w:r w:rsidRPr="00C23F3C">
        <w:rPr>
          <w:rFonts w:cs="Times New Roman"/>
          <w:b/>
          <w:sz w:val="20"/>
          <w:szCs w:val="20"/>
        </w:rPr>
        <w:t>ВИЗИЯ ЗА РАЗВИТИЕТО НА ПОЛИТИКАТА В ОБЛАСТТА НА УСТОЙЧИВИТЕ И ПРОЗРАЧНИ ПУБЛИЧНИ ФИНАНСИ</w:t>
      </w:r>
      <w:bookmarkEnd w:id="319"/>
      <w:bookmarkEnd w:id="320"/>
    </w:p>
    <w:p w14:paraId="3E44C38B" w14:textId="77777777" w:rsidR="00C23F3C" w:rsidRPr="00C23F3C" w:rsidRDefault="00C23F3C" w:rsidP="00C23F3C">
      <w:pPr>
        <w:rPr>
          <w:rFonts w:cs="Times New Roman"/>
        </w:rPr>
      </w:pPr>
      <w:r w:rsidRPr="00C23F3C">
        <w:rPr>
          <w:rFonts w:cs="Times New Roman"/>
        </w:rPr>
        <w:t xml:space="preserve">Основните правомощия на министъра на финансите по отношение на провеждането на държавната политика в областта на устойчивите и прозрачни публични финанси са тясно </w:t>
      </w:r>
      <w:r w:rsidRPr="00C23F3C">
        <w:rPr>
          <w:rFonts w:cs="Times New Roman"/>
        </w:rPr>
        <w:lastRenderedPageBreak/>
        <w:t>свързани с провеждането на политика за гарантиране на фискалната и макроикономическа стабилност, спазване на правилата и ограниченията на европейското и националното законодателство, осигуряване на финансиране на основните функции на държавата чрез бюджета, както и разработването на основните бюджетни документи - средносрочната бюджетна прогноза и нейната актуализация, съставянето на държавния бюджет на Република България и контролиране на текущото му изпълнение. За осъществяване на тези правомощия на министъра Министерството на финансите следва поставените цели, свързани с провеждането на последователна, прозрачна и предвидима фискална политика, която да подобрява бизнес средата, насърчава инвестициите и стимулира развитието на трудовия пазар за постигане на икономически растеж, заетост и ефективност на публичните разходи. Постигането на горните цели кореспондира и със стремежа за устойчива тенденция към подобряване на бюджетната позиция, каквито са и изискванията на националното законодателство и на заложените в него фискални правила.</w:t>
      </w:r>
    </w:p>
    <w:p w14:paraId="6F0E925F" w14:textId="77777777" w:rsidR="00C23F3C" w:rsidRPr="00C23F3C" w:rsidRDefault="00C23F3C" w:rsidP="00C23F3C">
      <w:pPr>
        <w:rPr>
          <w:rFonts w:cs="Times New Roman"/>
        </w:rPr>
      </w:pPr>
      <w:r w:rsidRPr="00C23F3C">
        <w:rPr>
          <w:rFonts w:cs="Times New Roman"/>
        </w:rPr>
        <w:t>При разработването на основните параметри на бюджета за 2026 г. и актуализираната средносрочна бюджетна прогноза за периода 2027-2028 г. МФ</w:t>
      </w:r>
      <w:r w:rsidR="00A419EC">
        <w:rPr>
          <w:rFonts w:cs="Times New Roman"/>
        </w:rPr>
        <w:t xml:space="preserve"> ще се придържа към запазване </w:t>
      </w:r>
      <w:r w:rsidRPr="00C23F3C">
        <w:rPr>
          <w:rFonts w:cs="Times New Roman"/>
        </w:rPr>
        <w:t xml:space="preserve">целите на фискалната политика дефицитът за средносрочния период да бъде в рамките на фискалните правила и ограничения по националното и европейското законодателство, при осигуряване на необходимия финансов ресурс за изпълнение на разходните приоритети, с акцент върху социалните политики, инвестиционните програми и реформите, финансирани както от националния бюджет, така и от сметките за средства от ЕС. </w:t>
      </w:r>
    </w:p>
    <w:p w14:paraId="1D122F6A" w14:textId="77777777" w:rsidR="00C23F3C" w:rsidRPr="00C23F3C" w:rsidRDefault="00C23F3C" w:rsidP="00C23F3C">
      <w:pPr>
        <w:rPr>
          <w:rFonts w:cs="Times New Roman"/>
        </w:rPr>
      </w:pPr>
      <w:r w:rsidRPr="00C23F3C">
        <w:rPr>
          <w:rFonts w:cs="Times New Roman"/>
        </w:rPr>
        <w:t xml:space="preserve">От гледна точка на устойчивостта на публичните финанси министерството ще продължи да определя реалистични цели за основните бюджетни параметри, при спазване на установените фискални правила, ограничения, допустими отклонения и приложими изключения както за показателите по консолидираната фискална програма (КФП), така и за тези на сектор „Държавно управление“. Потенциалните рискове налагат внимателен анализ и плавна пренастройка на фискалната политика и бюджетното планиране към променящата се икономическа ситуация с цел осигуряване на стабилност за фискалната позиция. </w:t>
      </w:r>
      <w:r w:rsidR="00A419EC">
        <w:rPr>
          <w:rFonts w:cs="Times New Roman"/>
        </w:rPr>
        <w:t>През периода щ</w:t>
      </w:r>
      <w:r w:rsidRPr="00C23F3C">
        <w:rPr>
          <w:rFonts w:cs="Times New Roman"/>
        </w:rPr>
        <w:t>е продължи наблюдението на всички институционални единици, попадащи в обхвата на сектор „Държавно управление“, както и на юридическите лица, контролирани от държавата и/или общините, с общ размер на задълженията към съответния отчетен период над 0,1 на сто от БВП, които не са част от КФП и не попадат в обхвата на сектор „Държавно управление“, на базата на което ще се изготвят прогнозите за бюджетната рамка.</w:t>
      </w:r>
    </w:p>
    <w:p w14:paraId="5DB1B45F" w14:textId="77777777" w:rsidR="00C23F3C" w:rsidRPr="00C23F3C" w:rsidRDefault="00C23F3C" w:rsidP="00C23F3C">
      <w:pPr>
        <w:rPr>
          <w:rFonts w:cs="Times New Roman"/>
        </w:rPr>
      </w:pPr>
      <w:r w:rsidRPr="00C23F3C">
        <w:rPr>
          <w:rFonts w:cs="Times New Roman"/>
        </w:rPr>
        <w:t>В изпълнение на общите цели на фискалната политика министерството се ангажира с поддържане на нивото на държавния дълг в рамките на законово установените ограничения и осигуряване на своевременно и ефективно финансиране на бюджета.</w:t>
      </w:r>
    </w:p>
    <w:p w14:paraId="05618991" w14:textId="77777777" w:rsidR="00C23F3C" w:rsidRPr="00C23F3C" w:rsidRDefault="00C23F3C" w:rsidP="00C23F3C">
      <w:pPr>
        <w:rPr>
          <w:rFonts w:cs="Times New Roman"/>
        </w:rPr>
      </w:pPr>
      <w:r w:rsidRPr="00C23F3C">
        <w:rPr>
          <w:rFonts w:cs="Times New Roman"/>
        </w:rPr>
        <w:t xml:space="preserve">Провеждането на последователна и предвидима фискална политика намира израз както при определянето на основните фискални параметри и показатели на бюджетната рамка, така и при реализирането на мерки за гарантиране на изпълнението на бюджета. </w:t>
      </w:r>
    </w:p>
    <w:p w14:paraId="09E7261E" w14:textId="77777777" w:rsidR="00C23F3C" w:rsidRPr="00C23F3C" w:rsidRDefault="00C23F3C" w:rsidP="00C23F3C">
      <w:pPr>
        <w:rPr>
          <w:rFonts w:cs="Times New Roman"/>
        </w:rPr>
      </w:pPr>
      <w:r w:rsidRPr="00C23F3C">
        <w:rPr>
          <w:rFonts w:cs="Times New Roman"/>
        </w:rPr>
        <w:t xml:space="preserve">Министерството на финансите следва целите за постигане на устойчива средносрочна фискална рамка, но нейното реализиране изисква редица мерки за повишаване на качеството на публичните финанси, изразяващи се в подобряване на бюджетния процес, усъвършенстване на бюджетните документи, утвърждаване прилагането на добри бюджетни практики (в т.ч. програмното и ориентирано към резултатите бюджетиране), подпомагане реформите във финансирането на публичните сектори и проследяване на </w:t>
      </w:r>
      <w:r w:rsidRPr="00C23F3C">
        <w:rPr>
          <w:rFonts w:cs="Times New Roman"/>
        </w:rPr>
        <w:lastRenderedPageBreak/>
        <w:t xml:space="preserve">ефектите от провежданите секторни политики с оглед оптимизиране на публичните разходи, както и засилване на капацитета на служителите от публичната администрация за ефективно управление на публичните финанси. </w:t>
      </w:r>
    </w:p>
    <w:p w14:paraId="03AE0759" w14:textId="77777777" w:rsidR="00C23F3C" w:rsidRPr="00C23F3C" w:rsidRDefault="00C23F3C" w:rsidP="00C23F3C">
      <w:pPr>
        <w:rPr>
          <w:rFonts w:cs="Times New Roman"/>
        </w:rPr>
      </w:pPr>
      <w:r w:rsidRPr="00C23F3C">
        <w:rPr>
          <w:rFonts w:cs="Times New Roman"/>
        </w:rPr>
        <w:t>За постигане на целите на фискалната политика водеща роля ще имат инструментите на бюджетната политика и засиленият контрол върху разходите. Спазването на бюджетната дисциплина ще продължи да се осигурява с регламентираното правило за утвърждаване на допустими максимални размери на поети ангажименти за разходи и нови задължения за разходи на разпоредителите с бюджет, на конкретни правила за промяна на размера на задълженията и за извършване на компенсирани промени, както и при спазване на условието за поемане на ангажимент за извършване на разходи след провеждане на обществени поръчки. В условията на възстановяване на икономиката за успеха на провежданата фискална консолидация от ключово значение ще бъдат резултатите от повишаването на ефективността и ефикасността на разходите, както и от мащаба на осъществяваните структурни реформи.</w:t>
      </w:r>
    </w:p>
    <w:p w14:paraId="465C8885" w14:textId="77777777" w:rsidR="00C23F3C" w:rsidRPr="00C23F3C" w:rsidRDefault="00C23F3C" w:rsidP="00C23F3C">
      <w:pPr>
        <w:rPr>
          <w:rFonts w:cs="Times New Roman"/>
        </w:rPr>
      </w:pPr>
      <w:r w:rsidRPr="00C23F3C">
        <w:rPr>
          <w:rFonts w:cs="Times New Roman"/>
        </w:rPr>
        <w:t>Министерството на финансите ще наблюдава изпълнението на Националния план за въвеждане на еврото в Република България и мерките от Плана за действие към него.</w:t>
      </w:r>
    </w:p>
    <w:p w14:paraId="66EE3014" w14:textId="77777777" w:rsidR="00C23F3C" w:rsidRPr="00C23F3C" w:rsidRDefault="00C23F3C" w:rsidP="00C23F3C">
      <w:pPr>
        <w:rPr>
          <w:rFonts w:cs="Times New Roman"/>
          <w:b/>
          <w:sz w:val="20"/>
          <w:szCs w:val="20"/>
        </w:rPr>
      </w:pPr>
      <w:bookmarkStart w:id="321" w:name="_Toc209695765"/>
      <w:r w:rsidRPr="00C23F3C">
        <w:rPr>
          <w:rFonts w:cs="Times New Roman"/>
          <w:b/>
          <w:sz w:val="20"/>
          <w:szCs w:val="20"/>
        </w:rPr>
        <w:t>ВИЗИЯ ЗА РАЗВИТИЕТО НА ПОЛИТИКАТА В ОБЛАСТТА НА ЕФЕКТИВНОТО СЪБИРАНЕ НА ВСИЧКИ ДЪРЖАВНИ ПРИХОДИ</w:t>
      </w:r>
      <w:bookmarkEnd w:id="321"/>
    </w:p>
    <w:p w14:paraId="5AB76055" w14:textId="77777777" w:rsidR="00C23F3C" w:rsidRPr="00C23F3C" w:rsidRDefault="00C23F3C" w:rsidP="00C23F3C">
      <w:pPr>
        <w:rPr>
          <w:rFonts w:cs="Times New Roman"/>
          <w:i/>
        </w:rPr>
      </w:pPr>
      <w:r w:rsidRPr="00C23F3C">
        <w:rPr>
          <w:rFonts w:cs="Times New Roman"/>
        </w:rPr>
        <w:t>През периода 2026-2028 г. провежданата от Министерството на финансите данъчна политика е ориентирана към постигане на макроикономическа и бюджетна стабилност в средносрочен и дългосрочен план и осигуряване на необходимия финансов ресурс за изпълнение на разходните политики на правителството. Политиката в областта на данъците се характеризира с предвидимост, като същевременно се насърчава развитието на бизнеса и инвестиционната активност, стимулират се иновациите, енергийната ефективност и заетостта. В международен аспект, данъчната политика на страната е насочена в подкрепа на функционирането на единния пазар на Европейския съюз, успешното осъществяване на цифровата трансформация на обществото и икономиката в Европа и на дейностите по справяне с климата и околната среда. През периода Министерството на финансите ще продължи активно да участва в структурите и дейността на ЕС, както и в дейността на работните органи и инициативи на Организацията за икономическо сътрудничество и развитие (ОИСР) в областта на данъците и административното сътрудничество и обмен на информация за данъчни цели.</w:t>
      </w:r>
    </w:p>
    <w:p w14:paraId="47F77A64" w14:textId="77777777" w:rsidR="00C23F3C" w:rsidRPr="00C23F3C" w:rsidRDefault="00C23F3C" w:rsidP="00C23F3C">
      <w:pPr>
        <w:rPr>
          <w:rFonts w:cs="Times New Roman"/>
        </w:rPr>
      </w:pPr>
      <w:r w:rsidRPr="00C23F3C">
        <w:rPr>
          <w:rFonts w:cs="Times New Roman"/>
        </w:rPr>
        <w:t>Основните цели на данъчната политика през периода са подобряване на събираемостта на приходите, справяне със сенчестата икономика и намаляване на административната тежест и разходите за бизнеса и гражданите.</w:t>
      </w:r>
    </w:p>
    <w:p w14:paraId="7C1F1C2D" w14:textId="77777777" w:rsidR="00C23F3C" w:rsidRPr="00C23F3C" w:rsidRDefault="00C23F3C" w:rsidP="00C23F3C">
      <w:pPr>
        <w:rPr>
          <w:rFonts w:cs="Times New Roman"/>
        </w:rPr>
      </w:pPr>
      <w:r w:rsidRPr="00C23F3C">
        <w:rPr>
          <w:rFonts w:cs="Times New Roman"/>
        </w:rPr>
        <w:t>Основни инструменти за постигане на поставените цели са реализирането на законодателни промени и административни мерки за ограничаване на данъчните измами, предотвратяване на възможностите за укриване и невнасяне на данъци и</w:t>
      </w:r>
      <w:r w:rsidR="002C0615">
        <w:rPr>
          <w:rFonts w:cs="Times New Roman"/>
        </w:rPr>
        <w:t xml:space="preserve"> отклонение от данъчно облагане</w:t>
      </w:r>
      <w:r w:rsidRPr="00C23F3C">
        <w:rPr>
          <w:rFonts w:cs="Times New Roman"/>
        </w:rPr>
        <w:t xml:space="preserve"> чрез засилено взаимодействие между институциите и обмен на информация в национален и в международен мащаб. Повечето от мерките в областта на данъчната политика са постоянни и са включени в стратегическите и оперативните документи на съответните звена, които всяка от отговорните институции разработва и прилага.</w:t>
      </w:r>
    </w:p>
    <w:p w14:paraId="5088DFFC" w14:textId="77777777" w:rsidR="00C23F3C" w:rsidRPr="00C23F3C" w:rsidRDefault="00C23F3C" w:rsidP="00C23F3C">
      <w:pPr>
        <w:rPr>
          <w:rFonts w:cs="Times New Roman"/>
        </w:rPr>
      </w:pPr>
      <w:r w:rsidRPr="00C23F3C">
        <w:rPr>
          <w:rFonts w:cs="Times New Roman"/>
        </w:rPr>
        <w:t xml:space="preserve">През прогнозния период се запазва приоритетът за намаляване на административната тежест и разходите за бизнеса и гражданите, като се разработват и внедряват нови електронни услуги от приходните администрации по предоставяне на интегрирана </w:t>
      </w:r>
      <w:r w:rsidRPr="00C23F3C">
        <w:rPr>
          <w:rFonts w:cs="Times New Roman"/>
        </w:rPr>
        <w:lastRenderedPageBreak/>
        <w:t>информация на задължените лица и на други институции, облекчаване на процеса на попълване и подаване на декларациите от страна на задължените лица, съкращаване на срокове за извършване на услуги от приходните агенции, осигуряване на възможност за плащане на задължения с платежни карти чрез виртуален ПОС-терминал. Продължава прилагането на мерки за насърчаване на доброволно спазване на законодателството, насочени към повишаване качеството на обслужване, стимулиране на доброволното изпълнение, чрез въвеждане на различни отстъпки при спазване сроковете за деклариране и плащане на данъци и осигурителни вноски, подобряване на данъчно-осигурителната култура на клиентите и намаляване на разходите както на гражданите, така и на администрацията.</w:t>
      </w:r>
    </w:p>
    <w:p w14:paraId="2E05A748" w14:textId="77777777" w:rsidR="00C23F3C" w:rsidRPr="00C23F3C" w:rsidRDefault="00C23F3C" w:rsidP="00C23F3C">
      <w:pPr>
        <w:rPr>
          <w:rFonts w:cs="Times New Roman"/>
          <w:b/>
          <w:sz w:val="20"/>
          <w:szCs w:val="20"/>
        </w:rPr>
      </w:pPr>
      <w:bookmarkStart w:id="322" w:name="_Toc161235702"/>
      <w:bookmarkStart w:id="323" w:name="_Toc209695766"/>
      <w:r w:rsidRPr="00C23F3C">
        <w:rPr>
          <w:rFonts w:cs="Times New Roman"/>
          <w:b/>
          <w:sz w:val="20"/>
          <w:szCs w:val="20"/>
        </w:rPr>
        <w:t>ВИЗИЯ ЗА РАЗВИТИЕТО НА ПОЛИТИКАТА В ОБЛАСТТА НА ЗАЩИТАТА НА ОБЩЕСТВОТО И ИКОНОМИКАТА ОТ ФИНАНСОВИ</w:t>
      </w:r>
      <w:r w:rsidR="00203012">
        <w:rPr>
          <w:rFonts w:cs="Times New Roman"/>
          <w:b/>
          <w:sz w:val="20"/>
          <w:szCs w:val="20"/>
        </w:rPr>
        <w:t xml:space="preserve"> ИЗМАМИ, КОНТРАБАНДА НА СТОКИ, </w:t>
      </w:r>
      <w:r w:rsidRPr="00C23F3C">
        <w:rPr>
          <w:rFonts w:cs="Times New Roman"/>
          <w:b/>
          <w:sz w:val="20"/>
          <w:szCs w:val="20"/>
        </w:rPr>
        <w:t>ИЗПИРАНЕ НА ПАРИ И ФИНАНСИРАНЕ НА ТЕРОРИЗМА</w:t>
      </w:r>
      <w:bookmarkEnd w:id="322"/>
      <w:bookmarkEnd w:id="323"/>
    </w:p>
    <w:p w14:paraId="29EF3BBE" w14:textId="77777777" w:rsidR="00C23F3C" w:rsidRPr="00C23F3C" w:rsidRDefault="00C23F3C" w:rsidP="00C23F3C">
      <w:pPr>
        <w:rPr>
          <w:rFonts w:cs="Times New Roman"/>
        </w:rPr>
      </w:pPr>
      <w:r w:rsidRPr="00C23F3C">
        <w:rPr>
          <w:rFonts w:cs="Times New Roman"/>
        </w:rPr>
        <w:t xml:space="preserve">Една от основните цели на администрацията на Министерството на финансите е да подпомага министъра на финансите при формирането и осъществяването на държавната политика в областта на финансовите пазари и финансовите услуги чрез изграждане на прозрачни и сигурни финансови пазари и повишаване качеството на финансовите услуги. </w:t>
      </w:r>
    </w:p>
    <w:p w14:paraId="59D39F8B" w14:textId="77777777" w:rsidR="00C23F3C" w:rsidRPr="00C23F3C" w:rsidRDefault="00C23F3C" w:rsidP="00C23F3C">
      <w:pPr>
        <w:rPr>
          <w:rFonts w:cs="Times New Roman"/>
        </w:rPr>
      </w:pPr>
      <w:r w:rsidRPr="00C23F3C">
        <w:rPr>
          <w:rFonts w:cs="Times New Roman"/>
        </w:rPr>
        <w:t>Приоритетите на администрацията на министерството за периода 2026-2028 г. ще продължат да бъдат насочени към интегрирането на финансовата система на страната във финансовата система на ЕС чрез прилагане на европейските политики и практики в областта на финансовите пазари и финансовите услуги при максимална защита на националните интереси и гарантиране на финансовата стабилност.</w:t>
      </w:r>
    </w:p>
    <w:p w14:paraId="269C8831" w14:textId="77777777" w:rsidR="00C23F3C" w:rsidRPr="00C23F3C" w:rsidRDefault="00C23F3C" w:rsidP="00C23F3C">
      <w:pPr>
        <w:rPr>
          <w:rFonts w:cs="Times New Roman"/>
        </w:rPr>
      </w:pPr>
      <w:r w:rsidRPr="00C23F3C">
        <w:rPr>
          <w:rFonts w:cs="Times New Roman"/>
        </w:rPr>
        <w:t>За реализиране целите на тази област на политика Министерството на финансите ще продължи да си взаимодейства с всички национални и международни структури и организации, имащи отношение към финансовата система и гарантирането на финансовата ѝ стабилност, в т.ч. финансовите услуги и движението на капитали.</w:t>
      </w:r>
    </w:p>
    <w:p w14:paraId="5E217A78" w14:textId="77777777" w:rsidR="00C23F3C" w:rsidRPr="00C23F3C" w:rsidRDefault="00C23F3C" w:rsidP="00C23F3C">
      <w:pPr>
        <w:rPr>
          <w:rFonts w:cs="Times New Roman"/>
        </w:rPr>
      </w:pPr>
      <w:r w:rsidRPr="00C23F3C">
        <w:rPr>
          <w:rFonts w:cs="Times New Roman"/>
        </w:rPr>
        <w:t>В условията на бързо променящи се технологии и модели на стопанската дейност, увеличаване на обема на световната търговия, устойчиви форми на международна престъпност и заплаха за сигурността, разширяване на ЕС и задълбочаване на отношенията в него, както и увеличаващия се брой задачи, които трябва да се извършват от митниците, българската митническа администрация работи както за постигането на общите стратегически цели на Митническия съюз, в т.ч. защита на ЕС, подпомагане на конкурентоспособността на ЕС, така и за успешното реализиране на приоритетите, заложени в програмата за управление на правителството на Република България. За изпълнението на тези стратегически цели, в тясно сътрудничество с останалите митнически администрации, с други правоприлагащи органи и с икономическите оператори, Агенция „Митници” си поставя следните цели: повишаване събираемостта на приходите в държавния бюджет чрез ефективна превенция и борба срещу митническите, валутни и акцизни нарушения; гарантиране на растежа и конкурентоспособността на националната и европейска икономика; защита на гражданите и финансовите интереси на ЕС и неговите държави членки; осигуряване на пълноценно функциониране на електронното управление; поддържане, развитие и засилване на сътрудничеството с митническите органи на държавите членки на ЕС и трети страни, с другите правоприлагащи органи, с икономическите оператори и обществеността; предоставяне на обучение, съобразено с европейските стандарти, в контекста на стратегическата рамка на компетентностите в митническата професия.</w:t>
      </w:r>
    </w:p>
    <w:p w14:paraId="4564300D" w14:textId="77777777" w:rsidR="00C23F3C" w:rsidRPr="00C23F3C" w:rsidRDefault="00C23F3C" w:rsidP="00C23F3C">
      <w:pPr>
        <w:rPr>
          <w:rFonts w:cs="Times New Roman"/>
          <w:b/>
          <w:sz w:val="20"/>
          <w:szCs w:val="20"/>
        </w:rPr>
      </w:pPr>
      <w:bookmarkStart w:id="324" w:name="_Toc209695767"/>
      <w:r w:rsidRPr="00C23F3C">
        <w:rPr>
          <w:rFonts w:cs="Times New Roman"/>
          <w:b/>
          <w:sz w:val="20"/>
          <w:szCs w:val="20"/>
        </w:rPr>
        <w:lastRenderedPageBreak/>
        <w:t>ВИЗИЯ ЗА РАЗВИТИЕТО НА ПОЛИТИКАТА В ОБЛАСТТА НА УПРАВЛЕНИЕТО НА ДЪЛГА</w:t>
      </w:r>
      <w:bookmarkEnd w:id="324"/>
    </w:p>
    <w:p w14:paraId="2F943020" w14:textId="77777777" w:rsidR="00C23F3C" w:rsidRPr="00C23F3C" w:rsidRDefault="00C23F3C" w:rsidP="00C23F3C">
      <w:pPr>
        <w:rPr>
          <w:rFonts w:cs="Times New Roman"/>
        </w:rPr>
      </w:pPr>
      <w:r w:rsidRPr="00C23F3C">
        <w:rPr>
          <w:rFonts w:cs="Times New Roman"/>
        </w:rPr>
        <w:t>Основната стратегическа цел на провежданата от МФ политика в областта на управлението на държавния дълг е насочена към осигуряване на необходимите ресурси за рефинансиране на дълга в обращение, финансиране на планирания дефицит по държавния бюджет и</w:t>
      </w:r>
      <w:r w:rsidR="00671077">
        <w:rPr>
          <w:rFonts w:cs="Times New Roman"/>
        </w:rPr>
        <w:t xml:space="preserve"> подкрепа на ликвидността</w:t>
      </w:r>
      <w:r w:rsidRPr="00C23F3C">
        <w:rPr>
          <w:rFonts w:cs="Times New Roman"/>
        </w:rPr>
        <w:t xml:space="preserve">. Усилията ще бъдат съсредоточени в посока обезпечаване на възможности за пазарно-ориентирано финансиране както на местния, така и на международните капиталови пазари и договаряне на държавни заеми по линия на инструменти на Европейския съюз и от международни финансови институции, включително за финансиране на проекти и програми, при спазване на годишните дългови ограничения. </w:t>
      </w:r>
    </w:p>
    <w:p w14:paraId="63070773" w14:textId="77777777" w:rsidR="00C23F3C" w:rsidRPr="00C23F3C" w:rsidRDefault="00C23F3C" w:rsidP="00C23F3C">
      <w:pPr>
        <w:rPr>
          <w:rFonts w:cs="Times New Roman"/>
        </w:rPr>
      </w:pPr>
      <w:r w:rsidRPr="00C23F3C">
        <w:rPr>
          <w:rFonts w:cs="Times New Roman"/>
        </w:rPr>
        <w:t xml:space="preserve">Политиката в областта на управлението на държавния дълг през следващите години ще бъде съобразена с конкретните пазарни условия и ще цели минимизиране на ликвидните рискове при изпълнението на бюджета и запазване устойчивостта на основните дългови параметри. Определянето на конкретните характеристики на </w:t>
      </w:r>
      <w:proofErr w:type="spellStart"/>
      <w:r w:rsidRPr="00C23F3C">
        <w:rPr>
          <w:rFonts w:cs="Times New Roman"/>
        </w:rPr>
        <w:t>новопоетия</w:t>
      </w:r>
      <w:proofErr w:type="spellEnd"/>
      <w:r w:rsidRPr="00C23F3C">
        <w:rPr>
          <w:rFonts w:cs="Times New Roman"/>
        </w:rPr>
        <w:t xml:space="preserve"> дълг ще бъде съобразено с настоящата пазарна конюнктура и профила на дълга в обращение, при отчитане на възможностите за намаляване на риска при рефинансирането на държавния дълг и избягване на допълнителна концентрация на плащания в годините с натоварен погасителен профил.</w:t>
      </w:r>
    </w:p>
    <w:p w14:paraId="1FB5C017" w14:textId="77777777" w:rsidR="00C23F3C" w:rsidRPr="00C23F3C" w:rsidRDefault="00C23F3C" w:rsidP="00C23F3C">
      <w:pPr>
        <w:rPr>
          <w:rFonts w:cs="Times New Roman"/>
          <w:b/>
          <w:bCs/>
        </w:rPr>
      </w:pPr>
      <w:r w:rsidRPr="00C23F3C">
        <w:rPr>
          <w:rFonts w:cs="Times New Roman"/>
          <w:b/>
          <w:bCs/>
        </w:rPr>
        <w:t>Сметна палата</w:t>
      </w:r>
    </w:p>
    <w:p w14:paraId="1A96E8C2" w14:textId="77777777" w:rsidR="00C23F3C" w:rsidRPr="00C23F3C" w:rsidRDefault="00C23F3C" w:rsidP="00C23F3C">
      <w:pPr>
        <w:rPr>
          <w:rFonts w:cs="Times New Roman"/>
        </w:rPr>
      </w:pPr>
      <w:r w:rsidRPr="00C23F3C">
        <w:rPr>
          <w:rFonts w:cs="Times New Roman"/>
        </w:rPr>
        <w:t xml:space="preserve">Сметната палата на Република България е държавен орган за независим външен одит в публичния сектор, създаден по силата на чл. 91 от Конституцията на Република България, който при осъществяването на своята дейност се отчита пред Народното събрание. Основна задача на Сметната палата е да контролира надеждността и достоверността на финансовите отчети на бюджетните организации, законосъобразното, ефективно, ефикасно и икономично управление на публичните средства и дейности. </w:t>
      </w:r>
    </w:p>
    <w:p w14:paraId="2A6C0902" w14:textId="77777777" w:rsidR="00C23F3C" w:rsidRPr="00C23F3C" w:rsidRDefault="00C23F3C" w:rsidP="00C23F3C">
      <w:pPr>
        <w:rPr>
          <w:rFonts w:cs="Times New Roman"/>
        </w:rPr>
      </w:pPr>
      <w:r w:rsidRPr="00C23F3C">
        <w:rPr>
          <w:rFonts w:cs="Times New Roman"/>
        </w:rPr>
        <w:t xml:space="preserve">Предвид спецификата в дейността и функциите на Сметната палата, проектът на бюджетна прогноза за периода 2026-2028 г. е изготвен при спазване на приложените най-добри международни практики – Методология за стратегическо планиране и Наръчник за извършване на оценка за потребностите от изграждане на капацитет във върховните одитни институции, разработени от Инициативата на ИНТОСАЙ за развитие (IDI). </w:t>
      </w:r>
    </w:p>
    <w:p w14:paraId="0DA263DA" w14:textId="77777777" w:rsidR="00C23F3C" w:rsidRPr="00C23F3C" w:rsidRDefault="00C23F3C" w:rsidP="00C23F3C">
      <w:pPr>
        <w:rPr>
          <w:rFonts w:cs="Times New Roman"/>
        </w:rPr>
      </w:pPr>
      <w:r w:rsidRPr="00C23F3C">
        <w:rPr>
          <w:rFonts w:cs="Times New Roman"/>
        </w:rPr>
        <w:t>Основните параметри, посочени в проекта на бюджетната прогноза за периода 2026-2028 г., обхващат разходите за ръководните органи, одитния състав, изнесените работни места и администрацията на Сметната палата.</w:t>
      </w:r>
    </w:p>
    <w:p w14:paraId="29DD58AB" w14:textId="77777777" w:rsidR="00C23F3C" w:rsidRPr="00C23F3C" w:rsidRDefault="00C23F3C" w:rsidP="00957ED7">
      <w:pPr>
        <w:rPr>
          <w:rFonts w:cs="Times New Roman"/>
        </w:rPr>
      </w:pPr>
      <w:r w:rsidRPr="00C23F3C">
        <w:rPr>
          <w:rFonts w:cs="Times New Roman"/>
        </w:rPr>
        <w:t>Планираните за периода 2026-2028 г. бюджетни разходи са обвързани с основните стратегически приоритети и цели, които Сметната палата (СП) изпълнява в съответствие със законовите си правомощия. Разходните разчети на СП имат своето нормативно основание, посочено в Закона за Сметната палата, Правилника за устройството и организацията на дейността на Сметната палата, като са взети предвид и Програмата за одитната дейност, програмите за обучение и международна дейност и други програми.</w:t>
      </w:r>
    </w:p>
    <w:p w14:paraId="2B9F73FC" w14:textId="77777777" w:rsidR="0033580A" w:rsidRPr="00DC63A3" w:rsidRDefault="00E71237" w:rsidP="00074767">
      <w:pPr>
        <w:pStyle w:val="Heading3"/>
        <w:ind w:left="0"/>
      </w:pPr>
      <w:r w:rsidRPr="00DC63A3">
        <w:t>Финансово осигуряване на дейността на държавни органи</w:t>
      </w:r>
    </w:p>
    <w:p w14:paraId="1F31588D" w14:textId="77777777" w:rsidR="0097230C" w:rsidRPr="00920A8A" w:rsidRDefault="0097230C" w:rsidP="00957ED7">
      <w:pPr>
        <w:rPr>
          <w:b/>
          <w:szCs w:val="24"/>
        </w:rPr>
      </w:pPr>
      <w:r w:rsidRPr="00920A8A">
        <w:rPr>
          <w:b/>
          <w:szCs w:val="24"/>
        </w:rPr>
        <w:t>Народно събрание</w:t>
      </w:r>
    </w:p>
    <w:p w14:paraId="431ED012" w14:textId="77777777" w:rsidR="00920A8A" w:rsidRPr="00920A8A" w:rsidRDefault="00920A8A" w:rsidP="00957ED7">
      <w:pPr>
        <w:rPr>
          <w:szCs w:val="24"/>
        </w:rPr>
      </w:pPr>
      <w:r w:rsidRPr="00920A8A">
        <w:rPr>
          <w:szCs w:val="24"/>
        </w:rPr>
        <w:lastRenderedPageBreak/>
        <w:t>Планираните за периода 2026-2028 г. консолидирани бюджетни разходи са обвързани със стратегическите цели и приоритети по основни функционални области и програми, които Народното събрание изпълнява в съответствие с конституционните си правомощия. Стратегическите цели на Народното събрание за посочения период са насочени към повишаване качеството на приеманите закони; осигуряване на ефективно представителство, публичност и прозрачност на дейността на Народното събрание; повишаване на ефикасността на парламентарния контрол; приоритизиране на международната дейност на Народното събрание и засилване на междупарламентарното сътрудничество, както и повишаване на тежестта на електронния обмен в дейността на Народното събрание.</w:t>
      </w:r>
    </w:p>
    <w:p w14:paraId="10211AE2" w14:textId="77777777" w:rsidR="0097230C" w:rsidRPr="00920A8A" w:rsidRDefault="0097230C" w:rsidP="00957ED7">
      <w:pPr>
        <w:rPr>
          <w:b/>
          <w:szCs w:val="24"/>
        </w:rPr>
      </w:pPr>
      <w:r w:rsidRPr="00920A8A">
        <w:rPr>
          <w:b/>
          <w:szCs w:val="24"/>
        </w:rPr>
        <w:t>Министерски съвет</w:t>
      </w:r>
    </w:p>
    <w:p w14:paraId="6111097F" w14:textId="77777777" w:rsidR="0097230C" w:rsidRPr="00DC63A3" w:rsidRDefault="0097230C" w:rsidP="00026C7D">
      <w:pPr>
        <w:pStyle w:val="Heading4"/>
      </w:pPr>
      <w:r w:rsidRPr="00DC63A3">
        <w:t>Политика в областта на управлението на средствата от Европейския съюз</w:t>
      </w:r>
    </w:p>
    <w:p w14:paraId="65A62C38" w14:textId="77777777" w:rsidR="00920A8A" w:rsidRPr="00920A8A" w:rsidRDefault="00920A8A" w:rsidP="00920A8A">
      <w:pPr>
        <w:rPr>
          <w:szCs w:val="24"/>
        </w:rPr>
      </w:pPr>
      <w:r w:rsidRPr="00920A8A">
        <w:rPr>
          <w:szCs w:val="24"/>
        </w:rPr>
        <w:t>Визията за развитието на политиката е създаване на условия за устойчив икономически растеж чрез подкрепа за изграждане на конкурентоспособна икономика, базирана на знанието и иновациите, повишаване на трудовата заетост, насърчаване на социалното включване и териториалното сближаване.</w:t>
      </w:r>
    </w:p>
    <w:p w14:paraId="32FB4D71" w14:textId="77777777" w:rsidR="00920A8A" w:rsidRPr="00920A8A" w:rsidRDefault="00920A8A" w:rsidP="00957ED7">
      <w:pPr>
        <w:rPr>
          <w:b/>
          <w:bCs/>
          <w:iCs/>
          <w:szCs w:val="24"/>
        </w:rPr>
      </w:pPr>
      <w:r w:rsidRPr="00920A8A">
        <w:rPr>
          <w:szCs w:val="24"/>
        </w:rPr>
        <w:t>Осигуряване на подкрепа за постигане целите на Споразумението за партньорство  и програмите за изпълнение на многогодишната ф</w:t>
      </w:r>
      <w:r w:rsidR="00AF47B2">
        <w:rPr>
          <w:szCs w:val="24"/>
        </w:rPr>
        <w:t>инансова рама за периода 2021-</w:t>
      </w:r>
      <w:r w:rsidRPr="00920A8A">
        <w:rPr>
          <w:szCs w:val="24"/>
        </w:rPr>
        <w:t xml:space="preserve">2027 г.; допринасяне за ефективното и координирано прилагане на политиката на сближаване с акцент върху укрепването на административния капацитет на националните органи, бенефициентите и партньорите по програмите от </w:t>
      </w:r>
      <w:r w:rsidR="00826BE5">
        <w:rPr>
          <w:szCs w:val="24"/>
        </w:rPr>
        <w:t>Споразумението за партньорство</w:t>
      </w:r>
      <w:r w:rsidRPr="00920A8A">
        <w:rPr>
          <w:szCs w:val="24"/>
        </w:rPr>
        <w:t>; ангажиране на социално-икономическите партньори и организации на гражданското общество за добро управление на средствата от Европейските фондове при споделено управление; и осигуряване на видимост, прозрачност и комуникация на подкрепата от П</w:t>
      </w:r>
      <w:r w:rsidR="001363E7">
        <w:rPr>
          <w:szCs w:val="24"/>
        </w:rPr>
        <w:t>рограма „Техническа помощ“</w:t>
      </w:r>
      <w:r w:rsidRPr="00920A8A">
        <w:rPr>
          <w:szCs w:val="24"/>
        </w:rPr>
        <w:t>.</w:t>
      </w:r>
    </w:p>
    <w:p w14:paraId="6DD6AD82" w14:textId="77777777" w:rsidR="0097230C" w:rsidRPr="00DC63A3" w:rsidRDefault="0097230C" w:rsidP="00026C7D">
      <w:pPr>
        <w:pStyle w:val="Heading4"/>
      </w:pPr>
      <w:r w:rsidRPr="00DC63A3">
        <w:t>Политика в областта на осъществяването на държавните функции на територията на областите в България</w:t>
      </w:r>
    </w:p>
    <w:p w14:paraId="5FCB3CAD" w14:textId="77777777" w:rsidR="00920A8A" w:rsidRPr="00864DAD" w:rsidRDefault="00920A8A" w:rsidP="00957ED7">
      <w:pPr>
        <w:rPr>
          <w:bCs/>
          <w:iCs/>
          <w:szCs w:val="24"/>
        </w:rPr>
      </w:pPr>
      <w:r w:rsidRPr="00920A8A">
        <w:rPr>
          <w:bCs/>
          <w:iCs/>
          <w:szCs w:val="24"/>
        </w:rPr>
        <w:t>Областите са административно-териториални единици за провеждане на регионална политика, за осъществяване на държавно управление по места и за осигуряване на съответствие между националните и местните интереси. Стратегическата цел е провеждане на ефективна регионална политика и държавно управление по места, осигуряване на съответствие между националните и местните интереси, с оглед създаване на благоприятна среда за живот и модернизация на инфраструктурата, осигуряваща условия за растеж, заетост и подобряване качеството на живот.</w:t>
      </w:r>
    </w:p>
    <w:p w14:paraId="12E39AC8" w14:textId="77777777" w:rsidR="0097230C" w:rsidRPr="00DC63A3" w:rsidRDefault="0097230C" w:rsidP="00026C7D">
      <w:pPr>
        <w:pStyle w:val="Heading4"/>
      </w:pPr>
      <w:r w:rsidRPr="00DC63A3">
        <w:t>Политика в областта на правото на вероизповедание</w:t>
      </w:r>
    </w:p>
    <w:p w14:paraId="40B5ADA4" w14:textId="77777777" w:rsidR="00920A8A" w:rsidRPr="00920A8A" w:rsidRDefault="00920A8A" w:rsidP="00920A8A">
      <w:r w:rsidRPr="00920A8A">
        <w:t>Политиката в областта на вероизповеданията се регламентира от Конституцията на Република България и Закона за вероизповеданията. Законодателството на страната ни в тази област е едно от най-новите и либерални в Европейския съюз. Законът за вероизповеданията е получил положителна оценка от Европейската комисия, което е доказателство, че предначертаната и провеждана политика на държавата в тази насока не се нуждае от корекции на този етап.</w:t>
      </w:r>
    </w:p>
    <w:p w14:paraId="14D35542" w14:textId="77777777" w:rsidR="00920A8A" w:rsidRPr="00920A8A" w:rsidRDefault="00920A8A" w:rsidP="00957ED7">
      <w:r w:rsidRPr="00920A8A">
        <w:lastRenderedPageBreak/>
        <w:t>Стратегическата цел е свободно и безпрепятствено упражняване на правото на вероизповедание, поддържане на търпимост и уважение между вярващите от различните вероизповедания, както и между вярващи и невярващи в дългосрочен план.</w:t>
      </w:r>
    </w:p>
    <w:p w14:paraId="0A7A6EF1" w14:textId="77777777" w:rsidR="0097230C" w:rsidRPr="00DC63A3" w:rsidRDefault="0097230C" w:rsidP="00026C7D">
      <w:pPr>
        <w:pStyle w:val="Heading4"/>
      </w:pPr>
      <w:r w:rsidRPr="00DC63A3">
        <w:t>Политика в областта на архивното дело</w:t>
      </w:r>
    </w:p>
    <w:p w14:paraId="15FEBC3D" w14:textId="77777777" w:rsidR="00920A8A" w:rsidRPr="00417BF6" w:rsidRDefault="00920A8A" w:rsidP="00957ED7">
      <w:pPr>
        <w:tabs>
          <w:tab w:val="left" w:pos="2106"/>
        </w:tabs>
        <w:rPr>
          <w:b/>
          <w:bCs/>
          <w:szCs w:val="24"/>
        </w:rPr>
      </w:pPr>
      <w:r w:rsidRPr="00920A8A">
        <w:rPr>
          <w:bCs/>
          <w:szCs w:val="24"/>
        </w:rPr>
        <w:t>Държавната агенция „Архиви” (ДАА) провежда държавната политика в областта на подбора, комплектуването, регистрирането, обработването, опазването, съхраняването и използването на документите от Националния архивен фонд</w:t>
      </w:r>
      <w:r w:rsidR="00AF47B2">
        <w:rPr>
          <w:bCs/>
          <w:szCs w:val="24"/>
        </w:rPr>
        <w:t xml:space="preserve"> (НАФ)</w:t>
      </w:r>
      <w:r w:rsidRPr="00920A8A">
        <w:rPr>
          <w:bCs/>
          <w:szCs w:val="24"/>
        </w:rPr>
        <w:t>, както и в областта на развитието и усъвършенстването на архивното дело. Дейността на ДАА е насочена към подобряване управлението на НАФ чрез осигуряване на необходими нормативни актове. Изготвянето на конкретни предложения за промени в правната рамка е продиктувано от необходимостта за преодоляване на идентифицираните проблеми в регулирането на законово и подзаконово ниво. В съответствие със своите компетенции ДАА има ангажимент за разработването и актуализирането на нормативни и методически документи, свързани с процесите по организация, експертиза, съхранение и използване на електронните документи в държавните и общинските институции, както и по предаване, опазване, съхранение и използване на ценните електронни документи в държавните архиви чрез Система за е-архивиране. В изпълнение на държавната политика за насърчаване</w:t>
      </w:r>
      <w:r w:rsidR="00AF47B2">
        <w:rPr>
          <w:bCs/>
          <w:szCs w:val="24"/>
        </w:rPr>
        <w:t>,</w:t>
      </w:r>
      <w:r w:rsidRPr="00920A8A">
        <w:rPr>
          <w:bCs/>
          <w:szCs w:val="24"/>
        </w:rPr>
        <w:t xml:space="preserve"> въвеждане и използване на инструментите на електронното управле</w:t>
      </w:r>
      <w:r w:rsidR="00AF47B2">
        <w:rPr>
          <w:bCs/>
          <w:szCs w:val="24"/>
        </w:rPr>
        <w:t>ние от държавната администрация</w:t>
      </w:r>
      <w:r w:rsidRPr="00920A8A">
        <w:rPr>
          <w:bCs/>
          <w:szCs w:val="24"/>
        </w:rPr>
        <w:t xml:space="preserve"> се цели повишаване на ефективността на предоставените услуги, както и насърчаване прозрачността във взаимоотношенията между администрацията и потребителите</w:t>
      </w:r>
      <w:r w:rsidRPr="00AF72DC">
        <w:rPr>
          <w:bCs/>
          <w:szCs w:val="24"/>
        </w:rPr>
        <w:t>.</w:t>
      </w:r>
    </w:p>
    <w:p w14:paraId="68883BD6" w14:textId="77777777" w:rsidR="00920A8A" w:rsidRPr="00920A8A" w:rsidRDefault="00920A8A" w:rsidP="00920A8A">
      <w:pPr>
        <w:tabs>
          <w:tab w:val="left" w:pos="2106"/>
        </w:tabs>
        <w:rPr>
          <w:b/>
          <w:bCs/>
          <w:szCs w:val="24"/>
        </w:rPr>
      </w:pPr>
      <w:r w:rsidRPr="00920A8A">
        <w:rPr>
          <w:b/>
          <w:bCs/>
          <w:szCs w:val="24"/>
        </w:rPr>
        <w:t>Централна избирателна комисия</w:t>
      </w:r>
    </w:p>
    <w:p w14:paraId="4D6C6C1D" w14:textId="77777777" w:rsidR="00920A8A" w:rsidRPr="00920A8A" w:rsidRDefault="00920A8A" w:rsidP="00920A8A">
      <w:pPr>
        <w:tabs>
          <w:tab w:val="left" w:pos="2106"/>
        </w:tabs>
        <w:rPr>
          <w:bCs/>
          <w:szCs w:val="24"/>
        </w:rPr>
      </w:pPr>
      <w:r w:rsidRPr="00920A8A">
        <w:rPr>
          <w:bCs/>
          <w:szCs w:val="24"/>
        </w:rPr>
        <w:t>Централната избирателна комисия организира и произвежда законосъобразни, честни и свободни избори и национални референдуми за осигуряване правото на всеки избирател да упражни правото си на глас и работи за повишаване на доверието в изборния процес. За периода 2026-2028 г. са разчетени разходи за изпълнението на дейността на Централната избирателна комисия като постоянно действащ независим държавен орган, насочен към организиране и произвеждане на законосъобразни избори и референдуми, разработени съобразно Изборния кодекс, при спазване принципите на върховенство на закона, публичност и прозрачност.</w:t>
      </w:r>
    </w:p>
    <w:p w14:paraId="537C798A" w14:textId="77777777" w:rsidR="00920A8A" w:rsidRPr="00920A8A" w:rsidRDefault="00920A8A" w:rsidP="00920A8A">
      <w:pPr>
        <w:tabs>
          <w:tab w:val="left" w:pos="2106"/>
        </w:tabs>
        <w:rPr>
          <w:bCs/>
          <w:szCs w:val="24"/>
        </w:rPr>
      </w:pPr>
      <w:r w:rsidRPr="00920A8A">
        <w:rPr>
          <w:bCs/>
          <w:szCs w:val="24"/>
        </w:rPr>
        <w:t>За периода 2026-2028 г. са предвидени разходи за подготовката и произвеждането на избори съгласно Изборния кодекс.</w:t>
      </w:r>
    </w:p>
    <w:p w14:paraId="694F7746" w14:textId="77777777" w:rsidR="00920A8A" w:rsidRPr="00920A8A" w:rsidRDefault="00920A8A" w:rsidP="00920A8A">
      <w:pPr>
        <w:tabs>
          <w:tab w:val="left" w:pos="2106"/>
        </w:tabs>
        <w:rPr>
          <w:b/>
          <w:bCs/>
          <w:szCs w:val="24"/>
        </w:rPr>
      </w:pPr>
      <w:r w:rsidRPr="00920A8A">
        <w:rPr>
          <w:b/>
          <w:bCs/>
          <w:szCs w:val="24"/>
        </w:rPr>
        <w:t>Държавна комисия по сигурността на информацията</w:t>
      </w:r>
    </w:p>
    <w:p w14:paraId="289FB7F6" w14:textId="77777777" w:rsidR="00920A8A" w:rsidRPr="00920A8A" w:rsidRDefault="00920A8A" w:rsidP="00920A8A">
      <w:pPr>
        <w:tabs>
          <w:tab w:val="left" w:pos="2106"/>
        </w:tabs>
        <w:rPr>
          <w:bCs/>
          <w:szCs w:val="24"/>
        </w:rPr>
      </w:pPr>
      <w:r w:rsidRPr="00920A8A">
        <w:rPr>
          <w:bCs/>
          <w:szCs w:val="24"/>
        </w:rPr>
        <w:t xml:space="preserve">Държавната комисия по сигурността на информацията осъществява политика в областта на защитата на класифицираната информация. Необходимостта от защита на класифицираната информация се поражда от значението й за националната сигурност на Република България. Ограничаването на достъпа до класифицирана информация цели да предотврати заплахата или увреждането на интересите на страната, свързани със суверенитета, независимостта, териториалната цялост, отбраната, конституционно-установения ред, външната политика и международните отношения. </w:t>
      </w:r>
    </w:p>
    <w:p w14:paraId="126111B1" w14:textId="77777777" w:rsidR="00920A8A" w:rsidRPr="00920A8A" w:rsidRDefault="00920A8A" w:rsidP="00920A8A">
      <w:pPr>
        <w:tabs>
          <w:tab w:val="left" w:pos="2106"/>
        </w:tabs>
        <w:rPr>
          <w:bCs/>
          <w:szCs w:val="24"/>
        </w:rPr>
      </w:pPr>
      <w:r w:rsidRPr="00920A8A">
        <w:rPr>
          <w:bCs/>
          <w:szCs w:val="24"/>
        </w:rPr>
        <w:t xml:space="preserve">Държавната комисия по сигурността на информацията отговаря за организирането, осъществяването, координирането и контролирането на дейностите по защитата на класифицираната информация и осигуряването на цялостната ѝ защита в национален и международен план. </w:t>
      </w:r>
    </w:p>
    <w:p w14:paraId="30F0650E" w14:textId="77777777" w:rsidR="00920A8A" w:rsidRPr="00920A8A" w:rsidRDefault="00920A8A" w:rsidP="00920A8A">
      <w:pPr>
        <w:tabs>
          <w:tab w:val="left" w:pos="2106"/>
        </w:tabs>
        <w:rPr>
          <w:bCs/>
          <w:szCs w:val="24"/>
        </w:rPr>
      </w:pPr>
      <w:r w:rsidRPr="00920A8A">
        <w:rPr>
          <w:bCs/>
          <w:szCs w:val="24"/>
        </w:rPr>
        <w:lastRenderedPageBreak/>
        <w:t>Стратегическите цели на Държавната комисия по сигурността на информацията включват:</w:t>
      </w:r>
    </w:p>
    <w:p w14:paraId="116194F1" w14:textId="77777777" w:rsidR="00920A8A" w:rsidRPr="00920A8A" w:rsidRDefault="00920A8A" w:rsidP="005B790D">
      <w:pPr>
        <w:numPr>
          <w:ilvl w:val="0"/>
          <w:numId w:val="16"/>
        </w:numPr>
        <w:tabs>
          <w:tab w:val="left" w:pos="2106"/>
        </w:tabs>
        <w:rPr>
          <w:bCs/>
          <w:szCs w:val="24"/>
        </w:rPr>
      </w:pPr>
      <w:r w:rsidRPr="00920A8A">
        <w:rPr>
          <w:bCs/>
          <w:szCs w:val="24"/>
        </w:rPr>
        <w:t xml:space="preserve">Защита на класифицираната информация от нерегламентиран достъп; </w:t>
      </w:r>
    </w:p>
    <w:p w14:paraId="679BA6A2" w14:textId="77777777" w:rsidR="00920A8A" w:rsidRPr="00920A8A" w:rsidRDefault="00920A8A" w:rsidP="005B790D">
      <w:pPr>
        <w:numPr>
          <w:ilvl w:val="0"/>
          <w:numId w:val="16"/>
        </w:numPr>
        <w:tabs>
          <w:tab w:val="left" w:pos="2106"/>
        </w:tabs>
        <w:rPr>
          <w:bCs/>
          <w:szCs w:val="24"/>
        </w:rPr>
      </w:pPr>
      <w:r w:rsidRPr="00920A8A">
        <w:rPr>
          <w:bCs/>
          <w:szCs w:val="24"/>
        </w:rPr>
        <w:t>Усъвършенстване, развитие, координация и общ контрол на системата за защита на класифицираната информация по персонална, документална, физическа, индустриална сигурност, сигурност на комуникационните и информационни системи (КИС) и криптографска сигурност;</w:t>
      </w:r>
    </w:p>
    <w:p w14:paraId="595480D2" w14:textId="77777777" w:rsidR="00920A8A" w:rsidRPr="00920A8A" w:rsidRDefault="00920A8A" w:rsidP="005B790D">
      <w:pPr>
        <w:numPr>
          <w:ilvl w:val="0"/>
          <w:numId w:val="16"/>
        </w:numPr>
        <w:tabs>
          <w:tab w:val="left" w:pos="2106"/>
        </w:tabs>
        <w:rPr>
          <w:bCs/>
          <w:szCs w:val="24"/>
        </w:rPr>
      </w:pPr>
      <w:r w:rsidRPr="00920A8A">
        <w:rPr>
          <w:bCs/>
          <w:szCs w:val="24"/>
        </w:rPr>
        <w:t>Усъвършенстване на системата за обучение по защита на класифицирана информация с цел изграждане на съзнание за сигурност сред лицата, ангажирани по Закона за защита на класифицираната информация (ЗЗКИ);</w:t>
      </w:r>
    </w:p>
    <w:p w14:paraId="19DEEEAE" w14:textId="77777777" w:rsidR="00920A8A" w:rsidRPr="00920A8A" w:rsidRDefault="00920A8A" w:rsidP="005B790D">
      <w:pPr>
        <w:numPr>
          <w:ilvl w:val="0"/>
          <w:numId w:val="16"/>
        </w:numPr>
        <w:tabs>
          <w:tab w:val="left" w:pos="2106"/>
        </w:tabs>
        <w:rPr>
          <w:bCs/>
          <w:szCs w:val="24"/>
        </w:rPr>
      </w:pPr>
      <w:r w:rsidRPr="00920A8A">
        <w:rPr>
          <w:bCs/>
          <w:szCs w:val="24"/>
        </w:rPr>
        <w:t>Подобряване на институционалния и административен капацитет на Държавната комисия по сигурността на информацията за успешно изпълнение на мисията и функциите.</w:t>
      </w:r>
    </w:p>
    <w:p w14:paraId="18773C64" w14:textId="77777777" w:rsidR="00920A8A" w:rsidRPr="00920A8A" w:rsidRDefault="00920A8A" w:rsidP="00920A8A">
      <w:pPr>
        <w:tabs>
          <w:tab w:val="left" w:pos="2106"/>
        </w:tabs>
        <w:rPr>
          <w:bCs/>
          <w:szCs w:val="24"/>
        </w:rPr>
      </w:pPr>
      <w:r w:rsidRPr="00920A8A">
        <w:rPr>
          <w:bCs/>
          <w:szCs w:val="24"/>
        </w:rPr>
        <w:t>Бюджет</w:t>
      </w:r>
      <w:r w:rsidR="00AF47B2">
        <w:rPr>
          <w:bCs/>
          <w:szCs w:val="24"/>
        </w:rPr>
        <w:t>ната прогноза за периода 2026-</w:t>
      </w:r>
      <w:r w:rsidRPr="00920A8A">
        <w:rPr>
          <w:bCs/>
          <w:szCs w:val="24"/>
        </w:rPr>
        <w:t>2028 г. на Държавната комисия по сигурността на информацията цели финансовото осигуряване на нейната дейност, което ще гарантира устойчивост в изпълнението на приоритетите и заложените цели през посочения период.</w:t>
      </w:r>
    </w:p>
    <w:p w14:paraId="31547E21" w14:textId="77777777" w:rsidR="00920A8A" w:rsidRPr="00920A8A" w:rsidRDefault="00920A8A" w:rsidP="00920A8A">
      <w:pPr>
        <w:tabs>
          <w:tab w:val="left" w:pos="2106"/>
        </w:tabs>
        <w:rPr>
          <w:b/>
          <w:bCs/>
          <w:szCs w:val="24"/>
        </w:rPr>
      </w:pPr>
      <w:r w:rsidRPr="00920A8A">
        <w:rPr>
          <w:b/>
          <w:bCs/>
          <w:szCs w:val="24"/>
        </w:rPr>
        <w:t>Комисия за защита от дискриминация</w:t>
      </w:r>
    </w:p>
    <w:p w14:paraId="11777B80" w14:textId="77777777" w:rsidR="00920A8A" w:rsidRPr="00920A8A" w:rsidRDefault="00920A8A" w:rsidP="00920A8A">
      <w:pPr>
        <w:tabs>
          <w:tab w:val="left" w:pos="2106"/>
        </w:tabs>
        <w:rPr>
          <w:bCs/>
          <w:szCs w:val="24"/>
        </w:rPr>
      </w:pPr>
      <w:r w:rsidRPr="00920A8A">
        <w:rPr>
          <w:bCs/>
          <w:szCs w:val="24"/>
        </w:rPr>
        <w:t>Комисията наблюдава и контролира спазването на Закона за защита от дискриминация и съответствието на новоприетото законодателство в страната и на подзаконовата нормативна уредба с неговите антидискриминационни разпоредби. Осъществява наблюдение и предприема мерки за съответствие на българското антидискриминационно законодателство с правото на ЕС и международноправните актове. Осъществява и координира международното сътрудничество в областта на антидискриминационната политика на Република България с международни органи и организации, както и със сходни чуждестранни институции. Комисията се явява и като национален орган по правата на човека към ООН.</w:t>
      </w:r>
    </w:p>
    <w:p w14:paraId="2FC9AA3A" w14:textId="77777777" w:rsidR="00920A8A" w:rsidRPr="00920A8A" w:rsidRDefault="00920A8A" w:rsidP="00920A8A">
      <w:pPr>
        <w:tabs>
          <w:tab w:val="left" w:pos="2106"/>
        </w:tabs>
        <w:rPr>
          <w:b/>
          <w:bCs/>
          <w:szCs w:val="24"/>
        </w:rPr>
      </w:pPr>
      <w:r w:rsidRPr="00920A8A">
        <w:rPr>
          <w:b/>
          <w:bCs/>
          <w:szCs w:val="24"/>
        </w:rPr>
        <w:t>Администрация на президента</w:t>
      </w:r>
    </w:p>
    <w:p w14:paraId="66944CE8" w14:textId="77777777" w:rsidR="00920A8A" w:rsidRPr="00920A8A" w:rsidRDefault="00920A8A" w:rsidP="00920A8A">
      <w:pPr>
        <w:tabs>
          <w:tab w:val="left" w:pos="2106"/>
        </w:tabs>
        <w:rPr>
          <w:bCs/>
          <w:szCs w:val="24"/>
        </w:rPr>
      </w:pPr>
      <w:r w:rsidRPr="00920A8A">
        <w:rPr>
          <w:bCs/>
          <w:szCs w:val="24"/>
        </w:rPr>
        <w:t>Планираните разходи са обвързани с изпълнението на Програмата за работата на Администрацията на президента по осъществяване на конституционните правомощия на президента и вицепрезидента на Република България в интерес на гражданите и обществото.</w:t>
      </w:r>
    </w:p>
    <w:p w14:paraId="62575851" w14:textId="77777777" w:rsidR="00920A8A" w:rsidRPr="00920A8A" w:rsidRDefault="00920A8A" w:rsidP="00920A8A">
      <w:pPr>
        <w:tabs>
          <w:tab w:val="left" w:pos="2106"/>
        </w:tabs>
        <w:rPr>
          <w:bCs/>
          <w:szCs w:val="24"/>
        </w:rPr>
      </w:pPr>
      <w:r w:rsidRPr="00920A8A">
        <w:rPr>
          <w:bCs/>
          <w:szCs w:val="24"/>
        </w:rPr>
        <w:t>Целите на Програмата включват:</w:t>
      </w:r>
    </w:p>
    <w:p w14:paraId="4BE3F4D1" w14:textId="77777777" w:rsidR="00920A8A" w:rsidRPr="00920A8A" w:rsidRDefault="00920A8A" w:rsidP="005B790D">
      <w:pPr>
        <w:numPr>
          <w:ilvl w:val="0"/>
          <w:numId w:val="16"/>
        </w:numPr>
        <w:tabs>
          <w:tab w:val="left" w:pos="2106"/>
        </w:tabs>
        <w:rPr>
          <w:bCs/>
          <w:szCs w:val="24"/>
        </w:rPr>
      </w:pPr>
      <w:r w:rsidRPr="00920A8A">
        <w:rPr>
          <w:bCs/>
          <w:szCs w:val="24"/>
        </w:rPr>
        <w:t>Защита и реализация на националните</w:t>
      </w:r>
      <w:r w:rsidR="002C0615">
        <w:rPr>
          <w:bCs/>
          <w:szCs w:val="24"/>
        </w:rPr>
        <w:t xml:space="preserve"> интереси на Република България</w:t>
      </w:r>
      <w:r w:rsidRPr="00920A8A">
        <w:rPr>
          <w:bCs/>
          <w:szCs w:val="24"/>
        </w:rPr>
        <w:t xml:space="preserve"> чрез активно участие в международните отношения;</w:t>
      </w:r>
    </w:p>
    <w:p w14:paraId="0333C428" w14:textId="77777777" w:rsidR="00920A8A" w:rsidRPr="00920A8A" w:rsidRDefault="00920A8A" w:rsidP="005B790D">
      <w:pPr>
        <w:numPr>
          <w:ilvl w:val="0"/>
          <w:numId w:val="16"/>
        </w:numPr>
        <w:tabs>
          <w:tab w:val="left" w:pos="2106"/>
        </w:tabs>
        <w:rPr>
          <w:bCs/>
          <w:szCs w:val="24"/>
        </w:rPr>
      </w:pPr>
      <w:r w:rsidRPr="00920A8A">
        <w:rPr>
          <w:bCs/>
          <w:szCs w:val="24"/>
        </w:rPr>
        <w:t>Устойчиво развитие на българската нация и държава;</w:t>
      </w:r>
    </w:p>
    <w:p w14:paraId="73F8D7EB" w14:textId="77777777" w:rsidR="00920A8A" w:rsidRPr="00920A8A" w:rsidRDefault="00920A8A" w:rsidP="005B790D">
      <w:pPr>
        <w:numPr>
          <w:ilvl w:val="0"/>
          <w:numId w:val="16"/>
        </w:numPr>
        <w:tabs>
          <w:tab w:val="left" w:pos="2106"/>
        </w:tabs>
        <w:rPr>
          <w:bCs/>
          <w:szCs w:val="24"/>
        </w:rPr>
      </w:pPr>
      <w:r w:rsidRPr="00920A8A">
        <w:rPr>
          <w:bCs/>
          <w:szCs w:val="24"/>
        </w:rPr>
        <w:t>Защита на националната сигурност и териториалната цялост на Република България - президентът върховен главнокомандващ на въоръжените сили на Република България;</w:t>
      </w:r>
    </w:p>
    <w:p w14:paraId="2C8044B7" w14:textId="77777777" w:rsidR="00920A8A" w:rsidRPr="00920A8A" w:rsidRDefault="00920A8A" w:rsidP="005B790D">
      <w:pPr>
        <w:numPr>
          <w:ilvl w:val="0"/>
          <w:numId w:val="16"/>
        </w:numPr>
        <w:tabs>
          <w:tab w:val="left" w:pos="2106"/>
        </w:tabs>
        <w:rPr>
          <w:bCs/>
          <w:szCs w:val="24"/>
        </w:rPr>
      </w:pPr>
      <w:r w:rsidRPr="00920A8A">
        <w:rPr>
          <w:bCs/>
          <w:szCs w:val="24"/>
        </w:rPr>
        <w:t xml:space="preserve">Усъвършенстване и развитие на съвременна, високо оперативна и функционираща администрация, която напълно да обезпечава организационно, </w:t>
      </w:r>
      <w:r w:rsidRPr="00920A8A">
        <w:rPr>
          <w:bCs/>
          <w:szCs w:val="24"/>
        </w:rPr>
        <w:lastRenderedPageBreak/>
        <w:t>логистично и финансово дейността на президента и вицепрезидента за изпълнение на правомощията им по Конституцията на Република България;</w:t>
      </w:r>
    </w:p>
    <w:p w14:paraId="4FD8F214" w14:textId="77777777" w:rsidR="00185DAB" w:rsidRPr="005228EF" w:rsidRDefault="00920A8A" w:rsidP="005228EF">
      <w:pPr>
        <w:numPr>
          <w:ilvl w:val="0"/>
          <w:numId w:val="16"/>
        </w:numPr>
        <w:tabs>
          <w:tab w:val="left" w:pos="2106"/>
        </w:tabs>
        <w:rPr>
          <w:bCs/>
          <w:szCs w:val="24"/>
        </w:rPr>
      </w:pPr>
      <w:r w:rsidRPr="00920A8A">
        <w:rPr>
          <w:bCs/>
          <w:szCs w:val="24"/>
        </w:rPr>
        <w:t>Поддържане и модернизиране на сградния фонд и прилежащите площи в съответствие с изискванията за представителност.</w:t>
      </w:r>
    </w:p>
    <w:p w14:paraId="50CBBBB0" w14:textId="77777777" w:rsidR="00920A8A" w:rsidRPr="00920A8A" w:rsidRDefault="00920A8A" w:rsidP="00920A8A">
      <w:pPr>
        <w:tabs>
          <w:tab w:val="left" w:pos="2106"/>
        </w:tabs>
        <w:rPr>
          <w:b/>
          <w:bCs/>
          <w:szCs w:val="24"/>
        </w:rPr>
      </w:pPr>
      <w:r w:rsidRPr="00920A8A">
        <w:rPr>
          <w:b/>
          <w:bCs/>
          <w:szCs w:val="24"/>
        </w:rPr>
        <w:t>Омбудсман</w:t>
      </w:r>
    </w:p>
    <w:p w14:paraId="32EC2149" w14:textId="77777777" w:rsidR="00920A8A" w:rsidRPr="00920A8A" w:rsidRDefault="00920A8A" w:rsidP="00920A8A">
      <w:pPr>
        <w:tabs>
          <w:tab w:val="left" w:pos="2106"/>
        </w:tabs>
        <w:rPr>
          <w:bCs/>
          <w:szCs w:val="24"/>
        </w:rPr>
      </w:pPr>
      <w:r w:rsidRPr="00920A8A">
        <w:rPr>
          <w:bCs/>
          <w:szCs w:val="24"/>
        </w:rPr>
        <w:t>Омбудсманът е застъпник на правата на хората и пазител на обществения интерес. Основната функция на омбудсмана е да създава условия за достоен живот на всеки български граждани и защита на неговите права в обществена и институционална среда на респект и уважение към тях. В тази връзка държавата финансира дейността му, която е изключително разнородна и всеобхватна, а основните му инициативи са свързани предимно с:</w:t>
      </w:r>
    </w:p>
    <w:p w14:paraId="27C5B8E6" w14:textId="77777777" w:rsidR="00920A8A" w:rsidRPr="00920A8A" w:rsidRDefault="00920A8A" w:rsidP="00920A8A">
      <w:pPr>
        <w:numPr>
          <w:ilvl w:val="0"/>
          <w:numId w:val="14"/>
        </w:numPr>
        <w:tabs>
          <w:tab w:val="left" w:pos="2106"/>
        </w:tabs>
        <w:rPr>
          <w:bCs/>
          <w:szCs w:val="24"/>
        </w:rPr>
      </w:pPr>
      <w:r w:rsidRPr="00920A8A">
        <w:rPr>
          <w:bCs/>
          <w:szCs w:val="24"/>
        </w:rPr>
        <w:t>Правата на човека в местата за лишаване от свобода;</w:t>
      </w:r>
    </w:p>
    <w:p w14:paraId="67531F0D" w14:textId="77777777" w:rsidR="00920A8A" w:rsidRPr="00920A8A" w:rsidRDefault="00920A8A" w:rsidP="00920A8A">
      <w:pPr>
        <w:numPr>
          <w:ilvl w:val="0"/>
          <w:numId w:val="14"/>
        </w:numPr>
        <w:tabs>
          <w:tab w:val="left" w:pos="2106"/>
        </w:tabs>
        <w:rPr>
          <w:bCs/>
          <w:szCs w:val="24"/>
        </w:rPr>
      </w:pPr>
      <w:r w:rsidRPr="00920A8A">
        <w:rPr>
          <w:bCs/>
          <w:szCs w:val="24"/>
        </w:rPr>
        <w:t>Правата на децата;</w:t>
      </w:r>
    </w:p>
    <w:p w14:paraId="7ADB2B35" w14:textId="77777777" w:rsidR="00920A8A" w:rsidRPr="00920A8A" w:rsidRDefault="00920A8A" w:rsidP="00920A8A">
      <w:pPr>
        <w:numPr>
          <w:ilvl w:val="0"/>
          <w:numId w:val="14"/>
        </w:numPr>
        <w:tabs>
          <w:tab w:val="left" w:pos="2106"/>
        </w:tabs>
        <w:rPr>
          <w:bCs/>
          <w:szCs w:val="24"/>
        </w:rPr>
      </w:pPr>
      <w:r w:rsidRPr="00920A8A">
        <w:rPr>
          <w:bCs/>
          <w:szCs w:val="24"/>
        </w:rPr>
        <w:t>Правата на хората с увреждания;</w:t>
      </w:r>
    </w:p>
    <w:p w14:paraId="45158943" w14:textId="77777777" w:rsidR="00920A8A" w:rsidRPr="00920A8A" w:rsidRDefault="00920A8A" w:rsidP="00920A8A">
      <w:pPr>
        <w:numPr>
          <w:ilvl w:val="0"/>
          <w:numId w:val="14"/>
        </w:numPr>
        <w:tabs>
          <w:tab w:val="left" w:pos="2106"/>
        </w:tabs>
        <w:rPr>
          <w:bCs/>
          <w:szCs w:val="24"/>
        </w:rPr>
      </w:pPr>
      <w:r w:rsidRPr="00920A8A">
        <w:rPr>
          <w:bCs/>
          <w:szCs w:val="24"/>
        </w:rPr>
        <w:t>Правата на потребителите;</w:t>
      </w:r>
    </w:p>
    <w:p w14:paraId="663FB6AA" w14:textId="77777777" w:rsidR="00920A8A" w:rsidRPr="00920A8A" w:rsidRDefault="00920A8A" w:rsidP="00920A8A">
      <w:pPr>
        <w:numPr>
          <w:ilvl w:val="0"/>
          <w:numId w:val="14"/>
        </w:numPr>
        <w:tabs>
          <w:tab w:val="left" w:pos="2106"/>
        </w:tabs>
        <w:rPr>
          <w:bCs/>
          <w:szCs w:val="24"/>
        </w:rPr>
      </w:pPr>
      <w:r w:rsidRPr="00920A8A">
        <w:rPr>
          <w:bCs/>
          <w:szCs w:val="24"/>
        </w:rPr>
        <w:t>Социалните права на гражданите;</w:t>
      </w:r>
    </w:p>
    <w:p w14:paraId="354F841B" w14:textId="77777777" w:rsidR="00920A8A" w:rsidRPr="00920A8A" w:rsidRDefault="00920A8A" w:rsidP="00920A8A">
      <w:pPr>
        <w:numPr>
          <w:ilvl w:val="0"/>
          <w:numId w:val="14"/>
        </w:numPr>
        <w:tabs>
          <w:tab w:val="left" w:pos="2106"/>
        </w:tabs>
        <w:rPr>
          <w:bCs/>
          <w:szCs w:val="24"/>
        </w:rPr>
      </w:pPr>
      <w:r w:rsidRPr="00920A8A">
        <w:rPr>
          <w:bCs/>
          <w:szCs w:val="24"/>
        </w:rPr>
        <w:t>Здравеопазването;</w:t>
      </w:r>
    </w:p>
    <w:p w14:paraId="468BCC4F" w14:textId="77777777" w:rsidR="00920A8A" w:rsidRPr="00920A8A" w:rsidRDefault="00920A8A" w:rsidP="00920A8A">
      <w:pPr>
        <w:numPr>
          <w:ilvl w:val="0"/>
          <w:numId w:val="14"/>
        </w:numPr>
        <w:tabs>
          <w:tab w:val="left" w:pos="2106"/>
        </w:tabs>
        <w:rPr>
          <w:bCs/>
          <w:szCs w:val="24"/>
        </w:rPr>
      </w:pPr>
      <w:r w:rsidRPr="00920A8A">
        <w:rPr>
          <w:bCs/>
          <w:szCs w:val="24"/>
        </w:rPr>
        <w:t>Образованието;</w:t>
      </w:r>
    </w:p>
    <w:p w14:paraId="7C29DDFE" w14:textId="77777777" w:rsidR="00920A8A" w:rsidRPr="00920A8A" w:rsidRDefault="00920A8A" w:rsidP="00920A8A">
      <w:pPr>
        <w:numPr>
          <w:ilvl w:val="0"/>
          <w:numId w:val="14"/>
        </w:numPr>
        <w:tabs>
          <w:tab w:val="left" w:pos="2106"/>
        </w:tabs>
        <w:rPr>
          <w:bCs/>
          <w:szCs w:val="24"/>
        </w:rPr>
      </w:pPr>
      <w:r w:rsidRPr="00920A8A">
        <w:rPr>
          <w:bCs/>
          <w:szCs w:val="24"/>
        </w:rPr>
        <w:t>Собствеността на гражданите;</w:t>
      </w:r>
    </w:p>
    <w:p w14:paraId="6D365DAB" w14:textId="77777777" w:rsidR="00920A8A" w:rsidRPr="00920A8A" w:rsidRDefault="00920A8A" w:rsidP="00920A8A">
      <w:pPr>
        <w:numPr>
          <w:ilvl w:val="0"/>
          <w:numId w:val="14"/>
        </w:numPr>
        <w:tabs>
          <w:tab w:val="left" w:pos="2106"/>
        </w:tabs>
        <w:rPr>
          <w:bCs/>
          <w:szCs w:val="24"/>
        </w:rPr>
      </w:pPr>
      <w:r w:rsidRPr="00920A8A">
        <w:rPr>
          <w:bCs/>
          <w:szCs w:val="24"/>
        </w:rPr>
        <w:t>Опазването на околната среда.</w:t>
      </w:r>
    </w:p>
    <w:p w14:paraId="59B467D3" w14:textId="77777777" w:rsidR="00920A8A" w:rsidRPr="00920A8A" w:rsidRDefault="00920A8A" w:rsidP="00920A8A">
      <w:pPr>
        <w:tabs>
          <w:tab w:val="left" w:pos="2106"/>
        </w:tabs>
        <w:rPr>
          <w:bCs/>
          <w:szCs w:val="24"/>
        </w:rPr>
      </w:pPr>
      <w:r w:rsidRPr="00920A8A">
        <w:rPr>
          <w:bCs/>
          <w:szCs w:val="24"/>
        </w:rPr>
        <w:t>Основните принципи, от които се ръководи омбудсманът, са безпристрастност, независимост, справедливост, утвърждаване на правова държава, защита на най-добрия интерес на детето, преценка по вътрешно убеждение относно спазването на изискванията за добро управление.</w:t>
      </w:r>
    </w:p>
    <w:p w14:paraId="78FFE97C" w14:textId="77777777" w:rsidR="00920A8A" w:rsidRPr="00920A8A" w:rsidRDefault="00920A8A" w:rsidP="00920A8A">
      <w:pPr>
        <w:tabs>
          <w:tab w:val="left" w:pos="2106"/>
        </w:tabs>
        <w:rPr>
          <w:bCs/>
          <w:szCs w:val="24"/>
        </w:rPr>
      </w:pPr>
      <w:r w:rsidRPr="00920A8A">
        <w:rPr>
          <w:bCs/>
          <w:szCs w:val="24"/>
        </w:rPr>
        <w:t>В своята дейност омбудсманът се подпомага от своята администрация, осъществява сътрудничество със сродни институции в други държави, както и с международни организации, чийто предмет на дейност обхваща защитата на правата на човека. Взаимодейства с местните обществени посредници и други сродни институции в България, осъществява сътрудничество с неправителствени организации, чийто предмет на дейност обхваща защитата на правата на човека.</w:t>
      </w:r>
    </w:p>
    <w:p w14:paraId="0CAD201A" w14:textId="77777777" w:rsidR="00920A8A" w:rsidRPr="00920A8A" w:rsidRDefault="00920A8A" w:rsidP="00920A8A">
      <w:pPr>
        <w:tabs>
          <w:tab w:val="left" w:pos="2106"/>
        </w:tabs>
        <w:rPr>
          <w:bCs/>
          <w:szCs w:val="24"/>
        </w:rPr>
      </w:pPr>
      <w:r w:rsidRPr="00920A8A">
        <w:rPr>
          <w:bCs/>
          <w:szCs w:val="24"/>
        </w:rPr>
        <w:t xml:space="preserve">С приетия Закон за защита на лицата, подаващи сигнали или публично оповестяващи информация за нарушения на омбудсмана са вменени нови отговорности, касаещи външното одитиране, извършване на проверки на място, приемане и разглеждане на жалби срещу Комисията за защита на личните данни на лица, подали сигнали, включително за неосигурена защита или нарушения на поверителността на информацията за тях. </w:t>
      </w:r>
    </w:p>
    <w:p w14:paraId="68B54834" w14:textId="77777777" w:rsidR="00920A8A" w:rsidRPr="00920A8A" w:rsidRDefault="00920A8A" w:rsidP="00920A8A">
      <w:pPr>
        <w:tabs>
          <w:tab w:val="left" w:pos="2106"/>
        </w:tabs>
        <w:rPr>
          <w:bCs/>
          <w:szCs w:val="24"/>
        </w:rPr>
      </w:pPr>
      <w:r w:rsidRPr="00920A8A">
        <w:rPr>
          <w:bCs/>
          <w:szCs w:val="24"/>
        </w:rPr>
        <w:t>Параметрите, заложени в бюджетната прогноза, касаещи омбудсмана, целят финансовото осигуряване на дейността му, което ще гарантира устойчивост в изпълнението на приоритетите и заложените цели през периода.</w:t>
      </w:r>
    </w:p>
    <w:p w14:paraId="0D9FED07" w14:textId="77777777" w:rsidR="00920A8A" w:rsidRPr="00920A8A" w:rsidRDefault="00920A8A" w:rsidP="00920A8A">
      <w:pPr>
        <w:tabs>
          <w:tab w:val="left" w:pos="2106"/>
        </w:tabs>
        <w:rPr>
          <w:b/>
          <w:bCs/>
          <w:szCs w:val="24"/>
        </w:rPr>
      </w:pPr>
      <w:r w:rsidRPr="00920A8A">
        <w:rPr>
          <w:b/>
          <w:bCs/>
          <w:szCs w:val="24"/>
        </w:rPr>
        <w:lastRenderedPageBreak/>
        <w:t>Комисия за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w:t>
      </w:r>
    </w:p>
    <w:p w14:paraId="4B54DBDE" w14:textId="77777777" w:rsidR="007833A5" w:rsidRDefault="00920A8A" w:rsidP="00920A8A">
      <w:pPr>
        <w:tabs>
          <w:tab w:val="left" w:pos="2106"/>
        </w:tabs>
        <w:rPr>
          <w:bCs/>
          <w:szCs w:val="24"/>
        </w:rPr>
      </w:pPr>
      <w:r w:rsidRPr="00920A8A">
        <w:rPr>
          <w:bCs/>
          <w:szCs w:val="24"/>
        </w:rPr>
        <w:t>Комисията за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 (КРДОПБГДСРСБНА) е независим държавен орган, който осъществява политиката на Република България за разкриването, обявяването и съхраняването на документите на Държавна сигурност и разузнавателните служби на Българската народна армия съгласно Закона за достъп и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 Планираните разходи са за обезпечаване дейността на Комисията за разкриване на документите и за обявяване на принадлежност на български граждани към Държавна сигурност и разузнавателните служб</w:t>
      </w:r>
      <w:r w:rsidR="007833A5">
        <w:rPr>
          <w:bCs/>
          <w:szCs w:val="24"/>
        </w:rPr>
        <w:t>и на Българската народна армия.</w:t>
      </w:r>
    </w:p>
    <w:p w14:paraId="1183A194" w14:textId="77777777" w:rsidR="00920A8A" w:rsidRPr="00920A8A" w:rsidRDefault="00920A8A" w:rsidP="00920A8A">
      <w:pPr>
        <w:tabs>
          <w:tab w:val="left" w:pos="2106"/>
        </w:tabs>
        <w:rPr>
          <w:bCs/>
          <w:szCs w:val="24"/>
        </w:rPr>
      </w:pPr>
      <w:r w:rsidRPr="00920A8A">
        <w:rPr>
          <w:bCs/>
          <w:szCs w:val="24"/>
        </w:rPr>
        <w:t>Предоставянето на висококачествени услуги в изпълнение на стратегическите и оперативните це</w:t>
      </w:r>
      <w:r w:rsidR="00AA33E6">
        <w:rPr>
          <w:bCs/>
          <w:szCs w:val="24"/>
        </w:rPr>
        <w:t>ли</w:t>
      </w:r>
      <w:r w:rsidRPr="00920A8A">
        <w:rPr>
          <w:bCs/>
          <w:szCs w:val="24"/>
        </w:rPr>
        <w:t xml:space="preserve"> и постигането на значими ползи/ефекти за обществото от изпълнението на политиката в областта на архива на Държавна сигурност и разузнавателните служби на Българската народна армия е основна цел и първостепенна задача на КРДОПБГДСРСБНА. </w:t>
      </w:r>
    </w:p>
    <w:p w14:paraId="01DA5AA6" w14:textId="77777777" w:rsidR="00920A8A" w:rsidRPr="00920A8A" w:rsidRDefault="00920A8A" w:rsidP="00920A8A">
      <w:pPr>
        <w:tabs>
          <w:tab w:val="left" w:pos="2106"/>
        </w:tabs>
        <w:rPr>
          <w:bCs/>
          <w:szCs w:val="24"/>
        </w:rPr>
      </w:pPr>
      <w:r w:rsidRPr="00920A8A">
        <w:rPr>
          <w:bCs/>
          <w:szCs w:val="24"/>
        </w:rPr>
        <w:t>Визията за организационно развитие на Комисията е насочена към непрекъсваното подобряване на възможностите за ефективно планиране и изпълнение на приоритетни задачи, подобряване на капацитета на отделните звена в администрацията, както и на всеки отделен служител, с цел по-добро управление и по-ефективна работа на екипа. Стремежът е осигуряване на ясна и съгласувана рамка в дейността на администрацията на КРДОПБГДСРСБНА в полза на гражданите и обществото като цяло.</w:t>
      </w:r>
    </w:p>
    <w:p w14:paraId="30D44867" w14:textId="77777777" w:rsidR="00920A8A" w:rsidRPr="00920A8A" w:rsidRDefault="00920A8A" w:rsidP="00920A8A">
      <w:pPr>
        <w:tabs>
          <w:tab w:val="left" w:pos="2106"/>
        </w:tabs>
        <w:rPr>
          <w:bCs/>
          <w:szCs w:val="24"/>
        </w:rPr>
      </w:pPr>
      <w:r w:rsidRPr="00920A8A">
        <w:rPr>
          <w:bCs/>
          <w:szCs w:val="24"/>
        </w:rPr>
        <w:t>През периода 2026-2028 г. комисията ще продължава да води целенасочена политика в изпълнение на задълженията си, произтичащи от Закона за достъп и разкриване на документите и за обявяване принадлежност на български граждани към Държавна сигурност и разузнавателните служби на Българската народна армия в три приоритетни направления, а именно:</w:t>
      </w:r>
    </w:p>
    <w:p w14:paraId="5AEA76CD" w14:textId="77777777" w:rsidR="00920A8A" w:rsidRPr="00920A8A" w:rsidRDefault="00920A8A" w:rsidP="005B790D">
      <w:pPr>
        <w:numPr>
          <w:ilvl w:val="0"/>
          <w:numId w:val="18"/>
        </w:numPr>
        <w:tabs>
          <w:tab w:val="left" w:pos="2106"/>
        </w:tabs>
        <w:rPr>
          <w:bCs/>
          <w:szCs w:val="24"/>
        </w:rPr>
      </w:pPr>
      <w:r w:rsidRPr="00920A8A">
        <w:rPr>
          <w:bCs/>
          <w:szCs w:val="24"/>
        </w:rPr>
        <w:t>да установява и обявява принадлежност към Държавна сигурност и разузнавателните служби на Българската народна армия на български граждани, заемали или заемащи публични длъжности, извършвали или извършващи публични дейности;</w:t>
      </w:r>
    </w:p>
    <w:p w14:paraId="6FDC9014" w14:textId="77777777" w:rsidR="00920A8A" w:rsidRPr="00920A8A" w:rsidRDefault="00920A8A" w:rsidP="005B790D">
      <w:pPr>
        <w:numPr>
          <w:ilvl w:val="0"/>
          <w:numId w:val="18"/>
        </w:numPr>
        <w:tabs>
          <w:tab w:val="left" w:pos="2106"/>
        </w:tabs>
        <w:rPr>
          <w:bCs/>
          <w:szCs w:val="24"/>
        </w:rPr>
      </w:pPr>
      <w:r w:rsidRPr="00920A8A">
        <w:rPr>
          <w:bCs/>
          <w:szCs w:val="24"/>
        </w:rPr>
        <w:t>да комплектува и съхранява в Централизирания архив документите на органите по чл. 1 от Закона за достъп и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 съставени в периода от 9 септември 1944 г. до 16 юли 1991 г.;</w:t>
      </w:r>
    </w:p>
    <w:p w14:paraId="7B9047E6" w14:textId="77777777" w:rsidR="00580843" w:rsidRPr="00580843" w:rsidRDefault="00920A8A" w:rsidP="00920A8A">
      <w:pPr>
        <w:numPr>
          <w:ilvl w:val="0"/>
          <w:numId w:val="18"/>
        </w:numPr>
        <w:tabs>
          <w:tab w:val="left" w:pos="2106"/>
        </w:tabs>
        <w:rPr>
          <w:bCs/>
          <w:szCs w:val="24"/>
        </w:rPr>
      </w:pPr>
      <w:r w:rsidRPr="00920A8A">
        <w:rPr>
          <w:bCs/>
          <w:szCs w:val="24"/>
        </w:rPr>
        <w:t>да осигурява достъп до тези документи.</w:t>
      </w:r>
    </w:p>
    <w:p w14:paraId="69232D7A" w14:textId="77777777" w:rsidR="00920A8A" w:rsidRPr="00920A8A" w:rsidRDefault="00920A8A" w:rsidP="00920A8A">
      <w:pPr>
        <w:tabs>
          <w:tab w:val="left" w:pos="2106"/>
        </w:tabs>
        <w:rPr>
          <w:b/>
          <w:bCs/>
          <w:szCs w:val="24"/>
        </w:rPr>
      </w:pPr>
      <w:r w:rsidRPr="00920A8A">
        <w:rPr>
          <w:b/>
          <w:bCs/>
          <w:szCs w:val="24"/>
        </w:rPr>
        <w:t>Комисия за отнемане на незаконно придобитото имущество</w:t>
      </w:r>
    </w:p>
    <w:p w14:paraId="059482F5" w14:textId="77777777" w:rsidR="00920A8A" w:rsidRPr="00920A8A" w:rsidRDefault="00920A8A" w:rsidP="00920A8A">
      <w:pPr>
        <w:tabs>
          <w:tab w:val="left" w:pos="2106"/>
        </w:tabs>
        <w:rPr>
          <w:bCs/>
          <w:szCs w:val="24"/>
        </w:rPr>
      </w:pPr>
      <w:r w:rsidRPr="00920A8A">
        <w:rPr>
          <w:bCs/>
          <w:szCs w:val="24"/>
        </w:rPr>
        <w:t>Комисията за отнемане на незаконно придобитото имущество (КОНПИ) е независим специализиран постоянно действащ държавен орган за осъществяване на политиката по отнемане на незаконно придобито имущество.</w:t>
      </w:r>
    </w:p>
    <w:p w14:paraId="2D70981E" w14:textId="77777777" w:rsidR="00920A8A" w:rsidRPr="00920A8A" w:rsidRDefault="00920A8A" w:rsidP="00920A8A">
      <w:pPr>
        <w:tabs>
          <w:tab w:val="left" w:pos="2106"/>
        </w:tabs>
        <w:rPr>
          <w:bCs/>
          <w:szCs w:val="24"/>
        </w:rPr>
      </w:pPr>
      <w:r w:rsidRPr="00920A8A">
        <w:rPr>
          <w:bCs/>
          <w:szCs w:val="24"/>
        </w:rPr>
        <w:lastRenderedPageBreak/>
        <w:t>За постигане на целите на Закона за отнемане на незаконно придобитото имущество (ЗОНПИ), Комисията и органите на Комисията, Комисията за противодействие на корупцията, Прокуратурата, Министерството на вътрешните работи, органите на Държавна агенция „Национална сигурност“, органите на Националната агенция за приходите, органите на Агенция „Митници“, Главният инспекторат на Министерския съвет, Инспекторатът към Висшия съдебен съвет и инспекторатите по чл. 46 от Закона за администрацията си взаимодействат съобразно предоставената им компетентност.</w:t>
      </w:r>
    </w:p>
    <w:p w14:paraId="538889B1" w14:textId="77777777" w:rsidR="00920A8A" w:rsidRPr="00920A8A" w:rsidRDefault="00920A8A" w:rsidP="00920A8A">
      <w:pPr>
        <w:tabs>
          <w:tab w:val="left" w:pos="2106"/>
        </w:tabs>
        <w:rPr>
          <w:bCs/>
          <w:szCs w:val="24"/>
        </w:rPr>
      </w:pPr>
      <w:r w:rsidRPr="00920A8A">
        <w:rPr>
          <w:bCs/>
          <w:szCs w:val="24"/>
        </w:rPr>
        <w:t>Предвидените със ЗОНПИ специфични дейности на Комисията са публични и прозрачни, и съобразно естеството на частта от функционалната област са насочени в следните направления:</w:t>
      </w:r>
    </w:p>
    <w:p w14:paraId="3817407D" w14:textId="77777777" w:rsidR="00920A8A" w:rsidRPr="00920A8A" w:rsidRDefault="00920A8A" w:rsidP="005B790D">
      <w:pPr>
        <w:numPr>
          <w:ilvl w:val="0"/>
          <w:numId w:val="18"/>
        </w:numPr>
        <w:tabs>
          <w:tab w:val="left" w:pos="2106"/>
        </w:tabs>
        <w:rPr>
          <w:bCs/>
          <w:szCs w:val="24"/>
        </w:rPr>
      </w:pPr>
      <w:r w:rsidRPr="00920A8A">
        <w:rPr>
          <w:bCs/>
          <w:szCs w:val="24"/>
        </w:rPr>
        <w:t>По установяване на незаконно придобито имущество – Комисията образува производство за отнемане на незаконно придобито имущество, когато може да се направи обосновано предположение и установи значително несъответствие в имуществото на проверяваното лице;</w:t>
      </w:r>
    </w:p>
    <w:p w14:paraId="6F11D88B" w14:textId="77777777" w:rsidR="00920A8A" w:rsidRPr="00920A8A" w:rsidRDefault="00920A8A" w:rsidP="005B790D">
      <w:pPr>
        <w:numPr>
          <w:ilvl w:val="0"/>
          <w:numId w:val="18"/>
        </w:numPr>
        <w:tabs>
          <w:tab w:val="left" w:pos="2106"/>
        </w:tabs>
        <w:rPr>
          <w:bCs/>
          <w:szCs w:val="24"/>
        </w:rPr>
      </w:pPr>
      <w:r w:rsidRPr="00920A8A">
        <w:rPr>
          <w:bCs/>
          <w:szCs w:val="24"/>
        </w:rPr>
        <w:t>По отнемане на незаконно придобитото имущество – осъществяване на процедурите по налагане на обезпечителни мерки и отнемане в полза на държавата на незаконно придобитото имущество, в т.ч. съдебни производства, организиране на дейностите по управление и пазене на имуществото, върху което е наложено обезпечение на основание ЗОНПИ, поддържане на регистър за обезпеченото имущество, както и механизъм за предоставяне за обществени нужди на отнети в полза на държавата имоти, изготвяне на удостоверения за наличието на обезпечителни мерки, наложени по реда на ЗОНПИ и други.</w:t>
      </w:r>
    </w:p>
    <w:p w14:paraId="1AAD443C" w14:textId="77777777" w:rsidR="00920A8A" w:rsidRPr="00920A8A" w:rsidRDefault="00920A8A" w:rsidP="00920A8A">
      <w:pPr>
        <w:tabs>
          <w:tab w:val="left" w:pos="2106"/>
        </w:tabs>
        <w:rPr>
          <w:b/>
          <w:bCs/>
          <w:szCs w:val="24"/>
        </w:rPr>
      </w:pPr>
      <w:r w:rsidRPr="00920A8A">
        <w:rPr>
          <w:b/>
          <w:bCs/>
          <w:szCs w:val="24"/>
        </w:rPr>
        <w:t>Комисия за противодействие на корупцията</w:t>
      </w:r>
    </w:p>
    <w:p w14:paraId="041F6F78" w14:textId="77777777" w:rsidR="00920A8A" w:rsidRPr="00920A8A" w:rsidRDefault="00920A8A" w:rsidP="00920A8A">
      <w:pPr>
        <w:tabs>
          <w:tab w:val="left" w:pos="2106"/>
        </w:tabs>
        <w:rPr>
          <w:bCs/>
          <w:szCs w:val="24"/>
        </w:rPr>
      </w:pPr>
      <w:r w:rsidRPr="00920A8A">
        <w:rPr>
          <w:bCs/>
          <w:szCs w:val="24"/>
        </w:rPr>
        <w:t>Комисията за противодействие на корупцията е независим специализиран постоянно действащ държавен орган за осъществяване на политиката по превенция, противодействие на корупцията и установяване на конфликт на интереси, с цел защита на интересите на обществото чрез ефективно противодействие на корупцията и създаване на гаранции, че лицата, заемащи публични длъжности, изпълняват правомощията или задълженията си честно и почтено при спазване на Конституцията и законите на Република България.</w:t>
      </w:r>
    </w:p>
    <w:p w14:paraId="4503EE83" w14:textId="77777777" w:rsidR="00920A8A" w:rsidRPr="00920A8A" w:rsidRDefault="00920A8A" w:rsidP="00920A8A">
      <w:pPr>
        <w:tabs>
          <w:tab w:val="left" w:pos="2106"/>
        </w:tabs>
        <w:rPr>
          <w:bCs/>
          <w:szCs w:val="24"/>
        </w:rPr>
      </w:pPr>
      <w:r w:rsidRPr="00920A8A">
        <w:rPr>
          <w:bCs/>
          <w:szCs w:val="24"/>
        </w:rPr>
        <w:t xml:space="preserve">За постигане на целите на Закона за противодействие на корупцията (ЗПК) Комисията, разследващите инспектори и инспекторите, осъществяващи </w:t>
      </w:r>
      <w:proofErr w:type="spellStart"/>
      <w:r w:rsidRPr="00920A8A">
        <w:rPr>
          <w:bCs/>
          <w:szCs w:val="24"/>
        </w:rPr>
        <w:t>опeративно</w:t>
      </w:r>
      <w:proofErr w:type="spellEnd"/>
      <w:r w:rsidRPr="00920A8A">
        <w:rPr>
          <w:bCs/>
          <w:szCs w:val="24"/>
        </w:rPr>
        <w:t>-издирвателна дейност, Комисията за отнемане на незаконно придобитото имущество, Прокуратурата на Република България, Европейската прокуратура, Министерството на вътрешните работи, Министерството на финансите, Агенцията за държавна финансова инспекция, Държавна агенция „Национална сигурност“, Национална агенция за приходите, Агенция „Митници“, Главният инспекторат към Министерския съвет, Инспекторатът към Висшия съдебен съвет и инспекторатите по чл. 46 от Закона за администрацията си взаимодействат съобразно предоставената им компетентност.</w:t>
      </w:r>
    </w:p>
    <w:p w14:paraId="42E1FFF7" w14:textId="77777777" w:rsidR="00920A8A" w:rsidRPr="00920A8A" w:rsidRDefault="00920A8A" w:rsidP="00920A8A">
      <w:pPr>
        <w:tabs>
          <w:tab w:val="left" w:pos="2106"/>
        </w:tabs>
        <w:rPr>
          <w:bCs/>
          <w:szCs w:val="24"/>
        </w:rPr>
      </w:pPr>
      <w:r w:rsidRPr="00920A8A">
        <w:rPr>
          <w:bCs/>
          <w:szCs w:val="24"/>
        </w:rPr>
        <w:t>Предвидените със ЗПК специфични дейности на Комисията са публични и прозрачни и съобразно естеството на частта от функционалната област са насочени в следните направления:</w:t>
      </w:r>
    </w:p>
    <w:p w14:paraId="7325818A" w14:textId="77777777" w:rsidR="00920A8A" w:rsidRPr="00920A8A" w:rsidRDefault="00920A8A" w:rsidP="005B790D">
      <w:pPr>
        <w:numPr>
          <w:ilvl w:val="0"/>
          <w:numId w:val="17"/>
        </w:numPr>
        <w:tabs>
          <w:tab w:val="left" w:pos="2106"/>
        </w:tabs>
        <w:rPr>
          <w:bCs/>
          <w:szCs w:val="24"/>
        </w:rPr>
      </w:pPr>
      <w:r w:rsidRPr="00920A8A">
        <w:rPr>
          <w:bCs/>
          <w:szCs w:val="24"/>
        </w:rPr>
        <w:t xml:space="preserve">По превенция на корупцията – събира, обобщава и анализира информация за националните антикорупционни политики и мерки; извършва анализи, разработва и предлага мерки за превенция и противодействие на корупцията и </w:t>
      </w:r>
      <w:r w:rsidRPr="00920A8A">
        <w:rPr>
          <w:bCs/>
          <w:szCs w:val="24"/>
        </w:rPr>
        <w:lastRenderedPageBreak/>
        <w:t>координира прилагането им, осъществява дейности за разпространение на информацията, свързана с противодействието на корупцията, включително антикорупционните политики и мерки; обучава инспекторите от Главния инспекторат към Министерския съвет и към отделните инспекторати; дава становище по стратегическия и годишния план за дейността и по отчета на Главния инспекторат към Министерския съвет и към отделните инспекторати (чл. 44 от ЗПК);</w:t>
      </w:r>
    </w:p>
    <w:p w14:paraId="00E79109" w14:textId="77777777" w:rsidR="00920A8A" w:rsidRPr="00920A8A" w:rsidRDefault="00920A8A" w:rsidP="005B790D">
      <w:pPr>
        <w:numPr>
          <w:ilvl w:val="0"/>
          <w:numId w:val="17"/>
        </w:numPr>
        <w:tabs>
          <w:tab w:val="left" w:pos="2106"/>
        </w:tabs>
        <w:rPr>
          <w:bCs/>
          <w:szCs w:val="24"/>
        </w:rPr>
      </w:pPr>
      <w:r w:rsidRPr="00920A8A">
        <w:rPr>
          <w:bCs/>
          <w:szCs w:val="24"/>
        </w:rPr>
        <w:t>По предотвратяване, разкриване и разследване на корупционни престъпления – събиране, анализ и извършване на проверки на сведения при или по повод информация за прояви на корупция от лица, заемащи публични длъжности;</w:t>
      </w:r>
    </w:p>
    <w:p w14:paraId="4EB3AA29" w14:textId="77777777" w:rsidR="00920A8A" w:rsidRPr="00920A8A" w:rsidRDefault="00920A8A" w:rsidP="005B790D">
      <w:pPr>
        <w:numPr>
          <w:ilvl w:val="0"/>
          <w:numId w:val="17"/>
        </w:numPr>
        <w:tabs>
          <w:tab w:val="left" w:pos="2106"/>
        </w:tabs>
        <w:rPr>
          <w:bCs/>
          <w:szCs w:val="24"/>
        </w:rPr>
      </w:pPr>
      <w:r w:rsidRPr="00920A8A">
        <w:rPr>
          <w:bCs/>
          <w:szCs w:val="24"/>
        </w:rPr>
        <w:t>По установяване на конфликт на интереси при лица, заемащи публични длъжности – приемане, обработване, проверка, анализ и публикуване на декларациите за имущество и интереси.</w:t>
      </w:r>
    </w:p>
    <w:p w14:paraId="5D93C0F5" w14:textId="77777777" w:rsidR="00920A8A" w:rsidRPr="00920A8A" w:rsidRDefault="00920A8A" w:rsidP="00920A8A">
      <w:pPr>
        <w:tabs>
          <w:tab w:val="left" w:pos="2106"/>
        </w:tabs>
        <w:rPr>
          <w:b/>
          <w:bCs/>
          <w:szCs w:val="24"/>
        </w:rPr>
      </w:pPr>
      <w:r w:rsidRPr="00920A8A">
        <w:rPr>
          <w:b/>
          <w:bCs/>
          <w:szCs w:val="24"/>
        </w:rPr>
        <w:t>Комисия за защита на личните данни</w:t>
      </w:r>
    </w:p>
    <w:p w14:paraId="085E690C" w14:textId="77777777" w:rsidR="00920A8A" w:rsidRPr="00920A8A" w:rsidRDefault="00920A8A" w:rsidP="00920A8A">
      <w:pPr>
        <w:tabs>
          <w:tab w:val="left" w:pos="2106"/>
        </w:tabs>
        <w:rPr>
          <w:bCs/>
          <w:szCs w:val="24"/>
        </w:rPr>
      </w:pPr>
      <w:r w:rsidRPr="00920A8A">
        <w:rPr>
          <w:bCs/>
          <w:szCs w:val="24"/>
        </w:rPr>
        <w:t xml:space="preserve">Комисията за защита на личните данни (КЗЛД) е независим надзорен орган, който осъществява защитата на физическите лица при обработването на техните лични данни, както и спазването на законовите изисквания в тази област и централен орган за външно подаване на сигнали и за защита на лицата, на които такава защита се предоставя по Закона за защита на лицата, подаващи сигнали или публично оповестяващи информация за нарушения (ЗЗБПСПОИН). Ключово условие за адекватното изпълнение на мисията и функциите й е осигуряването на необходимия административен капацитет, ресурсна обезпеченост, както и поддържането на висок професионализъм и мотивация на нейните служители. Технологичното развитие през последните години поставя нови предизвикателства пред защитата на личните данни. Това налага изграждането на административен капацитет, който да е адекватен на задачите, рисковете и предизвикателствата, възникващи за защита на правата на субектите на данни.  Развитието на административната структура на КЗЛД отразява нормативно възложените й задачи, както и обществените очаквания към нея като национален надзорен орган в областта на защитата на личните данни и централен орган за външно подаване на сигнали и за защита на лицата, на които такава защита се предоставя по ЗЗЛПСПОИН. </w:t>
      </w:r>
    </w:p>
    <w:p w14:paraId="28F0B65F" w14:textId="77777777" w:rsidR="00920A8A" w:rsidRPr="00920A8A" w:rsidRDefault="00920A8A" w:rsidP="00920A8A">
      <w:pPr>
        <w:tabs>
          <w:tab w:val="left" w:pos="2106"/>
        </w:tabs>
        <w:rPr>
          <w:bCs/>
          <w:szCs w:val="24"/>
        </w:rPr>
      </w:pPr>
      <w:r w:rsidRPr="00920A8A">
        <w:rPr>
          <w:bCs/>
          <w:szCs w:val="24"/>
        </w:rPr>
        <w:t>Дейността на КЗЛД попада в обхвата на функционална област „Защита на личните данни на физическите лица“.</w:t>
      </w:r>
    </w:p>
    <w:p w14:paraId="35911927" w14:textId="77777777" w:rsidR="00920A8A" w:rsidRPr="00920A8A" w:rsidRDefault="00920A8A" w:rsidP="00920A8A">
      <w:pPr>
        <w:tabs>
          <w:tab w:val="left" w:pos="2106"/>
        </w:tabs>
        <w:rPr>
          <w:b/>
          <w:bCs/>
          <w:szCs w:val="24"/>
        </w:rPr>
      </w:pPr>
      <w:r w:rsidRPr="00920A8A">
        <w:rPr>
          <w:b/>
          <w:bCs/>
          <w:szCs w:val="24"/>
        </w:rPr>
        <w:t>Национален статистически институт</w:t>
      </w:r>
    </w:p>
    <w:p w14:paraId="1A7EC151" w14:textId="77777777" w:rsidR="00920A8A" w:rsidRPr="00920A8A" w:rsidRDefault="00920A8A" w:rsidP="00920A8A">
      <w:pPr>
        <w:tabs>
          <w:tab w:val="left" w:pos="2106"/>
        </w:tabs>
        <w:rPr>
          <w:bCs/>
          <w:szCs w:val="24"/>
        </w:rPr>
      </w:pPr>
      <w:r w:rsidRPr="00920A8A">
        <w:rPr>
          <w:bCs/>
          <w:szCs w:val="24"/>
        </w:rPr>
        <w:t>Националният статистически институт (НСИ) осъществява независима статистическа дейност на Република България. Мисията на НСИ относно Националната статистическа система е да осигурява безпристрастна, обективна, навременна и точна информация за състоянието и тенденциите в развитието на икономиката, социалната сфера, демографията и околната среда.</w:t>
      </w:r>
    </w:p>
    <w:p w14:paraId="0BCAF33B" w14:textId="77777777" w:rsidR="00920A8A" w:rsidRPr="00920A8A" w:rsidRDefault="00920A8A" w:rsidP="00920A8A">
      <w:pPr>
        <w:tabs>
          <w:tab w:val="left" w:pos="2106"/>
        </w:tabs>
        <w:rPr>
          <w:bCs/>
          <w:szCs w:val="24"/>
        </w:rPr>
      </w:pPr>
      <w:r w:rsidRPr="00920A8A">
        <w:rPr>
          <w:bCs/>
          <w:szCs w:val="24"/>
        </w:rPr>
        <w:t xml:space="preserve">Главната цел в развитието на Националната статистическа система за периода 2026-2028 г. е да осигури непрекъснатост по отношение на разработването, изготвянето и разпространението на висококачествени, съпоставими и надеждни статистически данни, които да са основа за формулирането, изпълнението, мониторинга и оценката на всички политики в Европа и България и да помага на гражданите, създателите на политики, предприятията, академичните среди и медиите да вземат информирани решения. </w:t>
      </w:r>
    </w:p>
    <w:p w14:paraId="03E1D7C2" w14:textId="77777777" w:rsidR="00920A8A" w:rsidRPr="00920A8A" w:rsidRDefault="00920A8A" w:rsidP="00920A8A">
      <w:pPr>
        <w:tabs>
          <w:tab w:val="left" w:pos="2106"/>
        </w:tabs>
        <w:rPr>
          <w:bCs/>
          <w:szCs w:val="24"/>
        </w:rPr>
      </w:pPr>
      <w:r w:rsidRPr="00920A8A">
        <w:rPr>
          <w:bCs/>
          <w:szCs w:val="24"/>
        </w:rPr>
        <w:lastRenderedPageBreak/>
        <w:t>Дейността на НСИ попада в обхвата на функционална област „Безпристрастна, обективна, навременна и точна информация за състоянието на Република България“.</w:t>
      </w:r>
    </w:p>
    <w:p w14:paraId="0A1EDF3C" w14:textId="77777777" w:rsidR="00920A8A" w:rsidRPr="00920A8A" w:rsidRDefault="00920A8A" w:rsidP="00920A8A">
      <w:pPr>
        <w:tabs>
          <w:tab w:val="left" w:pos="2106"/>
        </w:tabs>
        <w:rPr>
          <w:b/>
          <w:bCs/>
          <w:szCs w:val="24"/>
        </w:rPr>
      </w:pPr>
      <w:r w:rsidRPr="00920A8A">
        <w:rPr>
          <w:b/>
          <w:bCs/>
          <w:szCs w:val="24"/>
        </w:rPr>
        <w:t>Съвет за електронните медии</w:t>
      </w:r>
    </w:p>
    <w:p w14:paraId="5D66A549" w14:textId="77777777" w:rsidR="00920A8A" w:rsidRPr="00920A8A" w:rsidRDefault="00920A8A" w:rsidP="00920A8A">
      <w:pPr>
        <w:tabs>
          <w:tab w:val="left" w:pos="2106"/>
        </w:tabs>
        <w:rPr>
          <w:bCs/>
          <w:szCs w:val="24"/>
        </w:rPr>
      </w:pPr>
      <w:r w:rsidRPr="00920A8A">
        <w:rPr>
          <w:bCs/>
          <w:szCs w:val="24"/>
        </w:rPr>
        <w:t>Съветът за електронни медии е независим специализиран орган, който регулира медийните услуги и услугите на платформите за споделяне на видеоклипове, предоставяни от лица под юрисдикцията на Република България.</w:t>
      </w:r>
    </w:p>
    <w:p w14:paraId="45DFCCF7" w14:textId="77777777" w:rsidR="00920A8A" w:rsidRPr="00920A8A" w:rsidRDefault="00920A8A" w:rsidP="00920A8A">
      <w:pPr>
        <w:tabs>
          <w:tab w:val="left" w:pos="2106"/>
        </w:tabs>
        <w:rPr>
          <w:bCs/>
          <w:szCs w:val="24"/>
        </w:rPr>
      </w:pPr>
      <w:r w:rsidRPr="00920A8A">
        <w:rPr>
          <w:bCs/>
          <w:szCs w:val="24"/>
        </w:rPr>
        <w:t>Съветът за електронни медии упражнява правомощията си съгласно Закона за радиото и телевизията и осъществява приоритетите си в следните основни насоки:</w:t>
      </w:r>
    </w:p>
    <w:p w14:paraId="35C70BB4" w14:textId="77777777" w:rsidR="00920A8A" w:rsidRPr="00920A8A" w:rsidRDefault="00920A8A" w:rsidP="005B790D">
      <w:pPr>
        <w:numPr>
          <w:ilvl w:val="0"/>
          <w:numId w:val="17"/>
        </w:numPr>
        <w:tabs>
          <w:tab w:val="left" w:pos="2106"/>
        </w:tabs>
        <w:rPr>
          <w:bCs/>
          <w:szCs w:val="24"/>
        </w:rPr>
      </w:pPr>
      <w:r w:rsidRPr="00920A8A">
        <w:rPr>
          <w:bCs/>
          <w:szCs w:val="24"/>
        </w:rPr>
        <w:t>регулира медийните услуги чрез издаване на лицензии и регистрации за осъществяване на радио- и телевизионна дейност, вписва лицата, заявили намерение да осъществяват услуги по заявка и заявили намерение да предоставят услуги на платформа за споделяне на видеоклипове;</w:t>
      </w:r>
    </w:p>
    <w:p w14:paraId="3018C86A" w14:textId="77777777" w:rsidR="00920A8A" w:rsidRPr="00920A8A" w:rsidRDefault="00920A8A" w:rsidP="005B790D">
      <w:pPr>
        <w:numPr>
          <w:ilvl w:val="0"/>
          <w:numId w:val="17"/>
        </w:numPr>
        <w:tabs>
          <w:tab w:val="left" w:pos="2106"/>
        </w:tabs>
        <w:rPr>
          <w:bCs/>
          <w:szCs w:val="24"/>
        </w:rPr>
      </w:pPr>
      <w:r w:rsidRPr="00920A8A">
        <w:rPr>
          <w:bCs/>
          <w:szCs w:val="24"/>
        </w:rPr>
        <w:t>осъществява надзор върху дейността на доставчиците на линейни медийни услуги относно спазването на разпоредбите на Закона за радиото и телевизията, на условията на издадените им лицензии, съответно заявените при регистрацията програмни ангажименти; осъществява надзор за спазване на закона от доставчиците на нелинейни медийни услуги и надзор върху платформите за споделяне на видеоклипове.</w:t>
      </w:r>
    </w:p>
    <w:p w14:paraId="41CD640C" w14:textId="77777777" w:rsidR="00920A8A" w:rsidRPr="00920A8A" w:rsidRDefault="00920A8A" w:rsidP="00920A8A">
      <w:pPr>
        <w:tabs>
          <w:tab w:val="left" w:pos="2106"/>
        </w:tabs>
        <w:rPr>
          <w:bCs/>
          <w:szCs w:val="24"/>
        </w:rPr>
      </w:pPr>
      <w:r w:rsidRPr="00920A8A">
        <w:rPr>
          <w:bCs/>
          <w:szCs w:val="24"/>
        </w:rPr>
        <w:t xml:space="preserve">Планираните за периода 2026-2028 г. бюджетни разходи са обвързани с основните приоритети и цели, които Съветът за електронни медии изпълнява в съответствие с определените му със Закона за радиото и телевизията правомощия. </w:t>
      </w:r>
    </w:p>
    <w:p w14:paraId="7F83FC85" w14:textId="77777777" w:rsidR="00920A8A" w:rsidRPr="00920A8A" w:rsidRDefault="00920A8A" w:rsidP="00920A8A">
      <w:pPr>
        <w:tabs>
          <w:tab w:val="left" w:pos="2106"/>
        </w:tabs>
        <w:rPr>
          <w:bCs/>
          <w:szCs w:val="24"/>
        </w:rPr>
      </w:pPr>
      <w:r w:rsidRPr="00920A8A">
        <w:rPr>
          <w:bCs/>
          <w:szCs w:val="24"/>
        </w:rPr>
        <w:t>Дейността на Съвета за електронни медии попада в обхвата на функционална област „Регулиране на медийните услуги и на услуги на платформи за споделяне на видеоклипове“.</w:t>
      </w:r>
    </w:p>
    <w:p w14:paraId="057B6432" w14:textId="77777777" w:rsidR="00920A8A" w:rsidRPr="00920A8A" w:rsidRDefault="00920A8A" w:rsidP="00920A8A">
      <w:pPr>
        <w:tabs>
          <w:tab w:val="left" w:pos="2106"/>
        </w:tabs>
        <w:rPr>
          <w:b/>
          <w:bCs/>
          <w:szCs w:val="24"/>
        </w:rPr>
      </w:pPr>
      <w:r w:rsidRPr="00920A8A">
        <w:rPr>
          <w:b/>
          <w:bCs/>
          <w:szCs w:val="24"/>
        </w:rPr>
        <w:t>Комисия за регулиране на съобщенията</w:t>
      </w:r>
    </w:p>
    <w:p w14:paraId="69BF789A" w14:textId="77777777" w:rsidR="00920A8A" w:rsidRPr="00920A8A" w:rsidRDefault="00920A8A" w:rsidP="00920A8A">
      <w:pPr>
        <w:tabs>
          <w:tab w:val="left" w:pos="2106"/>
        </w:tabs>
        <w:rPr>
          <w:bCs/>
          <w:szCs w:val="24"/>
        </w:rPr>
      </w:pPr>
      <w:r w:rsidRPr="00920A8A">
        <w:rPr>
          <w:bCs/>
          <w:szCs w:val="24"/>
        </w:rPr>
        <w:t>Дейността на Комисията за регулиране на съобщенията е насочена към осигуряване предоставянето на съвременни и качествени електронни съобщителни услуги на гражданите и бизнеса чрез създаване на условия за развитие на пазара на електронните съобщителни мрежи и услуги, част от вътрешния пазар на Европейския съюз, създаване на съгласувани условия за инвестиции в следващо поколение електронни съобщителни мрежи, ефективна и устойчива конкуренция при предоставянето на електронни съобщителни мрежи и услуги, включително по отношение на инфраструктурата, сигурност на мрежите и услугите и равностоен достъп до услугите.</w:t>
      </w:r>
    </w:p>
    <w:p w14:paraId="71828CC0" w14:textId="77777777" w:rsidR="00920A8A" w:rsidRPr="00920A8A" w:rsidRDefault="00920A8A" w:rsidP="00920A8A">
      <w:pPr>
        <w:tabs>
          <w:tab w:val="left" w:pos="2106"/>
        </w:tabs>
        <w:rPr>
          <w:bCs/>
          <w:szCs w:val="24"/>
        </w:rPr>
      </w:pPr>
      <w:r w:rsidRPr="00920A8A">
        <w:rPr>
          <w:bCs/>
          <w:szCs w:val="24"/>
        </w:rPr>
        <w:t>Комисията за регулиране на съобщенията е орган, който упражнява правомощия и изпълнява функции и задачи, уредени в Закона за електронните съобщения (ЗЕС), Закона за пощенските услуги (ЗПУ), Закона за електронните съобщителни мрежи и физическата инфраструктура (ЗЕСМФИ) и Закона за електронния документ и електронните удостоверителни услуги (ЗЕДЕУУ), както и в техните подзаконови актове. Като национален регулаторен орган, определен в ЗЕС, Комисията извършва наблюдение и надзор на изпълнението на Регламент (ЕС) 2022/612 от 6 април 2022 г. относно роуминга в обществени съобщителни мрежи в рамките на Съюза и на Регламент (ЕС) № 2015/2120 от 25 ноември 2015 г. за определяне на мерки относ</w:t>
      </w:r>
      <w:r>
        <w:rPr>
          <w:bCs/>
          <w:szCs w:val="24"/>
        </w:rPr>
        <w:t>но достъпа до отворен интернет.</w:t>
      </w:r>
    </w:p>
    <w:p w14:paraId="385E95AA" w14:textId="77777777" w:rsidR="00920A8A" w:rsidRPr="00920A8A" w:rsidRDefault="00920A8A" w:rsidP="00920A8A">
      <w:pPr>
        <w:tabs>
          <w:tab w:val="left" w:pos="2106"/>
        </w:tabs>
        <w:rPr>
          <w:b/>
          <w:bCs/>
          <w:szCs w:val="24"/>
        </w:rPr>
      </w:pPr>
      <w:r w:rsidRPr="00920A8A">
        <w:rPr>
          <w:b/>
          <w:bCs/>
          <w:szCs w:val="24"/>
        </w:rPr>
        <w:t>Агенция за ядрено регулиране</w:t>
      </w:r>
    </w:p>
    <w:p w14:paraId="1FA07499" w14:textId="77777777" w:rsidR="00920A8A" w:rsidRPr="00920A8A" w:rsidRDefault="00920A8A" w:rsidP="00920A8A">
      <w:pPr>
        <w:tabs>
          <w:tab w:val="left" w:pos="2106"/>
        </w:tabs>
        <w:rPr>
          <w:bCs/>
          <w:szCs w:val="24"/>
        </w:rPr>
      </w:pPr>
      <w:r w:rsidRPr="00920A8A">
        <w:rPr>
          <w:bCs/>
          <w:szCs w:val="24"/>
        </w:rPr>
        <w:lastRenderedPageBreak/>
        <w:t>Агенцията за ядрено регулиране е независим специализиран орган на изпълнителната власт и председателят на агенцията осъществява държавното регулиране на безопасното използване на ядрената енергия и йонизиращите лъчения и на безопасното управление на радиоактивните отпадъци и отработеното гориво.</w:t>
      </w:r>
    </w:p>
    <w:p w14:paraId="69A5E340" w14:textId="77777777" w:rsidR="00920A8A" w:rsidRPr="00920A8A" w:rsidRDefault="00920A8A" w:rsidP="00920A8A">
      <w:pPr>
        <w:tabs>
          <w:tab w:val="left" w:pos="2106"/>
        </w:tabs>
        <w:rPr>
          <w:b/>
          <w:bCs/>
          <w:szCs w:val="24"/>
        </w:rPr>
      </w:pPr>
      <w:r w:rsidRPr="00920A8A">
        <w:rPr>
          <w:b/>
          <w:bCs/>
          <w:szCs w:val="24"/>
        </w:rPr>
        <w:t>Комисия за енергийно и водно регулиране</w:t>
      </w:r>
    </w:p>
    <w:p w14:paraId="1C0C0E01" w14:textId="77777777" w:rsidR="00920A8A" w:rsidRPr="00920A8A" w:rsidRDefault="00920A8A" w:rsidP="00920A8A">
      <w:pPr>
        <w:tabs>
          <w:tab w:val="left" w:pos="2106"/>
        </w:tabs>
        <w:rPr>
          <w:bCs/>
          <w:szCs w:val="24"/>
        </w:rPr>
      </w:pPr>
      <w:r w:rsidRPr="00920A8A">
        <w:rPr>
          <w:bCs/>
          <w:szCs w:val="24"/>
        </w:rPr>
        <w:t>Комисията за енергийно и водно регулиране е независим специализиран държавен орган за регулиране на дейностите в енергетиката и във водоснабдяването и канализацията. При осъществяване на своите правомощия комисията е независима от изпълнителната власт и дейността ѝ се осъществява въз основа на независимост, безпристрастност, професионализъм, почтеност, последователност, публичност и прозрачност.</w:t>
      </w:r>
    </w:p>
    <w:p w14:paraId="15820A97" w14:textId="77777777" w:rsidR="00920A8A" w:rsidRPr="00920A8A" w:rsidRDefault="00920A8A" w:rsidP="00920A8A">
      <w:pPr>
        <w:tabs>
          <w:tab w:val="left" w:pos="2106"/>
        </w:tabs>
        <w:rPr>
          <w:b/>
          <w:bCs/>
          <w:szCs w:val="24"/>
        </w:rPr>
      </w:pPr>
      <w:r w:rsidRPr="00920A8A">
        <w:rPr>
          <w:b/>
          <w:bCs/>
          <w:szCs w:val="24"/>
        </w:rPr>
        <w:t>Комисия за защита на конкуренцията</w:t>
      </w:r>
    </w:p>
    <w:p w14:paraId="38DD0E9C" w14:textId="77777777" w:rsidR="00920A8A" w:rsidRPr="00920A8A" w:rsidRDefault="00920A8A" w:rsidP="00920A8A">
      <w:pPr>
        <w:tabs>
          <w:tab w:val="left" w:pos="2106"/>
        </w:tabs>
        <w:rPr>
          <w:bCs/>
          <w:szCs w:val="24"/>
        </w:rPr>
      </w:pPr>
      <w:r w:rsidRPr="00920A8A">
        <w:rPr>
          <w:bCs/>
          <w:szCs w:val="24"/>
        </w:rPr>
        <w:t xml:space="preserve">Основната роля на Комисията за защита на конкуренцията (Комисията, КЗК) е да предотвратява прилагането на антиконкурентни практики. От своето създаване през 1991 година до настоящия момент националният орган по конкуренция изпълнява своята мисия да гарантира разширяването на ефективната конкуренция и да стимулира развитието на свободната стопанска инициатива на пазарите в страната. </w:t>
      </w:r>
    </w:p>
    <w:p w14:paraId="138642A7" w14:textId="77777777" w:rsidR="00920A8A" w:rsidRPr="00920A8A" w:rsidRDefault="00920A8A" w:rsidP="00920A8A">
      <w:pPr>
        <w:tabs>
          <w:tab w:val="left" w:pos="2106"/>
        </w:tabs>
        <w:rPr>
          <w:bCs/>
          <w:szCs w:val="24"/>
        </w:rPr>
      </w:pPr>
      <w:r w:rsidRPr="00920A8A">
        <w:rPr>
          <w:bCs/>
          <w:szCs w:val="24"/>
        </w:rPr>
        <w:t xml:space="preserve">Като независим държавен орган, на КЗК са възложени обществено значими функции, свързани с осъществяване на контрол върху пазарните процеси, върху отношенията между пазарните участници и върху поведението на пазара както на малките предприятия, така и на компаниите и икономическите групи, заемащи съществен дял от съответния пазар. </w:t>
      </w:r>
    </w:p>
    <w:p w14:paraId="20B7BB30" w14:textId="77777777" w:rsidR="00920A8A" w:rsidRPr="00920A8A" w:rsidRDefault="00920A8A" w:rsidP="00920A8A">
      <w:pPr>
        <w:tabs>
          <w:tab w:val="left" w:pos="2106"/>
        </w:tabs>
        <w:rPr>
          <w:bCs/>
          <w:szCs w:val="24"/>
        </w:rPr>
      </w:pPr>
      <w:r w:rsidRPr="00920A8A">
        <w:rPr>
          <w:bCs/>
          <w:szCs w:val="24"/>
        </w:rPr>
        <w:t>Пълноправното членство на България в ЕС допълнително изисква Комисията за защита на конкуренцията да участва активно в прилагането на правилата по конкуренция на Съюза в сътрудничество с Европейската комисия и националните органи по конкуренция на страните членки. Ролята, която изпълнява КЗК като национален орган по конкуренция в държава от Европейския съюз, привлича вниманието на о</w:t>
      </w:r>
      <w:r w:rsidR="00AF2ADA">
        <w:rPr>
          <w:bCs/>
          <w:szCs w:val="24"/>
        </w:rPr>
        <w:t>бществото към дейността й, като</w:t>
      </w:r>
      <w:r w:rsidRPr="00920A8A">
        <w:rPr>
          <w:bCs/>
          <w:szCs w:val="24"/>
        </w:rPr>
        <w:t xml:space="preserve"> очакванията към Комисията са да гарантира непротиворечивото прилагане на националните и общностните правила по конкуренция и по този начин ефективно да бъде прекратено и предотвратено нарушаването на тези правила.</w:t>
      </w:r>
    </w:p>
    <w:p w14:paraId="4394F4F5" w14:textId="77777777" w:rsidR="00920A8A" w:rsidRPr="00920A8A" w:rsidRDefault="00920A8A" w:rsidP="00920A8A">
      <w:pPr>
        <w:tabs>
          <w:tab w:val="left" w:pos="2106"/>
        </w:tabs>
        <w:rPr>
          <w:bCs/>
          <w:szCs w:val="24"/>
        </w:rPr>
      </w:pPr>
      <w:r w:rsidRPr="00920A8A">
        <w:rPr>
          <w:bCs/>
          <w:szCs w:val="24"/>
        </w:rPr>
        <w:t>Комисията за защита на конкуренцията е независим специализиран държавен орган, чийто правомощия са уредени в Закона за защита на конкуренцията (ЗЗК), Закона за обществените поръчки (ЗОП) и Закона за концесиите (ЗК).</w:t>
      </w:r>
    </w:p>
    <w:p w14:paraId="448630A6" w14:textId="77777777" w:rsidR="00920A8A" w:rsidRPr="00920A8A" w:rsidRDefault="00920A8A" w:rsidP="00920A8A">
      <w:pPr>
        <w:tabs>
          <w:tab w:val="left" w:pos="2106"/>
        </w:tabs>
        <w:rPr>
          <w:bCs/>
          <w:szCs w:val="24"/>
        </w:rPr>
      </w:pPr>
      <w:r w:rsidRPr="00920A8A">
        <w:rPr>
          <w:bCs/>
          <w:szCs w:val="24"/>
        </w:rPr>
        <w:t>В изпълнение на правомощията си по ЗЗК, Комисията приема решения, с които установява наличието или липсата на нарушения, представляващи злоупотреба с монополно или господстващо положение, забранени споразумения или съгласувани практики и нелоялна конкуренция. Тя осъществява и контрол върху концентрациите между предприятията, като може да разреши, включително и под условие, или да забрани осъществяването й. Част от функциите на Комисията са и изготвянето на секторни анализи и осъществяването на застъпничество за конкуренцията, като предлага на компетентните органи на изпълнителната власт и на местното самоуправление да отменят или изменят нормативни актове, издадени в нарушение на правилата на конкуренцията. Проектите на нормативни актове, които предстои да бъдат приети по съответния ред, са обект на анализ за съответствието им със ЗЗК, за което Комисията приема становища.</w:t>
      </w:r>
    </w:p>
    <w:p w14:paraId="6B051B61" w14:textId="77777777" w:rsidR="00920A8A" w:rsidRPr="00920A8A" w:rsidRDefault="00920A8A" w:rsidP="00920A8A">
      <w:pPr>
        <w:tabs>
          <w:tab w:val="left" w:pos="2106"/>
        </w:tabs>
        <w:rPr>
          <w:bCs/>
          <w:szCs w:val="24"/>
        </w:rPr>
      </w:pPr>
      <w:r w:rsidRPr="00920A8A">
        <w:rPr>
          <w:bCs/>
          <w:szCs w:val="24"/>
        </w:rPr>
        <w:lastRenderedPageBreak/>
        <w:t>КЗК е органът, пред който се обжалват относно тяхната законосъобразност и всички актове, действия или бездействия на възложители и концеденти в процедури за възлагане на обществени поръчки или предоставяне на концесии. Съгласно Закона за обществените поръчки и Закона за концесиите, КЗК може да спре процедура по възлагане на обществена поръчка, съответно по предоставяне на концесия, да разреши предварително изпълнение на решения за избор на изпълнител, при наличието на посочени в законите условия, както и да наложи имуществени санкции и глоби в предвидените от закона случаи.</w:t>
      </w:r>
    </w:p>
    <w:p w14:paraId="3DF85897" w14:textId="77777777" w:rsidR="00920A8A" w:rsidRPr="00920A8A" w:rsidRDefault="00920A8A" w:rsidP="00920A8A">
      <w:pPr>
        <w:tabs>
          <w:tab w:val="left" w:pos="2106"/>
        </w:tabs>
        <w:rPr>
          <w:bCs/>
          <w:szCs w:val="24"/>
        </w:rPr>
      </w:pPr>
      <w:r w:rsidRPr="00920A8A">
        <w:rPr>
          <w:bCs/>
          <w:szCs w:val="24"/>
        </w:rPr>
        <w:t xml:space="preserve">Чрез отговорния подход при осъществяването на своята дейност Комисията доказва, че има необходимия капацитет и </w:t>
      </w:r>
      <w:r w:rsidR="00AF2ADA">
        <w:rPr>
          <w:bCs/>
          <w:szCs w:val="24"/>
        </w:rPr>
        <w:t xml:space="preserve">опит да </w:t>
      </w:r>
      <w:r w:rsidRPr="00920A8A">
        <w:rPr>
          <w:bCs/>
          <w:szCs w:val="24"/>
        </w:rPr>
        <w:t xml:space="preserve">разрешава проблемите при функционирането на  пазарната икономика. </w:t>
      </w:r>
    </w:p>
    <w:p w14:paraId="7B6B7889" w14:textId="77777777" w:rsidR="00920A8A" w:rsidRPr="00920A8A" w:rsidRDefault="00920A8A" w:rsidP="00920A8A">
      <w:pPr>
        <w:tabs>
          <w:tab w:val="left" w:pos="2106"/>
        </w:tabs>
        <w:rPr>
          <w:bCs/>
          <w:szCs w:val="24"/>
        </w:rPr>
      </w:pPr>
      <w:r w:rsidRPr="00920A8A">
        <w:rPr>
          <w:bCs/>
          <w:szCs w:val="24"/>
        </w:rPr>
        <w:t>Комисия за защита на конкуренцията осъществява дейност в областта на защита на конкуренцията и контрол на законосъобразността при процедурите по възлагане на общест</w:t>
      </w:r>
      <w:r w:rsidR="00203012">
        <w:rPr>
          <w:bCs/>
          <w:szCs w:val="24"/>
        </w:rPr>
        <w:t xml:space="preserve">вени поръчки и предоставяне на </w:t>
      </w:r>
      <w:r w:rsidRPr="00920A8A">
        <w:rPr>
          <w:bCs/>
          <w:szCs w:val="24"/>
        </w:rPr>
        <w:t>концесии.</w:t>
      </w:r>
    </w:p>
    <w:p w14:paraId="64FC1E3F" w14:textId="77777777" w:rsidR="00920A8A" w:rsidRPr="00920A8A" w:rsidRDefault="00920A8A" w:rsidP="00920A8A">
      <w:pPr>
        <w:tabs>
          <w:tab w:val="left" w:pos="2106"/>
        </w:tabs>
        <w:rPr>
          <w:bCs/>
          <w:szCs w:val="24"/>
        </w:rPr>
      </w:pPr>
      <w:r w:rsidRPr="00920A8A">
        <w:rPr>
          <w:bCs/>
          <w:szCs w:val="24"/>
        </w:rPr>
        <w:t>В изпълнение на своята дейност, КЗК съблюдава за стриктното спазване на Закона за защита на конкуренцията, Закона за обществените поръчки, Закона за концесиите и отговаря за прилагането на Общностното право в областта на конкуренцията.</w:t>
      </w:r>
    </w:p>
    <w:p w14:paraId="3721481B" w14:textId="77777777" w:rsidR="00920A8A" w:rsidRPr="00920A8A" w:rsidRDefault="00920A8A" w:rsidP="00920A8A">
      <w:pPr>
        <w:tabs>
          <w:tab w:val="left" w:pos="2106"/>
        </w:tabs>
        <w:rPr>
          <w:bCs/>
          <w:szCs w:val="24"/>
        </w:rPr>
      </w:pPr>
      <w:r w:rsidRPr="00920A8A">
        <w:rPr>
          <w:bCs/>
          <w:szCs w:val="24"/>
        </w:rPr>
        <w:t>Основна стратегическа цел на Коми</w:t>
      </w:r>
      <w:r w:rsidR="00203012">
        <w:rPr>
          <w:bCs/>
          <w:szCs w:val="24"/>
        </w:rPr>
        <w:t>сията е да гарантира защитата и</w:t>
      </w:r>
      <w:r w:rsidRPr="00920A8A">
        <w:rPr>
          <w:bCs/>
          <w:szCs w:val="24"/>
        </w:rPr>
        <w:t xml:space="preserve"> създава условия за развитие на конкуренцията и свободната инициатива в стопанската дейност, и осъществява контрол за законосъобразност на решенията, действията </w:t>
      </w:r>
      <w:r w:rsidR="00203012">
        <w:rPr>
          <w:bCs/>
          <w:szCs w:val="24"/>
        </w:rPr>
        <w:t>и бездействията на възложители по процедури</w:t>
      </w:r>
      <w:r w:rsidRPr="00920A8A">
        <w:rPr>
          <w:bCs/>
          <w:szCs w:val="24"/>
        </w:rPr>
        <w:t xml:space="preserve"> за възлагане на обществени поръчки и на концеденти по процедури за предоставяне на концесии. </w:t>
      </w:r>
    </w:p>
    <w:p w14:paraId="12D7F8E5" w14:textId="77777777" w:rsidR="00920A8A" w:rsidRPr="00920A8A" w:rsidRDefault="00920A8A" w:rsidP="00920A8A">
      <w:pPr>
        <w:tabs>
          <w:tab w:val="left" w:pos="2106"/>
        </w:tabs>
        <w:rPr>
          <w:bCs/>
          <w:szCs w:val="24"/>
        </w:rPr>
      </w:pPr>
      <w:r w:rsidRPr="00920A8A">
        <w:rPr>
          <w:bCs/>
          <w:szCs w:val="24"/>
        </w:rPr>
        <w:t>При изпълнението на задачите във функционалната област, Комисията за защита на конкуренцията цели да бъде осигурено ефективно правоприлагане както на конкурентното законодателство в страната, така и на законодателството, свързано с разпределяне на публичните финанси. Чрез дейността си и отговорния подход на своята работа, Комисията подкрепя устойчивото развитие на пазарите и допринася за добре фу</w:t>
      </w:r>
      <w:r w:rsidR="00203012">
        <w:rPr>
          <w:bCs/>
          <w:szCs w:val="24"/>
        </w:rPr>
        <w:t>нкционираща конкурентна среда и</w:t>
      </w:r>
      <w:r w:rsidRPr="00920A8A">
        <w:rPr>
          <w:bCs/>
          <w:szCs w:val="24"/>
        </w:rPr>
        <w:t xml:space="preserve"> високо благосъстояни</w:t>
      </w:r>
      <w:r w:rsidR="00203012">
        <w:rPr>
          <w:bCs/>
          <w:szCs w:val="24"/>
        </w:rPr>
        <w:t>е на потребителите в страната.</w:t>
      </w:r>
    </w:p>
    <w:p w14:paraId="02742ECE" w14:textId="77777777" w:rsidR="00920A8A" w:rsidRPr="00920A8A" w:rsidRDefault="00920A8A" w:rsidP="00920A8A">
      <w:pPr>
        <w:tabs>
          <w:tab w:val="left" w:pos="2106"/>
        </w:tabs>
        <w:rPr>
          <w:b/>
          <w:bCs/>
          <w:szCs w:val="24"/>
        </w:rPr>
      </w:pPr>
      <w:r w:rsidRPr="00920A8A">
        <w:rPr>
          <w:b/>
          <w:bCs/>
          <w:szCs w:val="24"/>
        </w:rPr>
        <w:t>Комисия за финансов надзор</w:t>
      </w:r>
    </w:p>
    <w:p w14:paraId="3E343E7F" w14:textId="77777777" w:rsidR="00920A8A" w:rsidRPr="00920A8A" w:rsidRDefault="00920A8A" w:rsidP="00920A8A">
      <w:pPr>
        <w:tabs>
          <w:tab w:val="left" w:pos="2106"/>
        </w:tabs>
        <w:rPr>
          <w:bCs/>
          <w:iCs/>
          <w:szCs w:val="24"/>
        </w:rPr>
      </w:pPr>
      <w:r w:rsidRPr="00920A8A">
        <w:rPr>
          <w:bCs/>
          <w:iCs/>
          <w:szCs w:val="24"/>
        </w:rPr>
        <w:t xml:space="preserve">Комисията за финансов надзор е специализиран държавен орган за регулиране и надзор на небанковия финансов сектор. Комисията извършва регулация и надзор на финансовите пазари, които са част от единния европейски пазар на финансови услуги, и осъществява надзор за спазването на европейското законодателство. </w:t>
      </w:r>
    </w:p>
    <w:p w14:paraId="754E67AD" w14:textId="77777777" w:rsidR="00920A8A" w:rsidRPr="00920A8A" w:rsidRDefault="00920A8A" w:rsidP="00920A8A">
      <w:pPr>
        <w:tabs>
          <w:tab w:val="left" w:pos="2106"/>
        </w:tabs>
        <w:rPr>
          <w:bCs/>
          <w:iCs/>
          <w:szCs w:val="24"/>
        </w:rPr>
      </w:pPr>
      <w:r w:rsidRPr="00920A8A">
        <w:rPr>
          <w:bCs/>
          <w:iCs/>
          <w:szCs w:val="24"/>
        </w:rPr>
        <w:t>Дейността на Комисията за финансов надзор попада в обхвата на функционална област „Регулация и надзор на небанковия финансов сектор“.</w:t>
      </w:r>
    </w:p>
    <w:p w14:paraId="5BEC4B03" w14:textId="77777777" w:rsidR="00920A8A" w:rsidRPr="00920A8A" w:rsidRDefault="00920A8A" w:rsidP="00920A8A">
      <w:pPr>
        <w:tabs>
          <w:tab w:val="left" w:pos="2106"/>
        </w:tabs>
        <w:rPr>
          <w:b/>
          <w:bCs/>
          <w:szCs w:val="24"/>
        </w:rPr>
      </w:pPr>
      <w:r w:rsidRPr="00920A8A">
        <w:rPr>
          <w:b/>
          <w:bCs/>
          <w:szCs w:val="24"/>
        </w:rPr>
        <w:t>Комисия за публичен надзор над регистрираните одитори</w:t>
      </w:r>
    </w:p>
    <w:p w14:paraId="130692FA" w14:textId="77777777" w:rsidR="00920A8A" w:rsidRPr="00920A8A" w:rsidRDefault="00920A8A" w:rsidP="00920A8A">
      <w:pPr>
        <w:tabs>
          <w:tab w:val="left" w:pos="2106"/>
        </w:tabs>
        <w:rPr>
          <w:bCs/>
          <w:iCs/>
          <w:szCs w:val="24"/>
        </w:rPr>
      </w:pPr>
      <w:r w:rsidRPr="00920A8A">
        <w:rPr>
          <w:bCs/>
          <w:iCs/>
          <w:szCs w:val="24"/>
        </w:rPr>
        <w:t xml:space="preserve">Комисията за публичен надзор над регистрираните одитори е специализиран държавен орган за регулиране и надзор над дейността на регистрираните одитори, който осъществява периодични проверки на одиторските фирми, които извършват одити на предприятия от обществен интерес, изразяващи се в извършване на проверки за контрол на качеството на услугите с цел постигане на високо качество на предоставяните одиторски услуги. Приоритет на комисията е утвърждаването на правилата и </w:t>
      </w:r>
      <w:r w:rsidRPr="00920A8A">
        <w:rPr>
          <w:bCs/>
          <w:iCs/>
          <w:szCs w:val="24"/>
        </w:rPr>
        <w:lastRenderedPageBreak/>
        <w:t>процедурите за извършване на проверки на качеството на дейността на регистрираните одитори, както и годишните планове за проверки.</w:t>
      </w:r>
    </w:p>
    <w:p w14:paraId="7E412EF9" w14:textId="77777777" w:rsidR="00920A8A" w:rsidRPr="00920A8A" w:rsidRDefault="00920A8A" w:rsidP="00920A8A">
      <w:pPr>
        <w:tabs>
          <w:tab w:val="left" w:pos="2106"/>
        </w:tabs>
        <w:rPr>
          <w:bCs/>
          <w:iCs/>
          <w:szCs w:val="24"/>
        </w:rPr>
      </w:pPr>
      <w:r w:rsidRPr="00920A8A">
        <w:rPr>
          <w:bCs/>
          <w:iCs/>
          <w:szCs w:val="24"/>
        </w:rPr>
        <w:t>Дейността на комисията попада в обхвата на функционална област „Осъществяване на публичен надзор над регистрираните одитори“.</w:t>
      </w:r>
    </w:p>
    <w:p w14:paraId="25B40277" w14:textId="77777777" w:rsidR="00773157" w:rsidRDefault="00773157" w:rsidP="000B315F">
      <w:pPr>
        <w:pStyle w:val="Heading2"/>
        <w:numPr>
          <w:ilvl w:val="1"/>
          <w:numId w:val="3"/>
        </w:numPr>
        <w:ind w:hanging="270"/>
      </w:pPr>
      <w:bookmarkStart w:id="325" w:name="_Toc216029354"/>
      <w:r w:rsidRPr="006552B5">
        <w:t>Инвест</w:t>
      </w:r>
      <w:r w:rsidR="007757B7">
        <w:t>иционна политика за периода 2026</w:t>
      </w:r>
      <w:r w:rsidRPr="006552B5">
        <w:t>-2028 г.</w:t>
      </w:r>
      <w:bookmarkEnd w:id="325"/>
    </w:p>
    <w:p w14:paraId="05CF5A63" w14:textId="77777777" w:rsidR="008D5982" w:rsidRPr="008D5982" w:rsidRDefault="008D5982" w:rsidP="008D5982">
      <w:r w:rsidRPr="008D5982">
        <w:t>Подобряване</w:t>
      </w:r>
      <w:r w:rsidR="009D74C3">
        <w:t>то на</w:t>
      </w:r>
      <w:r w:rsidRPr="008D5982">
        <w:t xml:space="preserve"> управлението на публичните инвестиции е от съществено значение, предвид факта, че същите оказват влияние върху икономическото развитие на страната, инфраструктурата, социалната сфера и други области. Инвестициите в подобряване качеството на инфраструктурата носят ползи не само пряко за ползвателите ѝ, но допринасят и за стимулиране на икономическия растеж в средносрочен и дългосрочен план, създавайки по-привлекателна инвестиционна среда както за местни</w:t>
      </w:r>
      <w:r>
        <w:t>те</w:t>
      </w:r>
      <w:r w:rsidRPr="008D5982">
        <w:t>, така и за чуждестранни</w:t>
      </w:r>
      <w:r>
        <w:t>те</w:t>
      </w:r>
      <w:r w:rsidRPr="008D5982">
        <w:t xml:space="preserve"> инвеститори. Подобряването на ефективността на разходване на публичните средства за капиталови инвестиции и предоставянето на финансиране на база оценка на икономически</w:t>
      </w:r>
      <w:r w:rsidR="009D74C3">
        <w:t>я</w:t>
      </w:r>
      <w:r w:rsidRPr="008D5982">
        <w:t xml:space="preserve"> и социален ефект в условията на фискална стабилност е основна цел за Министерството на финансите.</w:t>
      </w:r>
    </w:p>
    <w:p w14:paraId="7ECB428E" w14:textId="77777777" w:rsidR="008D5982" w:rsidRPr="008D5982" w:rsidRDefault="008D5982" w:rsidP="008D5982">
      <w:r w:rsidRPr="008D5982">
        <w:t>Дефинирането, прецизирането и изграждането на устойчивост на процесите, свързани с управлението на публични инвестиции (дългосрочна стратегическа визия и планиране, координация между различните сектори и равнища на управление, оценка, приоритизиране и подбор на проекти, икономическа ефективност на публичните и частните инвестиции в инфраструктура) ще има широкообхватни положителни въздействия върху икономическите показатели и цялостното развитие на страната.</w:t>
      </w:r>
    </w:p>
    <w:p w14:paraId="56C54370" w14:textId="77777777" w:rsidR="008D5982" w:rsidRPr="008D5982" w:rsidRDefault="00C260FB" w:rsidP="008D5982">
      <w:r>
        <w:t>С</w:t>
      </w:r>
      <w:r w:rsidR="008D5982" w:rsidRPr="008D5982">
        <w:t>читано от 1 август 2024 г. беше въведена нова функция на министъра на финансите по координиране на процесите по подготовка, одобряване и финансово изпълнение на програми и проекти за публични капиталови инвестиции с национално финансиране от държавния бюджет за целите на бюджетната политика на страната в краткосрочен и средносрочен план.</w:t>
      </w:r>
    </w:p>
    <w:p w14:paraId="68B8F148" w14:textId="77777777" w:rsidR="008D5982" w:rsidRPr="008D5982" w:rsidRDefault="008D5982" w:rsidP="008D5982">
      <w:r w:rsidRPr="008D5982">
        <w:t>За успешното изпълнение на възложените функции е идентифицирана необходимостта от подход и механизъм, чрез които правителството да гарантира, че публичните инвестиции с национално финансиране отговарят на стратегическите приоритети на национално и европейско ниво, максимизират финансовата и социално-икономическата си възвръщаемост, създават трудова заетост и допринасят за борбата с изменението на климата. В тази връзка, с цел подобряване процеса на планиране на публичните инвестиции беше въведен структуриран и проектно-ориентиран подход, съгласно който инвестиционните проекти бяха обособени в следните три групи:</w:t>
      </w:r>
    </w:p>
    <w:p w14:paraId="1A0D4FF1" w14:textId="77777777" w:rsidR="008D5982" w:rsidRPr="008D5982" w:rsidRDefault="008D5982" w:rsidP="005B790D">
      <w:pPr>
        <w:numPr>
          <w:ilvl w:val="0"/>
          <w:numId w:val="20"/>
        </w:numPr>
        <w:ind w:left="720"/>
      </w:pPr>
      <w:r w:rsidRPr="008D5982">
        <w:t>„Проекти, свързани с административната дейност“ - такива, които са класифицирани от ПРБ като придобиване, надграждане или основен ремонт на дълготрайни активи като сгради, машини, оборудване, съоръжения, превозни средства, доставка на мебели/офис обзавеждане, предназначени за обезпечаване на административната дейност на бюджетните организации;</w:t>
      </w:r>
    </w:p>
    <w:p w14:paraId="0BC0A2E7" w14:textId="77777777" w:rsidR="008D5982" w:rsidRPr="008D5982" w:rsidRDefault="008D5982" w:rsidP="005B790D">
      <w:pPr>
        <w:numPr>
          <w:ilvl w:val="0"/>
          <w:numId w:val="20"/>
        </w:numPr>
        <w:ind w:left="720"/>
      </w:pPr>
      <w:r w:rsidRPr="008D5982">
        <w:t>„Проекти в областта на електронното управление и информационните и комуникационните технологии;</w:t>
      </w:r>
    </w:p>
    <w:p w14:paraId="78361CEE" w14:textId="77777777" w:rsidR="008D5982" w:rsidRPr="008D5982" w:rsidRDefault="008D5982" w:rsidP="005B790D">
      <w:pPr>
        <w:numPr>
          <w:ilvl w:val="0"/>
          <w:numId w:val="20"/>
        </w:numPr>
        <w:ind w:left="720"/>
      </w:pPr>
      <w:r w:rsidRPr="008D5982">
        <w:lastRenderedPageBreak/>
        <w:t>„Стратегически инвестиционни проекти“ – такива, които са класифицирани от ПРБ с висока обществена стойност, съответстващи на заложените в стратегическите документи на национално и европейско ниво мерки/цели/приоритети.</w:t>
      </w:r>
    </w:p>
    <w:p w14:paraId="4F00CC53" w14:textId="77777777" w:rsidR="008D5982" w:rsidRPr="008D5982" w:rsidRDefault="008D5982" w:rsidP="008D5982">
      <w:r w:rsidRPr="008D5982">
        <w:t xml:space="preserve">Стратегическите инвестиционни проекти, изпълнението на които беше предложено да бъде финансирано със средства от държавния бюджет през периода 2025-2028 г. бяха приоритизирани от всеки ПРБ чрез оценка за съответствие с единни критерии, в резултат на което като приложение към ЗДБРБ за 2025 г. беше включена </w:t>
      </w:r>
      <w:r w:rsidRPr="008D5982">
        <w:rPr>
          <w:b/>
          <w:i/>
        </w:rPr>
        <w:t>„Програма за приоритетни стратегически инвестиционни проекти с национално финансиране за периода 2025-2028 г.“.</w:t>
      </w:r>
    </w:p>
    <w:p w14:paraId="6CAB5B59" w14:textId="77777777" w:rsidR="008D5982" w:rsidRPr="008D5982" w:rsidRDefault="008D5982" w:rsidP="008D5982">
      <w:r w:rsidRPr="008D5982">
        <w:t xml:space="preserve">Прилагането на структурирания и проектно-ориентиран подход продължи и в рамките на бюджетната процедура за 2026 г. съгласно Указания № БЮ-3/17.09.2025 г. на министъра на финансите за подготовката и представянето на проектобюджетите на първостепенните разпоредители с бюджет за 2026 г. и на актуализираните им бюджетни прогнози за периода 2027-2028 г. </w:t>
      </w:r>
    </w:p>
    <w:p w14:paraId="04DC6550" w14:textId="77777777" w:rsidR="008D5982" w:rsidRPr="008D5982" w:rsidRDefault="008D5982" w:rsidP="008D5982">
      <w:r w:rsidRPr="008D5982">
        <w:t>Стратегическите инвестиционни проекти, изпълнението на които е предложено да бъде финансирано със средства от държавния бюджет през периода 2026-2028 г.</w:t>
      </w:r>
      <w:r w:rsidR="00642B9D">
        <w:t>,</w:t>
      </w:r>
      <w:r w:rsidRPr="008D5982">
        <w:t xml:space="preserve"> са приоритизирани от всеки ПРБ чрез оценка за съответствие с единни критерии, определени с БЮ-3/17.09.2025 г.</w:t>
      </w:r>
    </w:p>
    <w:p w14:paraId="16276AD5" w14:textId="77777777" w:rsidR="008D5982" w:rsidRPr="008D5982" w:rsidRDefault="008D5982" w:rsidP="008D5982">
      <w:r w:rsidRPr="008D5982">
        <w:t>При оценката и приоритизацията е поставена по-висока тежест на следните критерии:</w:t>
      </w:r>
    </w:p>
    <w:p w14:paraId="013A2CC6" w14:textId="77777777" w:rsidR="008D5982" w:rsidRPr="008D5982" w:rsidRDefault="00203012" w:rsidP="005B790D">
      <w:pPr>
        <w:numPr>
          <w:ilvl w:val="0"/>
          <w:numId w:val="20"/>
        </w:numPr>
        <w:ind w:left="720"/>
      </w:pPr>
      <w:r>
        <w:t xml:space="preserve">„преходни“ </w:t>
      </w:r>
      <w:r w:rsidR="008D5982" w:rsidRPr="008D5982">
        <w:t>инвестиционни проекти, т.е. с определена степен на усвояване;</w:t>
      </w:r>
    </w:p>
    <w:p w14:paraId="2FD44EAB" w14:textId="77777777" w:rsidR="008D5982" w:rsidRPr="008D5982" w:rsidRDefault="008D5982" w:rsidP="005B790D">
      <w:pPr>
        <w:numPr>
          <w:ilvl w:val="0"/>
          <w:numId w:val="20"/>
        </w:numPr>
        <w:ind w:left="720"/>
      </w:pPr>
      <w:r w:rsidRPr="008D5982">
        <w:t>инвестиционни проекти, изпълнението на които е свързано с националната сигурност и/или критичната инфраструктура;</w:t>
      </w:r>
    </w:p>
    <w:p w14:paraId="7EDACC70" w14:textId="77777777" w:rsidR="008D5982" w:rsidRPr="008D5982" w:rsidRDefault="008D5982" w:rsidP="005B790D">
      <w:pPr>
        <w:numPr>
          <w:ilvl w:val="0"/>
          <w:numId w:val="20"/>
        </w:numPr>
        <w:ind w:left="720"/>
      </w:pPr>
      <w:r w:rsidRPr="008D5982">
        <w:t>инвестиционни проекти, изпълнението на които е свързано със задължение, произтичащо от нормативен акт и/или международни програми и договори;</w:t>
      </w:r>
    </w:p>
    <w:p w14:paraId="2AE1D39F" w14:textId="77777777" w:rsidR="008D5982" w:rsidRPr="008D5982" w:rsidRDefault="008D5982" w:rsidP="005B790D">
      <w:pPr>
        <w:numPr>
          <w:ilvl w:val="0"/>
          <w:numId w:val="20"/>
        </w:numPr>
        <w:ind w:left="720"/>
      </w:pPr>
      <w:r w:rsidRPr="008D5982">
        <w:t>инвестиционни проекти, неизпълнението на които е предмет на наказателна процедура от ЕК;</w:t>
      </w:r>
    </w:p>
    <w:p w14:paraId="34803E6C" w14:textId="77777777" w:rsidR="008D5982" w:rsidRPr="008D5982" w:rsidRDefault="008D5982" w:rsidP="005B790D">
      <w:pPr>
        <w:numPr>
          <w:ilvl w:val="0"/>
          <w:numId w:val="20"/>
        </w:numPr>
        <w:ind w:left="720"/>
      </w:pPr>
      <w:r w:rsidRPr="008D5982">
        <w:t>инвестиционни проекти, за които съществуват възможности за последващо финансиране със средства от Европейския съюз и/или средства по други международни програми и договори.</w:t>
      </w:r>
      <w:r w:rsidRPr="008D5982">
        <w:tab/>
      </w:r>
    </w:p>
    <w:p w14:paraId="36E78FE6" w14:textId="77777777" w:rsidR="008D5982" w:rsidRDefault="008D5982" w:rsidP="008D5982">
      <w:r w:rsidRPr="008D5982">
        <w:t xml:space="preserve">В </w:t>
      </w:r>
      <w:r w:rsidR="00A6440D">
        <w:t>съответствие с наличния</w:t>
      </w:r>
      <w:r w:rsidRPr="008D5982">
        <w:t xml:space="preserve"> бюджетен ресурс и извършената от ПРБ приоритизация са </w:t>
      </w:r>
      <w:r w:rsidRPr="00DC302C">
        <w:t xml:space="preserve">обособени приоритетни стратегически инвестиционни проекти, които са включени в </w:t>
      </w:r>
      <w:r w:rsidRPr="00DC302C">
        <w:rPr>
          <w:i/>
        </w:rPr>
        <w:t>„Програма за приоритетни стратегически инвестиционни проекти с национално финансиране за периода 2026-2028 г.“</w:t>
      </w:r>
      <w:r w:rsidRPr="00DC302C">
        <w:t xml:space="preserve"> - приложение към </w:t>
      </w:r>
      <w:r w:rsidR="00642B9D" w:rsidRPr="00DC302C">
        <w:t xml:space="preserve">проекта на </w:t>
      </w:r>
      <w:r w:rsidRPr="00DC302C">
        <w:t>ЗДБРБ за 2026 г., като срокът на програмата е съобразен с изготвения Национален средносрочен</w:t>
      </w:r>
      <w:r w:rsidRPr="008D5982">
        <w:t xml:space="preserve"> фискално-структурен план на Реп</w:t>
      </w:r>
      <w:r w:rsidR="00642B9D">
        <w:t>ублика България за периода 2025-</w:t>
      </w:r>
      <w:r w:rsidRPr="008D5982">
        <w:t>2028 г.</w:t>
      </w:r>
      <w:r w:rsidR="006A3560" w:rsidRPr="006A3560">
        <w:t xml:space="preserve"> Средствата за капиталови разходи през 2026 г. за финансово обезпечаване на приоритетните стратегически инвестиционни проекти с национално финансиране са в рамките на утвърдените капиталови разходи по бюджетите на първостепенните разпоредители с бюджет за 2026 г.</w:t>
      </w:r>
      <w:r w:rsidRPr="008D5982">
        <w:t xml:space="preserve"> В програмата са включени отговорните институции за изпълнението на съответните проекти, както и показатели за оценка на резултатите, които ще бъдат обект на наблюдение и анализ относно изпълнение/неизпълнение на заложените целеви стойности.</w:t>
      </w:r>
    </w:p>
    <w:p w14:paraId="6C883C26" w14:textId="77777777" w:rsidR="00D05C3C" w:rsidRPr="008D5982" w:rsidRDefault="00D05C3C" w:rsidP="008D5982">
      <w:r w:rsidRPr="00D05C3C">
        <w:lastRenderedPageBreak/>
        <w:t>Продължава изпълнението на Инвестиционната програма за общински проекти, като финансирането на проектите през 2026 г. е разчетено в размер до 920,3 млн. евро, чрез разплащане от Българската банка за развитие при условия и по ред, определени с акт на Министерския съвет.</w:t>
      </w:r>
    </w:p>
    <w:p w14:paraId="41787697" w14:textId="77777777" w:rsidR="008D5982" w:rsidRPr="008D5982" w:rsidRDefault="008D5982" w:rsidP="008D5982">
      <w:r w:rsidRPr="008D5982">
        <w:t>С оглед създаване на устойчива правна база за управление на публичните инвестиции в България, свързани с регулациите, политиките и процесите, определящи как публичните средства се разпределят, управляват и използват за инвестиционни цели, допринасяйки за дългосрочната фискална устойчивост на страната, на последващ етап, като част от изпълняваната в момента реформа „Създаване на устойчива рамка за планиране и управление на публичните инвестиции с национално финансиране в България“, част от  Националния средносрочен фискално-структурен план на Република България за период</w:t>
      </w:r>
      <w:r w:rsidR="00642B9D">
        <w:t>а 2025-</w:t>
      </w:r>
      <w:r w:rsidRPr="008D5982">
        <w:t>2028 г., се предвижда разработването на подзаконов нормативен акт за метода за оценка и процедурата за одобрение на публични инвестиционни проекти с национално финансиране и единна методология за оценка и приоритизиране на публични инвестиционни проекти с национално финансиране.</w:t>
      </w:r>
    </w:p>
    <w:p w14:paraId="456A5134" w14:textId="77777777" w:rsidR="008D5982" w:rsidRDefault="008D5982" w:rsidP="00957ED7">
      <w:pPr>
        <w:rPr>
          <w:highlight w:val="yellow"/>
        </w:rPr>
      </w:pPr>
    </w:p>
    <w:p w14:paraId="1ABA0345" w14:textId="77777777" w:rsidR="00AA15E0" w:rsidRDefault="00AA15E0" w:rsidP="000E5AE2"/>
    <w:p w14:paraId="6D1C3D90" w14:textId="77777777" w:rsidR="00AA15E0" w:rsidRPr="000E5AE2" w:rsidRDefault="00AA15E0" w:rsidP="000E5AE2">
      <w:pPr>
        <w:sectPr w:rsidR="00AA15E0" w:rsidRPr="000E5AE2" w:rsidSect="00814213">
          <w:type w:val="oddPage"/>
          <w:pgSz w:w="11906" w:h="16838" w:code="9"/>
          <w:pgMar w:top="1418" w:right="1418" w:bottom="1276" w:left="1418" w:header="708" w:footer="708" w:gutter="0"/>
          <w:cols w:space="708"/>
          <w:titlePg/>
          <w:docGrid w:linePitch="360"/>
        </w:sectPr>
      </w:pPr>
    </w:p>
    <w:p w14:paraId="6F72B2CC" w14:textId="77777777" w:rsidR="00500285" w:rsidRPr="00AA15E0" w:rsidRDefault="002238C8" w:rsidP="00076449">
      <w:pPr>
        <w:pStyle w:val="Heading1"/>
        <w:rPr>
          <w:color w:val="auto"/>
        </w:rPr>
      </w:pPr>
      <w:r>
        <w:lastRenderedPageBreak/>
        <w:br/>
      </w:r>
      <w:bookmarkStart w:id="326" w:name="_Toc216029355"/>
      <w:r w:rsidRPr="00076449">
        <w:rPr>
          <w:color w:val="auto"/>
        </w:rPr>
        <w:t>Фискална децентрализация и бюджетни взаимоотно</w:t>
      </w:r>
      <w:r w:rsidR="00CE2497" w:rsidRPr="00076449">
        <w:rPr>
          <w:color w:val="auto"/>
        </w:rPr>
        <w:t>шения с общините за периода 2026</w:t>
      </w:r>
      <w:r w:rsidRPr="00076449">
        <w:rPr>
          <w:color w:val="auto"/>
        </w:rPr>
        <w:t>-2028 г.</w:t>
      </w:r>
      <w:r w:rsidR="001E0DF0" w:rsidRPr="00AA15E0">
        <w:rPr>
          <w:noProof/>
          <w:color w:val="auto"/>
        </w:rPr>
        <mc:AlternateContent>
          <mc:Choice Requires="wps">
            <w:drawing>
              <wp:anchor distT="0" distB="0" distL="114300" distR="114300" simplePos="0" relativeHeight="251661824" behindDoc="0" locked="0" layoutInCell="1" allowOverlap="1" wp14:anchorId="1802A7EF" wp14:editId="38F1476D">
                <wp:simplePos x="0" y="0"/>
                <wp:positionH relativeFrom="column">
                  <wp:posOffset>-898525</wp:posOffset>
                </wp:positionH>
                <wp:positionV relativeFrom="paragraph">
                  <wp:posOffset>1605128</wp:posOffset>
                </wp:positionV>
                <wp:extent cx="7560310" cy="0"/>
                <wp:effectExtent l="0" t="0" r="21590" b="19050"/>
                <wp:wrapNone/>
                <wp:docPr id="691" name="Straight Connector 691"/>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6EDA98" id="Straight Connector 69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70.75pt,126.4pt" to="524.5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" strokecolor="#b32c16 [3206]"/>
            </w:pict>
          </mc:Fallback>
        </mc:AlternateContent>
      </w:r>
      <w:r w:rsidR="00500285" w:rsidRPr="00AA15E0">
        <w:rPr>
          <w:noProof/>
          <w:color w:val="auto"/>
        </w:rPr>
        <mc:AlternateContent>
          <mc:Choice Requires="wps">
            <w:drawing>
              <wp:anchor distT="0" distB="0" distL="114300" distR="114300" simplePos="0" relativeHeight="251658752" behindDoc="1" locked="0" layoutInCell="1" allowOverlap="1" wp14:anchorId="1B4E0501" wp14:editId="1B22BA21">
                <wp:simplePos x="0" y="0"/>
                <wp:positionH relativeFrom="column">
                  <wp:posOffset>-897890</wp:posOffset>
                </wp:positionH>
                <wp:positionV relativeFrom="paragraph">
                  <wp:posOffset>-911225</wp:posOffset>
                </wp:positionV>
                <wp:extent cx="7560860" cy="2520000"/>
                <wp:effectExtent l="0" t="0" r="2540" b="0"/>
                <wp:wrapNone/>
                <wp:docPr id="690" name="Rectangle 690"/>
                <wp:cNvGraphicFramePr/>
                <a:graphic xmlns:a="http://schemas.openxmlformats.org/drawingml/2006/main">
                  <a:graphicData uri="http://schemas.microsoft.com/office/word/2010/wordprocessingShape">
                    <wps:wsp>
                      <wps:cNvSpPr/>
                      <wps:spPr>
                        <a:xfrm>
                          <a:off x="0" y="0"/>
                          <a:ext cx="7560860" cy="2520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6BFF2" id="Rectangle 690" o:spid="_x0000_s1026" style="position:absolute;margin-left:-70.7pt;margin-top:-71.75pt;width:595.35pt;height:198.4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" fillcolor="#f8cec7 [662]" stroked="f" strokeweight="1pt"/>
            </w:pict>
          </mc:Fallback>
        </mc:AlternateContent>
      </w:r>
      <w:bookmarkEnd w:id="309"/>
      <w:bookmarkEnd w:id="310"/>
      <w:bookmarkEnd w:id="311"/>
      <w:bookmarkEnd w:id="312"/>
      <w:bookmarkEnd w:id="313"/>
      <w:bookmarkEnd w:id="314"/>
      <w:bookmarkEnd w:id="315"/>
      <w:bookmarkEnd w:id="316"/>
      <w:bookmarkEnd w:id="317"/>
      <w:bookmarkEnd w:id="326"/>
    </w:p>
    <w:p w14:paraId="1E42351F" w14:textId="77777777" w:rsidR="003209C5" w:rsidRPr="003209C5" w:rsidRDefault="003209C5" w:rsidP="003209C5">
      <w:r w:rsidRPr="003209C5">
        <w:t xml:space="preserve">Предвидените общински приходи за 2026 г. са в размер на </w:t>
      </w:r>
      <w:r w:rsidR="009655B0" w:rsidRPr="009655B0">
        <w:t>2 768,8</w:t>
      </w:r>
      <w:r w:rsidRPr="003209C5">
        <w:t xml:space="preserve"> млн. евро, като са разработени при съобразяване с тенденциите в постъпленията през предходните няколко години, както и с предвижданите мерки за увеличаване на събираемостта на приходите от местни данъци и такси. Предвижданият ръ</w:t>
      </w:r>
      <w:r w:rsidR="00B66613">
        <w:t xml:space="preserve">ст на общинските приходи е </w:t>
      </w:r>
      <w:r w:rsidR="00B66613" w:rsidRPr="00580843">
        <w:t xml:space="preserve">от </w:t>
      </w:r>
      <w:r w:rsidR="009655B0" w:rsidRPr="00580843">
        <w:t>27,7</w:t>
      </w:r>
      <w:r w:rsidRPr="003209C5">
        <w:t xml:space="preserve">% през 2026 г. спрямо програмата за 2025 г. В прогнозата за 2027 г. се предвиждат </w:t>
      </w:r>
      <w:r w:rsidR="009655B0" w:rsidRPr="009655B0">
        <w:t>2 679,6</w:t>
      </w:r>
      <w:r w:rsidRPr="003209C5">
        <w:t xml:space="preserve"> млн. евро приходи на общините и за 2028 г. –</w:t>
      </w:r>
      <w:r w:rsidR="00B17906">
        <w:t xml:space="preserve"> </w:t>
      </w:r>
      <w:r w:rsidR="009655B0" w:rsidRPr="009655B0">
        <w:t>2 681,4</w:t>
      </w:r>
      <w:r w:rsidR="00203012">
        <w:t xml:space="preserve"> </w:t>
      </w:r>
      <w:r w:rsidRPr="003209C5">
        <w:t xml:space="preserve">млн. евро. </w:t>
      </w:r>
    </w:p>
    <w:p w14:paraId="6CFCA739" w14:textId="77777777" w:rsidR="003209C5" w:rsidRPr="003209C5" w:rsidRDefault="003209C5" w:rsidP="003209C5">
      <w:r w:rsidRPr="003209C5">
        <w:t xml:space="preserve">Продължава действието на стартиралите през 2025 г. мерки за оптимизиране събираемостта на приходите от местни данъци и такси, основно чрез Системата за обмен на информация: </w:t>
      </w:r>
    </w:p>
    <w:p w14:paraId="33A8220E" w14:textId="77777777" w:rsidR="003209C5" w:rsidRPr="003209C5" w:rsidRDefault="003209C5" w:rsidP="003209C5">
      <w:r w:rsidRPr="003209C5">
        <w:t xml:space="preserve">1. Обезпечена е техническата възможност за засилване на аналитично-контролните дейности от страна на общините във връзка с установяването по реда на ДОПК и събирането на непогасени задължения за местни данъци и такси от минали години и за предоставяне на информация на Министерството на финансите във връзка с издадените актове за неплатени непогасени по давност задължения на лицата. </w:t>
      </w:r>
    </w:p>
    <w:p w14:paraId="542F3FBD" w14:textId="77777777" w:rsidR="003209C5" w:rsidRPr="003209C5" w:rsidRDefault="003209C5" w:rsidP="003209C5">
      <w:r w:rsidRPr="003209C5">
        <w:t>2. Ежедневно се наблюдава и анализира информацията от страна на общините, която те получават по реда на чл. 51 от ЗМДТ</w:t>
      </w:r>
      <w:r w:rsidR="006D311E">
        <w:rPr>
          <w:rStyle w:val="FootnoteReference"/>
        </w:rPr>
        <w:footnoteReference w:id="38"/>
      </w:r>
      <w:r w:rsidRPr="003209C5">
        <w:t xml:space="preserve"> относно прехвърлените и учредените вещни права върху недвижимите имоти, превозните средства, корабите и нощувките с цел пълно обхващане на облагаемите обекти и своевременното им облагане от служителите в общинската администрация с данък върху недвижимите имоти, данък върху превозните средства и туристически данък.</w:t>
      </w:r>
    </w:p>
    <w:p w14:paraId="33AD0888" w14:textId="77777777" w:rsidR="003209C5" w:rsidRPr="003209C5" w:rsidRDefault="003209C5" w:rsidP="003209C5">
      <w:r w:rsidRPr="003209C5">
        <w:t xml:space="preserve">3. Обезпечава се техническата възможност за интеграция на софтуерния продукт за администриране на местни данъци и такси в общините с </w:t>
      </w:r>
      <w:proofErr w:type="spellStart"/>
      <w:r w:rsidRPr="003209C5">
        <w:t>регистрови</w:t>
      </w:r>
      <w:proofErr w:type="spellEnd"/>
      <w:r w:rsidRPr="003209C5">
        <w:t xml:space="preserve"> справки от Регистър на населението – Национална база данни „Население“, касаещи семейно положение, адрес и родственост, с цел ускоряване на процеса по определяне и установяване на местните данъци. </w:t>
      </w:r>
    </w:p>
    <w:p w14:paraId="102D1F34" w14:textId="77777777" w:rsidR="003209C5" w:rsidRDefault="003209C5" w:rsidP="003209C5">
      <w:r w:rsidRPr="003209C5">
        <w:t>4. Обезпечава се техническата възможност за интеграция на софтуерния продукт за администриране на местни данъци и такси в общините със системата за сигурно електронно връчване с цел осигуряване на възможност за електронно връчване на съобщения и актове, издавани от общинските органи по приходите.</w:t>
      </w:r>
    </w:p>
    <w:p w14:paraId="2E12C08B" w14:textId="77777777" w:rsidR="003907AD" w:rsidRDefault="003907AD" w:rsidP="003209C5">
      <w:r>
        <w:t xml:space="preserve">5. Изградена е система за автоматично генериране на актове за установяване на задължения и за текущ анализ на несъбраните местни данъци и такси. Ще се въведе изискване към местните администрации на тримесечна база да информират </w:t>
      </w:r>
      <w:r>
        <w:lastRenderedPageBreak/>
        <w:t xml:space="preserve">Министерството на финансите за размера на несъбраните вземания и за предприетите действия за събирането им. </w:t>
      </w:r>
    </w:p>
    <w:p w14:paraId="2071663F" w14:textId="77777777" w:rsidR="002F49C9" w:rsidRPr="003209C5" w:rsidRDefault="002F49C9" w:rsidP="003209C5">
      <w:r>
        <w:t xml:space="preserve">6. Ще се въведе изискване към местните администрации да предоставят план за действие във връзка с предприети мерки за събиране на </w:t>
      </w:r>
      <w:r w:rsidR="003B583C">
        <w:t>просрочени вземания от местни данъци и такси</w:t>
      </w:r>
      <w:r>
        <w:t xml:space="preserve"> с цел елиминиране на риска от погасяване</w:t>
      </w:r>
      <w:r w:rsidR="003B583C">
        <w:t>то им</w:t>
      </w:r>
      <w:r>
        <w:t xml:space="preserve"> по давност. </w:t>
      </w:r>
    </w:p>
    <w:p w14:paraId="396C38E2" w14:textId="77777777" w:rsidR="009655B0" w:rsidRPr="00C6226D" w:rsidRDefault="009655B0" w:rsidP="009655B0">
      <w:pPr>
        <w:spacing w:after="120"/>
      </w:pPr>
      <w:r w:rsidRPr="00E71766">
        <w:t>Предвидени са разходи за общините за 2026 г. в размер на 6 575,2 млн. евро, които като относителен дял достигат 5,5% спрямо БВП, а спрямо общата структура на разходите по КФП – 12,</w:t>
      </w:r>
      <w:r w:rsidR="002F7E7A" w:rsidRPr="00E71766">
        <w:t>4</w:t>
      </w:r>
      <w:r w:rsidRPr="00E71766">
        <w:t>%.</w:t>
      </w:r>
    </w:p>
    <w:p w14:paraId="07CF0036" w14:textId="77777777" w:rsidR="009655B0" w:rsidRPr="00C6226D" w:rsidRDefault="009655B0" w:rsidP="009655B0">
      <w:pPr>
        <w:spacing w:after="120"/>
      </w:pPr>
      <w:r w:rsidRPr="00C6226D">
        <w:t xml:space="preserve">Разходите за местни дейности през 2026 г. са в размер на </w:t>
      </w:r>
      <w:r>
        <w:t>2 006,9</w:t>
      </w:r>
      <w:r w:rsidRPr="00C6226D">
        <w:t xml:space="preserve"> млн. евро и представляват 30,</w:t>
      </w:r>
      <w:r>
        <w:t>5</w:t>
      </w:r>
      <w:r w:rsidRPr="00C6226D">
        <w:t xml:space="preserve">% от общите разходи на общините. </w:t>
      </w:r>
    </w:p>
    <w:p w14:paraId="2B47BD62" w14:textId="77777777" w:rsidR="009655B0" w:rsidRPr="00C6226D" w:rsidRDefault="009655B0" w:rsidP="009655B0">
      <w:pPr>
        <w:spacing w:after="120"/>
      </w:pPr>
      <w:r w:rsidRPr="00C6226D">
        <w:t xml:space="preserve">Предвидените за 2026 г. разходи за делегираните от държавата дейности са в размер на </w:t>
      </w:r>
      <w:r>
        <w:t>4 568,3</w:t>
      </w:r>
      <w:r w:rsidRPr="00C6226D">
        <w:t xml:space="preserve"> млн. евро, като са увеличени спрямо 2025 г. с </w:t>
      </w:r>
      <w:r>
        <w:t>470,1</w:t>
      </w:r>
      <w:r w:rsidRPr="00C6226D">
        <w:t xml:space="preserve"> млн. евро, с което се осигурява ръстът на МРЗ и увеличение с </w:t>
      </w:r>
      <w:r>
        <w:t>10</w:t>
      </w:r>
      <w:r w:rsidRPr="00C6226D">
        <w:t>% на средствата за останалия персонал</w:t>
      </w:r>
      <w:r>
        <w:t xml:space="preserve"> във всички сектори</w:t>
      </w:r>
      <w:r w:rsidRPr="00C6226D">
        <w:t>.</w:t>
      </w:r>
    </w:p>
    <w:p w14:paraId="7A39210E" w14:textId="77777777" w:rsidR="009655B0" w:rsidRPr="00C6226D" w:rsidRDefault="009655B0" w:rsidP="009655B0">
      <w:pPr>
        <w:spacing w:after="120"/>
      </w:pPr>
      <w:r w:rsidRPr="00C6226D">
        <w:t xml:space="preserve">В прогнозата за 2027 г. се предвиждат разходи за общините в размер на </w:t>
      </w:r>
      <w:r>
        <w:t>6 662,4</w:t>
      </w:r>
      <w:r w:rsidRPr="00C6226D">
        <w:t xml:space="preserve"> млн. евро, от които разходите за местни дейности са </w:t>
      </w:r>
      <w:r>
        <w:t>2 072,8</w:t>
      </w:r>
      <w:r w:rsidRPr="00C6226D">
        <w:t xml:space="preserve"> млн. евро и за делегирани от държавата дейности – </w:t>
      </w:r>
      <w:r>
        <w:t>4 589,6</w:t>
      </w:r>
      <w:r w:rsidRPr="00C6226D">
        <w:t xml:space="preserve"> млн. евро.</w:t>
      </w:r>
    </w:p>
    <w:p w14:paraId="7CB608B9" w14:textId="77777777" w:rsidR="009655B0" w:rsidRPr="00C6226D" w:rsidRDefault="009655B0" w:rsidP="009655B0">
      <w:pPr>
        <w:spacing w:after="120"/>
      </w:pPr>
      <w:r w:rsidRPr="00C6226D">
        <w:t xml:space="preserve">В прогнозата за 2028 г. се предвиждат разходи за общините в размер на </w:t>
      </w:r>
      <w:r>
        <w:t>6 758,5</w:t>
      </w:r>
      <w:r w:rsidRPr="00C6226D">
        <w:t xml:space="preserve"> млн. евро, от които разходите за местни дейности са </w:t>
      </w:r>
      <w:r>
        <w:t>2 128,6</w:t>
      </w:r>
      <w:r w:rsidRPr="00C6226D">
        <w:t xml:space="preserve"> млн. евро и за делегирани от държавата дейности – </w:t>
      </w:r>
      <w:r>
        <w:t>4 629,9</w:t>
      </w:r>
      <w:r w:rsidRPr="00C6226D">
        <w:t xml:space="preserve"> млн. евро.</w:t>
      </w:r>
    </w:p>
    <w:p w14:paraId="6E799E1C" w14:textId="77777777" w:rsidR="009655B0" w:rsidRDefault="009655B0" w:rsidP="00C6226D">
      <w:pPr>
        <w:spacing w:after="120"/>
      </w:pPr>
    </w:p>
    <w:p w14:paraId="4AB39095" w14:textId="77777777" w:rsidR="009655B0" w:rsidRDefault="00304A36" w:rsidP="00046D2A">
      <w:pPr>
        <w:pStyle w:val="Caption"/>
        <w:spacing w:before="360"/>
      </w:pPr>
      <w:bookmarkStart w:id="327" w:name="_Toc213229066"/>
      <w:r w:rsidRPr="00EA6851">
        <w:t xml:space="preserve">Табл. </w:t>
      </w:r>
      <w:r w:rsidR="00974F02">
        <w:fldChar w:fldCharType="begin"/>
      </w:r>
      <w:r w:rsidR="00974F02">
        <w:instrText xml:space="preserve"> STYLEREF 1 \s </w:instrText>
      </w:r>
      <w:r w:rsidR="00974F02">
        <w:fldChar w:fldCharType="separate"/>
      </w:r>
      <w:r w:rsidR="00841DFA">
        <w:rPr>
          <w:noProof/>
        </w:rPr>
        <w:t>IV</w:t>
      </w:r>
      <w:r w:rsidR="00974F02">
        <w:rPr>
          <w:noProof/>
        </w:rPr>
        <w:fldChar w:fldCharType="end"/>
      </w:r>
      <w:r w:rsidRPr="00EA6851">
        <w:noBreakHyphen/>
      </w:r>
      <w:r w:rsidR="00974F02">
        <w:fldChar w:fldCharType="begin"/>
      </w:r>
      <w:r w:rsidR="00974F02">
        <w:instrText xml:space="preserve"> SEQ Табл. \* ARABIC \s 1 </w:instrText>
      </w:r>
      <w:r w:rsidR="00974F02">
        <w:fldChar w:fldCharType="separate"/>
      </w:r>
      <w:r w:rsidR="00841DFA">
        <w:rPr>
          <w:noProof/>
        </w:rPr>
        <w:t>1</w:t>
      </w:r>
      <w:r w:rsidR="00974F02">
        <w:rPr>
          <w:noProof/>
        </w:rPr>
        <w:fldChar w:fldCharType="end"/>
      </w:r>
      <w:r w:rsidRPr="00EA6851">
        <w:t>:</w:t>
      </w:r>
      <w:r w:rsidRPr="00EA6851">
        <w:tab/>
      </w:r>
      <w:r w:rsidRPr="00F24067">
        <w:t>Основни бюджетни взаимоотношения на общините с ц</w:t>
      </w:r>
      <w:r w:rsidR="00545946" w:rsidRPr="00F24067">
        <w:t xml:space="preserve">ентралния бюджет за периода </w:t>
      </w:r>
      <w:r w:rsidR="00F24067" w:rsidRPr="00F24067">
        <w:t>202</w:t>
      </w:r>
      <w:r w:rsidR="00CE2497">
        <w:t>6</w:t>
      </w:r>
      <w:r w:rsidR="00F24067" w:rsidRPr="00F24067">
        <w:t>-2028</w:t>
      </w:r>
      <w:r w:rsidR="003209C5">
        <w:t xml:space="preserve"> г.</w:t>
      </w:r>
      <w:bookmarkEnd w:id="327"/>
    </w:p>
    <w:tbl>
      <w:tblPr>
        <w:tblW w:w="10550" w:type="dxa"/>
        <w:tblInd w:w="-720" w:type="dxa"/>
        <w:tblCellMar>
          <w:left w:w="70" w:type="dxa"/>
          <w:right w:w="70" w:type="dxa"/>
        </w:tblCellMar>
        <w:tblLook w:val="04A0" w:firstRow="1" w:lastRow="0" w:firstColumn="1" w:lastColumn="0" w:noHBand="0" w:noVBand="1"/>
      </w:tblPr>
      <w:tblGrid>
        <w:gridCol w:w="4180"/>
        <w:gridCol w:w="1309"/>
        <w:gridCol w:w="1154"/>
        <w:gridCol w:w="1383"/>
        <w:gridCol w:w="1103"/>
        <w:gridCol w:w="1421"/>
      </w:tblGrid>
      <w:tr w:rsidR="009655B0" w:rsidRPr="00915960" w14:paraId="736AAD60" w14:textId="77777777" w:rsidTr="00580843">
        <w:trPr>
          <w:trHeight w:val="271"/>
        </w:trPr>
        <w:tc>
          <w:tcPr>
            <w:tcW w:w="4180" w:type="dxa"/>
            <w:tcBorders>
              <w:top w:val="nil"/>
              <w:left w:val="nil"/>
              <w:bottom w:val="nil"/>
              <w:right w:val="nil"/>
            </w:tcBorders>
            <w:shd w:val="clear" w:color="auto" w:fill="auto"/>
            <w:noWrap/>
            <w:vAlign w:val="bottom"/>
            <w:hideMark/>
          </w:tcPr>
          <w:p w14:paraId="65BE7A12" w14:textId="77777777" w:rsidR="009655B0" w:rsidRPr="00915960" w:rsidRDefault="009655B0" w:rsidP="00643B7B">
            <w:pPr>
              <w:spacing w:after="0"/>
              <w:jc w:val="left"/>
              <w:rPr>
                <w:rFonts w:eastAsia="Times New Roman" w:cs="Times New Roman"/>
                <w:sz w:val="20"/>
                <w:szCs w:val="24"/>
              </w:rPr>
            </w:pPr>
          </w:p>
        </w:tc>
        <w:tc>
          <w:tcPr>
            <w:tcW w:w="1309" w:type="dxa"/>
            <w:tcBorders>
              <w:top w:val="nil"/>
              <w:left w:val="nil"/>
              <w:bottom w:val="nil"/>
              <w:right w:val="nil"/>
            </w:tcBorders>
            <w:shd w:val="clear" w:color="auto" w:fill="auto"/>
            <w:noWrap/>
            <w:vAlign w:val="bottom"/>
            <w:hideMark/>
          </w:tcPr>
          <w:p w14:paraId="575DEB7D" w14:textId="77777777" w:rsidR="009655B0" w:rsidRPr="00915960" w:rsidRDefault="009655B0" w:rsidP="00643B7B">
            <w:pPr>
              <w:spacing w:after="0"/>
              <w:jc w:val="left"/>
              <w:rPr>
                <w:rFonts w:eastAsia="Times New Roman" w:cs="Times New Roman"/>
                <w:sz w:val="20"/>
                <w:szCs w:val="20"/>
              </w:rPr>
            </w:pPr>
          </w:p>
        </w:tc>
        <w:tc>
          <w:tcPr>
            <w:tcW w:w="1154" w:type="dxa"/>
            <w:tcBorders>
              <w:top w:val="nil"/>
              <w:left w:val="nil"/>
              <w:bottom w:val="nil"/>
              <w:right w:val="nil"/>
            </w:tcBorders>
            <w:shd w:val="clear" w:color="auto" w:fill="auto"/>
            <w:noWrap/>
            <w:vAlign w:val="bottom"/>
            <w:hideMark/>
          </w:tcPr>
          <w:p w14:paraId="49200A47" w14:textId="77777777" w:rsidR="009655B0" w:rsidRPr="00915960" w:rsidRDefault="009655B0" w:rsidP="00643B7B">
            <w:pPr>
              <w:spacing w:after="0"/>
              <w:jc w:val="left"/>
              <w:rPr>
                <w:rFonts w:eastAsia="Times New Roman" w:cs="Times New Roman"/>
                <w:sz w:val="20"/>
                <w:szCs w:val="20"/>
              </w:rPr>
            </w:pPr>
          </w:p>
        </w:tc>
        <w:tc>
          <w:tcPr>
            <w:tcW w:w="1383" w:type="dxa"/>
            <w:tcBorders>
              <w:top w:val="nil"/>
              <w:left w:val="nil"/>
              <w:bottom w:val="nil"/>
              <w:right w:val="nil"/>
            </w:tcBorders>
            <w:shd w:val="clear" w:color="auto" w:fill="auto"/>
            <w:noWrap/>
            <w:vAlign w:val="bottom"/>
            <w:hideMark/>
          </w:tcPr>
          <w:p w14:paraId="6D3726E6" w14:textId="77777777" w:rsidR="009655B0" w:rsidRPr="00915960" w:rsidRDefault="009655B0" w:rsidP="00643B7B">
            <w:pPr>
              <w:spacing w:after="0"/>
              <w:jc w:val="left"/>
              <w:rPr>
                <w:rFonts w:eastAsia="Times New Roman" w:cs="Times New Roman"/>
                <w:sz w:val="20"/>
                <w:szCs w:val="20"/>
              </w:rPr>
            </w:pPr>
          </w:p>
        </w:tc>
        <w:tc>
          <w:tcPr>
            <w:tcW w:w="1103" w:type="dxa"/>
            <w:tcBorders>
              <w:top w:val="nil"/>
              <w:left w:val="nil"/>
              <w:bottom w:val="nil"/>
              <w:right w:val="nil"/>
            </w:tcBorders>
            <w:shd w:val="clear" w:color="auto" w:fill="auto"/>
            <w:noWrap/>
            <w:vAlign w:val="center"/>
            <w:hideMark/>
          </w:tcPr>
          <w:p w14:paraId="77DC2EFA" w14:textId="77777777" w:rsidR="009655B0" w:rsidRPr="00915960" w:rsidRDefault="009655B0" w:rsidP="00643B7B">
            <w:pPr>
              <w:spacing w:after="0"/>
              <w:jc w:val="left"/>
              <w:rPr>
                <w:rFonts w:eastAsia="Times New Roman" w:cs="Times New Roman"/>
                <w:sz w:val="20"/>
                <w:szCs w:val="20"/>
              </w:rPr>
            </w:pPr>
          </w:p>
        </w:tc>
        <w:tc>
          <w:tcPr>
            <w:tcW w:w="1421" w:type="dxa"/>
            <w:tcBorders>
              <w:top w:val="nil"/>
              <w:left w:val="nil"/>
              <w:bottom w:val="nil"/>
              <w:right w:val="nil"/>
            </w:tcBorders>
            <w:shd w:val="clear" w:color="auto" w:fill="auto"/>
            <w:noWrap/>
            <w:vAlign w:val="center"/>
            <w:hideMark/>
          </w:tcPr>
          <w:p w14:paraId="55031C8A"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(в хил. евро)</w:t>
            </w:r>
          </w:p>
        </w:tc>
      </w:tr>
      <w:tr w:rsidR="009655B0" w:rsidRPr="00915960" w14:paraId="2A82607E" w14:textId="77777777" w:rsidTr="00580843">
        <w:trPr>
          <w:trHeight w:val="260"/>
        </w:trPr>
        <w:tc>
          <w:tcPr>
            <w:tcW w:w="4180" w:type="dxa"/>
            <w:tcBorders>
              <w:top w:val="single" w:sz="8" w:space="0" w:color="auto"/>
              <w:left w:val="nil"/>
              <w:bottom w:val="nil"/>
              <w:right w:val="nil"/>
            </w:tcBorders>
            <w:shd w:val="clear" w:color="auto" w:fill="auto"/>
            <w:noWrap/>
            <w:vAlign w:val="center"/>
            <w:hideMark/>
          </w:tcPr>
          <w:p w14:paraId="5E8A3482"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Основни бюджетни</w:t>
            </w:r>
          </w:p>
        </w:tc>
        <w:tc>
          <w:tcPr>
            <w:tcW w:w="1309" w:type="dxa"/>
            <w:tcBorders>
              <w:top w:val="single" w:sz="8" w:space="0" w:color="auto"/>
              <w:left w:val="nil"/>
              <w:bottom w:val="nil"/>
              <w:right w:val="nil"/>
            </w:tcBorders>
            <w:shd w:val="clear" w:color="auto" w:fill="auto"/>
            <w:vAlign w:val="center"/>
            <w:hideMark/>
          </w:tcPr>
          <w:p w14:paraId="770D4A25"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Проект</w:t>
            </w:r>
          </w:p>
        </w:tc>
        <w:tc>
          <w:tcPr>
            <w:tcW w:w="2537" w:type="dxa"/>
            <w:gridSpan w:val="2"/>
            <w:tcBorders>
              <w:top w:val="single" w:sz="8" w:space="0" w:color="auto"/>
              <w:left w:val="nil"/>
              <w:bottom w:val="single" w:sz="4" w:space="0" w:color="auto"/>
              <w:right w:val="nil"/>
            </w:tcBorders>
            <w:shd w:val="clear" w:color="auto" w:fill="auto"/>
            <w:vAlign w:val="center"/>
            <w:hideMark/>
          </w:tcPr>
          <w:p w14:paraId="53E2755C"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от тях:</w:t>
            </w:r>
          </w:p>
        </w:tc>
        <w:tc>
          <w:tcPr>
            <w:tcW w:w="1103" w:type="dxa"/>
            <w:tcBorders>
              <w:top w:val="single" w:sz="8" w:space="0" w:color="auto"/>
              <w:left w:val="nil"/>
              <w:bottom w:val="nil"/>
              <w:right w:val="nil"/>
            </w:tcBorders>
            <w:shd w:val="clear" w:color="auto" w:fill="auto"/>
            <w:vAlign w:val="center"/>
            <w:hideMark/>
          </w:tcPr>
          <w:p w14:paraId="31BD3772"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Прогноза</w:t>
            </w:r>
          </w:p>
        </w:tc>
        <w:tc>
          <w:tcPr>
            <w:tcW w:w="1421" w:type="dxa"/>
            <w:tcBorders>
              <w:top w:val="single" w:sz="8" w:space="0" w:color="auto"/>
              <w:left w:val="nil"/>
              <w:bottom w:val="nil"/>
              <w:right w:val="nil"/>
            </w:tcBorders>
            <w:shd w:val="clear" w:color="auto" w:fill="auto"/>
            <w:vAlign w:val="center"/>
            <w:hideMark/>
          </w:tcPr>
          <w:p w14:paraId="4304CEE8"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Прогноза</w:t>
            </w:r>
          </w:p>
        </w:tc>
      </w:tr>
      <w:tr w:rsidR="009655B0" w:rsidRPr="00915960" w14:paraId="4CEE4B18" w14:textId="77777777" w:rsidTr="00580843">
        <w:trPr>
          <w:trHeight w:val="260"/>
        </w:trPr>
        <w:tc>
          <w:tcPr>
            <w:tcW w:w="4180" w:type="dxa"/>
            <w:tcBorders>
              <w:top w:val="nil"/>
              <w:left w:val="nil"/>
              <w:bottom w:val="nil"/>
              <w:right w:val="nil"/>
            </w:tcBorders>
            <w:shd w:val="clear" w:color="auto" w:fill="auto"/>
            <w:noWrap/>
            <w:vAlign w:val="center"/>
            <w:hideMark/>
          </w:tcPr>
          <w:p w14:paraId="66BC7CD1"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 xml:space="preserve"> взаимоотношения</w:t>
            </w:r>
          </w:p>
        </w:tc>
        <w:tc>
          <w:tcPr>
            <w:tcW w:w="1309" w:type="dxa"/>
            <w:tcBorders>
              <w:top w:val="nil"/>
              <w:left w:val="nil"/>
              <w:bottom w:val="nil"/>
              <w:right w:val="nil"/>
            </w:tcBorders>
            <w:shd w:val="clear" w:color="auto" w:fill="auto"/>
            <w:noWrap/>
            <w:vAlign w:val="center"/>
            <w:hideMark/>
          </w:tcPr>
          <w:p w14:paraId="680D3CDC"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2026</w:t>
            </w:r>
          </w:p>
        </w:tc>
        <w:tc>
          <w:tcPr>
            <w:tcW w:w="1154" w:type="dxa"/>
            <w:tcBorders>
              <w:top w:val="nil"/>
              <w:left w:val="nil"/>
              <w:bottom w:val="nil"/>
              <w:right w:val="nil"/>
            </w:tcBorders>
            <w:shd w:val="clear" w:color="auto" w:fill="auto"/>
            <w:noWrap/>
            <w:vAlign w:val="center"/>
            <w:hideMark/>
          </w:tcPr>
          <w:p w14:paraId="5EE4A314"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местни</w:t>
            </w:r>
          </w:p>
        </w:tc>
        <w:tc>
          <w:tcPr>
            <w:tcW w:w="1383" w:type="dxa"/>
            <w:tcBorders>
              <w:top w:val="nil"/>
              <w:left w:val="nil"/>
              <w:bottom w:val="nil"/>
              <w:right w:val="nil"/>
            </w:tcBorders>
            <w:shd w:val="clear" w:color="auto" w:fill="auto"/>
            <w:noWrap/>
            <w:vAlign w:val="center"/>
            <w:hideMark/>
          </w:tcPr>
          <w:p w14:paraId="04512A55"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делегирани</w:t>
            </w:r>
          </w:p>
        </w:tc>
        <w:tc>
          <w:tcPr>
            <w:tcW w:w="1103" w:type="dxa"/>
            <w:tcBorders>
              <w:top w:val="nil"/>
              <w:left w:val="nil"/>
              <w:bottom w:val="nil"/>
              <w:right w:val="nil"/>
            </w:tcBorders>
            <w:shd w:val="clear" w:color="auto" w:fill="auto"/>
            <w:noWrap/>
            <w:vAlign w:val="center"/>
            <w:hideMark/>
          </w:tcPr>
          <w:p w14:paraId="38D1C038"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2027</w:t>
            </w:r>
          </w:p>
        </w:tc>
        <w:tc>
          <w:tcPr>
            <w:tcW w:w="1421" w:type="dxa"/>
            <w:tcBorders>
              <w:top w:val="nil"/>
              <w:left w:val="nil"/>
              <w:bottom w:val="nil"/>
              <w:right w:val="nil"/>
            </w:tcBorders>
            <w:shd w:val="clear" w:color="auto" w:fill="auto"/>
            <w:noWrap/>
            <w:vAlign w:val="center"/>
            <w:hideMark/>
          </w:tcPr>
          <w:p w14:paraId="61C7E6CE" w14:textId="77777777" w:rsidR="009655B0" w:rsidRPr="00915960" w:rsidRDefault="009655B0" w:rsidP="00643B7B">
            <w:pPr>
              <w:spacing w:after="0"/>
              <w:jc w:val="center"/>
              <w:rPr>
                <w:rFonts w:eastAsia="Times New Roman" w:cs="Times New Roman"/>
                <w:b/>
                <w:bCs/>
                <w:color w:val="000000"/>
                <w:sz w:val="20"/>
                <w:szCs w:val="20"/>
              </w:rPr>
            </w:pPr>
            <w:r w:rsidRPr="00915960">
              <w:rPr>
                <w:rFonts w:eastAsia="Times New Roman" w:cs="Times New Roman"/>
                <w:b/>
                <w:bCs/>
                <w:color w:val="000000"/>
                <w:sz w:val="20"/>
                <w:szCs w:val="20"/>
              </w:rPr>
              <w:t>2028</w:t>
            </w:r>
          </w:p>
        </w:tc>
      </w:tr>
      <w:tr w:rsidR="009655B0" w:rsidRPr="00915960" w14:paraId="09683710" w14:textId="77777777" w:rsidTr="00580843">
        <w:trPr>
          <w:trHeight w:val="271"/>
        </w:trPr>
        <w:tc>
          <w:tcPr>
            <w:tcW w:w="4180" w:type="dxa"/>
            <w:tcBorders>
              <w:top w:val="nil"/>
              <w:left w:val="nil"/>
              <w:bottom w:val="single" w:sz="4" w:space="0" w:color="auto"/>
              <w:right w:val="nil"/>
            </w:tcBorders>
            <w:shd w:val="clear" w:color="auto" w:fill="auto"/>
            <w:noWrap/>
            <w:vAlign w:val="center"/>
            <w:hideMark/>
          </w:tcPr>
          <w:p w14:paraId="6CC3C4E3" w14:textId="77777777" w:rsidR="009655B0" w:rsidRPr="00915960" w:rsidRDefault="009655B0" w:rsidP="00643B7B">
            <w:pPr>
              <w:spacing w:after="0"/>
              <w:jc w:val="left"/>
              <w:rPr>
                <w:rFonts w:eastAsia="Times New Roman" w:cs="Times New Roman"/>
                <w:b/>
                <w:bCs/>
                <w:color w:val="000000"/>
                <w:sz w:val="20"/>
                <w:szCs w:val="20"/>
              </w:rPr>
            </w:pPr>
            <w:r w:rsidRPr="00915960">
              <w:rPr>
                <w:rFonts w:eastAsia="Times New Roman" w:cs="Times New Roman"/>
                <w:b/>
                <w:bCs/>
                <w:color w:val="000000"/>
                <w:sz w:val="20"/>
                <w:szCs w:val="20"/>
              </w:rPr>
              <w:t> </w:t>
            </w:r>
          </w:p>
        </w:tc>
        <w:tc>
          <w:tcPr>
            <w:tcW w:w="1309" w:type="dxa"/>
            <w:tcBorders>
              <w:top w:val="nil"/>
              <w:left w:val="nil"/>
              <w:bottom w:val="single" w:sz="4" w:space="0" w:color="auto"/>
              <w:right w:val="nil"/>
            </w:tcBorders>
            <w:shd w:val="clear" w:color="auto" w:fill="auto"/>
            <w:noWrap/>
            <w:vAlign w:val="center"/>
            <w:hideMark/>
          </w:tcPr>
          <w:p w14:paraId="2D652B42" w14:textId="77777777" w:rsidR="009655B0" w:rsidRPr="00915960" w:rsidRDefault="009655B0" w:rsidP="00643B7B">
            <w:pPr>
              <w:spacing w:after="0"/>
              <w:jc w:val="left"/>
              <w:rPr>
                <w:rFonts w:eastAsia="Times New Roman" w:cs="Times New Roman"/>
                <w:b/>
                <w:bCs/>
                <w:color w:val="000000"/>
                <w:sz w:val="20"/>
                <w:szCs w:val="20"/>
              </w:rPr>
            </w:pPr>
            <w:r w:rsidRPr="00915960">
              <w:rPr>
                <w:rFonts w:eastAsia="Times New Roman" w:cs="Times New Roman"/>
                <w:b/>
                <w:bCs/>
                <w:color w:val="000000"/>
                <w:sz w:val="20"/>
                <w:szCs w:val="20"/>
              </w:rPr>
              <w:t> </w:t>
            </w:r>
          </w:p>
        </w:tc>
        <w:tc>
          <w:tcPr>
            <w:tcW w:w="1154" w:type="dxa"/>
            <w:tcBorders>
              <w:top w:val="nil"/>
              <w:left w:val="nil"/>
              <w:bottom w:val="single" w:sz="4" w:space="0" w:color="auto"/>
              <w:right w:val="nil"/>
            </w:tcBorders>
            <w:shd w:val="clear" w:color="auto" w:fill="auto"/>
            <w:noWrap/>
            <w:vAlign w:val="center"/>
            <w:hideMark/>
          </w:tcPr>
          <w:p w14:paraId="1D3940F2" w14:textId="77777777" w:rsidR="009655B0" w:rsidRPr="00915960" w:rsidRDefault="009655B0" w:rsidP="00643B7B">
            <w:pPr>
              <w:spacing w:after="0"/>
              <w:jc w:val="left"/>
              <w:rPr>
                <w:rFonts w:eastAsia="Times New Roman" w:cs="Times New Roman"/>
                <w:b/>
                <w:bCs/>
                <w:color w:val="000000"/>
                <w:sz w:val="20"/>
                <w:szCs w:val="20"/>
              </w:rPr>
            </w:pPr>
            <w:r w:rsidRPr="00915960">
              <w:rPr>
                <w:rFonts w:eastAsia="Times New Roman" w:cs="Times New Roman"/>
                <w:b/>
                <w:bCs/>
                <w:color w:val="000000"/>
                <w:sz w:val="20"/>
                <w:szCs w:val="20"/>
              </w:rPr>
              <w:t> </w:t>
            </w:r>
          </w:p>
        </w:tc>
        <w:tc>
          <w:tcPr>
            <w:tcW w:w="1383" w:type="dxa"/>
            <w:tcBorders>
              <w:top w:val="nil"/>
              <w:left w:val="nil"/>
              <w:bottom w:val="single" w:sz="4" w:space="0" w:color="auto"/>
              <w:right w:val="nil"/>
            </w:tcBorders>
            <w:shd w:val="clear" w:color="auto" w:fill="auto"/>
            <w:noWrap/>
            <w:vAlign w:val="center"/>
            <w:hideMark/>
          </w:tcPr>
          <w:p w14:paraId="387D3FB5" w14:textId="77777777" w:rsidR="009655B0" w:rsidRPr="00915960" w:rsidRDefault="009655B0" w:rsidP="00643B7B">
            <w:pPr>
              <w:spacing w:after="0"/>
              <w:jc w:val="left"/>
              <w:rPr>
                <w:rFonts w:eastAsia="Times New Roman" w:cs="Times New Roman"/>
                <w:b/>
                <w:bCs/>
                <w:color w:val="000000"/>
                <w:sz w:val="20"/>
                <w:szCs w:val="20"/>
              </w:rPr>
            </w:pPr>
            <w:r w:rsidRPr="00915960">
              <w:rPr>
                <w:rFonts w:eastAsia="Times New Roman" w:cs="Times New Roman"/>
                <w:b/>
                <w:bCs/>
                <w:color w:val="000000"/>
                <w:sz w:val="20"/>
                <w:szCs w:val="20"/>
              </w:rPr>
              <w:t> </w:t>
            </w:r>
          </w:p>
        </w:tc>
        <w:tc>
          <w:tcPr>
            <w:tcW w:w="1103" w:type="dxa"/>
            <w:tcBorders>
              <w:top w:val="nil"/>
              <w:left w:val="nil"/>
              <w:bottom w:val="single" w:sz="4" w:space="0" w:color="auto"/>
              <w:right w:val="nil"/>
            </w:tcBorders>
            <w:shd w:val="clear" w:color="auto" w:fill="auto"/>
            <w:noWrap/>
            <w:vAlign w:val="center"/>
            <w:hideMark/>
          </w:tcPr>
          <w:p w14:paraId="3801DAA5" w14:textId="77777777" w:rsidR="009655B0" w:rsidRPr="00915960" w:rsidRDefault="009655B0" w:rsidP="00643B7B">
            <w:pPr>
              <w:spacing w:after="0"/>
              <w:jc w:val="left"/>
              <w:rPr>
                <w:rFonts w:eastAsia="Times New Roman" w:cs="Times New Roman"/>
                <w:b/>
                <w:bCs/>
                <w:color w:val="000000"/>
                <w:sz w:val="20"/>
                <w:szCs w:val="20"/>
              </w:rPr>
            </w:pPr>
            <w:r w:rsidRPr="00915960">
              <w:rPr>
                <w:rFonts w:eastAsia="Times New Roman" w:cs="Times New Roman"/>
                <w:b/>
                <w:bCs/>
                <w:color w:val="000000"/>
                <w:sz w:val="20"/>
                <w:szCs w:val="20"/>
              </w:rPr>
              <w:t> </w:t>
            </w:r>
          </w:p>
        </w:tc>
        <w:tc>
          <w:tcPr>
            <w:tcW w:w="1421" w:type="dxa"/>
            <w:tcBorders>
              <w:top w:val="nil"/>
              <w:left w:val="nil"/>
              <w:bottom w:val="single" w:sz="4" w:space="0" w:color="auto"/>
              <w:right w:val="nil"/>
            </w:tcBorders>
            <w:shd w:val="clear" w:color="auto" w:fill="auto"/>
            <w:noWrap/>
            <w:vAlign w:val="center"/>
            <w:hideMark/>
          </w:tcPr>
          <w:p w14:paraId="3A2DC841" w14:textId="77777777" w:rsidR="009655B0" w:rsidRPr="00915960" w:rsidRDefault="009655B0" w:rsidP="00643B7B">
            <w:pPr>
              <w:spacing w:after="0"/>
              <w:jc w:val="left"/>
              <w:rPr>
                <w:rFonts w:eastAsia="Times New Roman" w:cs="Times New Roman"/>
                <w:b/>
                <w:bCs/>
                <w:color w:val="000000"/>
                <w:sz w:val="20"/>
                <w:szCs w:val="20"/>
              </w:rPr>
            </w:pPr>
            <w:r w:rsidRPr="00915960">
              <w:rPr>
                <w:rFonts w:eastAsia="Times New Roman" w:cs="Times New Roman"/>
                <w:b/>
                <w:bCs/>
                <w:color w:val="000000"/>
                <w:sz w:val="20"/>
                <w:szCs w:val="20"/>
              </w:rPr>
              <w:t> </w:t>
            </w:r>
          </w:p>
        </w:tc>
      </w:tr>
      <w:tr w:rsidR="009655B0" w:rsidRPr="00915960" w14:paraId="48D75E0D" w14:textId="77777777" w:rsidTr="00580843">
        <w:trPr>
          <w:trHeight w:val="260"/>
        </w:trPr>
        <w:tc>
          <w:tcPr>
            <w:tcW w:w="4180" w:type="dxa"/>
            <w:tcBorders>
              <w:top w:val="single" w:sz="4" w:space="0" w:color="auto"/>
              <w:left w:val="nil"/>
              <w:bottom w:val="nil"/>
              <w:right w:val="nil"/>
            </w:tcBorders>
            <w:shd w:val="clear" w:color="auto" w:fill="auto"/>
            <w:noWrap/>
            <w:vAlign w:val="center"/>
            <w:hideMark/>
          </w:tcPr>
          <w:p w14:paraId="7E15254B" w14:textId="77777777" w:rsidR="009655B0" w:rsidRPr="00915960" w:rsidRDefault="009655B0" w:rsidP="00643B7B">
            <w:pPr>
              <w:spacing w:after="0"/>
              <w:jc w:val="left"/>
              <w:rPr>
                <w:rFonts w:eastAsia="Times New Roman" w:cs="Times New Roman"/>
                <w:b/>
                <w:bCs/>
                <w:color w:val="000000"/>
                <w:sz w:val="20"/>
                <w:szCs w:val="20"/>
              </w:rPr>
            </w:pPr>
            <w:r w:rsidRPr="00915960">
              <w:rPr>
                <w:rFonts w:eastAsia="Times New Roman" w:cs="Times New Roman"/>
                <w:b/>
                <w:bCs/>
                <w:color w:val="000000"/>
                <w:sz w:val="20"/>
                <w:szCs w:val="20"/>
              </w:rPr>
              <w:t>Общо:</w:t>
            </w:r>
          </w:p>
        </w:tc>
        <w:tc>
          <w:tcPr>
            <w:tcW w:w="1309" w:type="dxa"/>
            <w:tcBorders>
              <w:top w:val="single" w:sz="4" w:space="0" w:color="auto"/>
              <w:left w:val="nil"/>
              <w:bottom w:val="nil"/>
              <w:right w:val="nil"/>
            </w:tcBorders>
            <w:shd w:val="clear" w:color="auto" w:fill="auto"/>
            <w:noWrap/>
            <w:vAlign w:val="center"/>
            <w:hideMark/>
          </w:tcPr>
          <w:p w14:paraId="0C44AF33" w14:textId="77777777" w:rsidR="009655B0" w:rsidRPr="00915960" w:rsidRDefault="009655B0" w:rsidP="00643B7B">
            <w:pPr>
              <w:spacing w:after="0"/>
              <w:jc w:val="right"/>
              <w:rPr>
                <w:rFonts w:eastAsia="Times New Roman" w:cs="Times New Roman"/>
                <w:b/>
                <w:bCs/>
                <w:color w:val="000000"/>
                <w:sz w:val="20"/>
                <w:szCs w:val="20"/>
              </w:rPr>
            </w:pPr>
            <w:r w:rsidRPr="00915960">
              <w:rPr>
                <w:rFonts w:eastAsia="Times New Roman" w:cs="Times New Roman"/>
                <w:b/>
                <w:bCs/>
                <w:color w:val="000000"/>
                <w:sz w:val="20"/>
                <w:szCs w:val="20"/>
              </w:rPr>
              <w:t>5 035 624,5</w:t>
            </w:r>
          </w:p>
        </w:tc>
        <w:tc>
          <w:tcPr>
            <w:tcW w:w="1154" w:type="dxa"/>
            <w:tcBorders>
              <w:top w:val="single" w:sz="4" w:space="0" w:color="auto"/>
              <w:left w:val="nil"/>
              <w:bottom w:val="nil"/>
              <w:right w:val="nil"/>
            </w:tcBorders>
            <w:shd w:val="clear" w:color="auto" w:fill="auto"/>
            <w:noWrap/>
            <w:vAlign w:val="center"/>
            <w:hideMark/>
          </w:tcPr>
          <w:p w14:paraId="4202023B" w14:textId="77777777" w:rsidR="009655B0" w:rsidRPr="00915960" w:rsidRDefault="009655B0" w:rsidP="00643B7B">
            <w:pPr>
              <w:spacing w:after="0"/>
              <w:jc w:val="right"/>
              <w:rPr>
                <w:rFonts w:eastAsia="Times New Roman" w:cs="Times New Roman"/>
                <w:b/>
                <w:bCs/>
                <w:color w:val="000000"/>
                <w:sz w:val="20"/>
                <w:szCs w:val="20"/>
              </w:rPr>
            </w:pPr>
            <w:r w:rsidRPr="00915960">
              <w:rPr>
                <w:rFonts w:eastAsia="Times New Roman" w:cs="Times New Roman"/>
                <w:b/>
                <w:bCs/>
                <w:color w:val="000000"/>
                <w:sz w:val="20"/>
                <w:szCs w:val="20"/>
              </w:rPr>
              <w:t>467 362,3</w:t>
            </w:r>
          </w:p>
        </w:tc>
        <w:tc>
          <w:tcPr>
            <w:tcW w:w="1383" w:type="dxa"/>
            <w:tcBorders>
              <w:top w:val="single" w:sz="4" w:space="0" w:color="auto"/>
              <w:left w:val="nil"/>
              <w:bottom w:val="nil"/>
              <w:right w:val="nil"/>
            </w:tcBorders>
            <w:shd w:val="clear" w:color="auto" w:fill="auto"/>
            <w:noWrap/>
            <w:vAlign w:val="center"/>
            <w:hideMark/>
          </w:tcPr>
          <w:p w14:paraId="621C6EF1" w14:textId="77777777" w:rsidR="009655B0" w:rsidRPr="00915960" w:rsidRDefault="009655B0" w:rsidP="00643B7B">
            <w:pPr>
              <w:spacing w:after="0"/>
              <w:jc w:val="right"/>
              <w:rPr>
                <w:rFonts w:eastAsia="Times New Roman" w:cs="Times New Roman"/>
                <w:b/>
                <w:bCs/>
                <w:color w:val="000000"/>
                <w:sz w:val="20"/>
                <w:szCs w:val="20"/>
              </w:rPr>
            </w:pPr>
            <w:r w:rsidRPr="00915960">
              <w:rPr>
                <w:rFonts w:eastAsia="Times New Roman" w:cs="Times New Roman"/>
                <w:b/>
                <w:bCs/>
                <w:color w:val="000000"/>
                <w:sz w:val="20"/>
                <w:szCs w:val="20"/>
              </w:rPr>
              <w:t>4 568 262,2</w:t>
            </w:r>
          </w:p>
        </w:tc>
        <w:tc>
          <w:tcPr>
            <w:tcW w:w="1103" w:type="dxa"/>
            <w:tcBorders>
              <w:top w:val="single" w:sz="4" w:space="0" w:color="auto"/>
              <w:left w:val="nil"/>
              <w:bottom w:val="nil"/>
              <w:right w:val="nil"/>
            </w:tcBorders>
            <w:shd w:val="clear" w:color="auto" w:fill="auto"/>
            <w:noWrap/>
            <w:vAlign w:val="center"/>
            <w:hideMark/>
          </w:tcPr>
          <w:p w14:paraId="77D907C3" w14:textId="77777777" w:rsidR="009655B0" w:rsidRPr="00915960" w:rsidRDefault="009655B0" w:rsidP="00643B7B">
            <w:pPr>
              <w:spacing w:after="0"/>
              <w:jc w:val="right"/>
              <w:rPr>
                <w:rFonts w:eastAsia="Times New Roman" w:cs="Times New Roman"/>
                <w:b/>
                <w:bCs/>
                <w:color w:val="000000"/>
                <w:sz w:val="20"/>
                <w:szCs w:val="20"/>
              </w:rPr>
            </w:pPr>
            <w:r w:rsidRPr="00915960">
              <w:rPr>
                <w:rFonts w:eastAsia="Times New Roman" w:cs="Times New Roman"/>
                <w:b/>
                <w:bCs/>
                <w:color w:val="000000"/>
                <w:sz w:val="20"/>
                <w:szCs w:val="20"/>
              </w:rPr>
              <w:t>5 056 951,6</w:t>
            </w:r>
          </w:p>
        </w:tc>
        <w:tc>
          <w:tcPr>
            <w:tcW w:w="1421" w:type="dxa"/>
            <w:tcBorders>
              <w:top w:val="single" w:sz="4" w:space="0" w:color="auto"/>
              <w:left w:val="nil"/>
              <w:bottom w:val="nil"/>
              <w:right w:val="nil"/>
            </w:tcBorders>
            <w:shd w:val="clear" w:color="auto" w:fill="auto"/>
            <w:noWrap/>
            <w:vAlign w:val="center"/>
            <w:hideMark/>
          </w:tcPr>
          <w:p w14:paraId="5C0BB97A" w14:textId="77777777" w:rsidR="009655B0" w:rsidRPr="00915960" w:rsidRDefault="009655B0" w:rsidP="00643B7B">
            <w:pPr>
              <w:spacing w:after="0"/>
              <w:jc w:val="right"/>
              <w:rPr>
                <w:rFonts w:eastAsia="Times New Roman" w:cs="Times New Roman"/>
                <w:b/>
                <w:bCs/>
                <w:color w:val="000000"/>
                <w:sz w:val="20"/>
                <w:szCs w:val="20"/>
              </w:rPr>
            </w:pPr>
            <w:r w:rsidRPr="00915960">
              <w:rPr>
                <w:rFonts w:eastAsia="Times New Roman" w:cs="Times New Roman"/>
                <w:b/>
                <w:bCs/>
                <w:color w:val="000000"/>
                <w:sz w:val="20"/>
                <w:szCs w:val="20"/>
              </w:rPr>
              <w:t>5 097 229,4</w:t>
            </w:r>
          </w:p>
        </w:tc>
      </w:tr>
      <w:tr w:rsidR="009655B0" w:rsidRPr="00915960" w14:paraId="54EB6974" w14:textId="77777777" w:rsidTr="00580843">
        <w:trPr>
          <w:trHeight w:val="543"/>
        </w:trPr>
        <w:tc>
          <w:tcPr>
            <w:tcW w:w="4180" w:type="dxa"/>
            <w:tcBorders>
              <w:top w:val="nil"/>
              <w:left w:val="nil"/>
              <w:bottom w:val="nil"/>
              <w:right w:val="nil"/>
            </w:tcBorders>
            <w:shd w:val="clear" w:color="auto" w:fill="auto"/>
            <w:vAlign w:val="center"/>
            <w:hideMark/>
          </w:tcPr>
          <w:p w14:paraId="094005AC" w14:textId="77777777" w:rsidR="009655B0" w:rsidRPr="00915960" w:rsidRDefault="009655B0" w:rsidP="00643B7B">
            <w:pPr>
              <w:spacing w:after="0"/>
              <w:ind w:firstLineChars="100" w:firstLine="200"/>
              <w:jc w:val="left"/>
              <w:rPr>
                <w:rFonts w:eastAsia="Times New Roman" w:cs="Times New Roman"/>
                <w:color w:val="000000"/>
                <w:sz w:val="20"/>
                <w:szCs w:val="20"/>
              </w:rPr>
            </w:pPr>
            <w:r w:rsidRPr="00915960">
              <w:rPr>
                <w:rFonts w:eastAsia="Times New Roman" w:cs="Times New Roman"/>
                <w:color w:val="000000"/>
                <w:sz w:val="20"/>
                <w:szCs w:val="20"/>
              </w:rPr>
              <w:t>Обща субсидия за делегираните от държавата дейности</w:t>
            </w:r>
          </w:p>
        </w:tc>
        <w:tc>
          <w:tcPr>
            <w:tcW w:w="1309" w:type="dxa"/>
            <w:tcBorders>
              <w:top w:val="nil"/>
              <w:left w:val="nil"/>
              <w:bottom w:val="nil"/>
              <w:right w:val="nil"/>
            </w:tcBorders>
            <w:shd w:val="clear" w:color="auto" w:fill="auto"/>
            <w:noWrap/>
            <w:vAlign w:val="center"/>
            <w:hideMark/>
          </w:tcPr>
          <w:p w14:paraId="78264F01"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4 497 966,5</w:t>
            </w:r>
          </w:p>
        </w:tc>
        <w:tc>
          <w:tcPr>
            <w:tcW w:w="1154" w:type="dxa"/>
            <w:tcBorders>
              <w:top w:val="nil"/>
              <w:left w:val="nil"/>
              <w:bottom w:val="nil"/>
              <w:right w:val="nil"/>
            </w:tcBorders>
            <w:shd w:val="clear" w:color="auto" w:fill="auto"/>
            <w:noWrap/>
            <w:vAlign w:val="center"/>
            <w:hideMark/>
          </w:tcPr>
          <w:p w14:paraId="70B1CA0E"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0,0</w:t>
            </w:r>
          </w:p>
        </w:tc>
        <w:tc>
          <w:tcPr>
            <w:tcW w:w="1383" w:type="dxa"/>
            <w:tcBorders>
              <w:top w:val="nil"/>
              <w:left w:val="nil"/>
              <w:bottom w:val="nil"/>
              <w:right w:val="nil"/>
            </w:tcBorders>
            <w:shd w:val="clear" w:color="auto" w:fill="auto"/>
            <w:noWrap/>
            <w:vAlign w:val="center"/>
            <w:hideMark/>
          </w:tcPr>
          <w:p w14:paraId="6FA15C1E"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4 497 966,5</w:t>
            </w:r>
          </w:p>
        </w:tc>
        <w:tc>
          <w:tcPr>
            <w:tcW w:w="1103" w:type="dxa"/>
            <w:tcBorders>
              <w:top w:val="nil"/>
              <w:left w:val="nil"/>
              <w:bottom w:val="nil"/>
              <w:right w:val="nil"/>
            </w:tcBorders>
            <w:shd w:val="clear" w:color="auto" w:fill="auto"/>
            <w:noWrap/>
            <w:vAlign w:val="center"/>
            <w:hideMark/>
          </w:tcPr>
          <w:p w14:paraId="1C57CD6F"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4 519 293,6</w:t>
            </w:r>
          </w:p>
        </w:tc>
        <w:tc>
          <w:tcPr>
            <w:tcW w:w="1421" w:type="dxa"/>
            <w:tcBorders>
              <w:top w:val="nil"/>
              <w:left w:val="nil"/>
              <w:bottom w:val="nil"/>
              <w:right w:val="nil"/>
            </w:tcBorders>
            <w:shd w:val="clear" w:color="auto" w:fill="auto"/>
            <w:noWrap/>
            <w:vAlign w:val="center"/>
            <w:hideMark/>
          </w:tcPr>
          <w:p w14:paraId="6F70C967"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4 559 571,4</w:t>
            </w:r>
          </w:p>
        </w:tc>
      </w:tr>
      <w:tr w:rsidR="009655B0" w:rsidRPr="00915960" w14:paraId="06C7AA5E" w14:textId="77777777" w:rsidTr="00580843">
        <w:trPr>
          <w:trHeight w:val="260"/>
        </w:trPr>
        <w:tc>
          <w:tcPr>
            <w:tcW w:w="4180" w:type="dxa"/>
            <w:tcBorders>
              <w:top w:val="nil"/>
              <w:left w:val="nil"/>
              <w:bottom w:val="nil"/>
              <w:right w:val="nil"/>
            </w:tcBorders>
            <w:shd w:val="clear" w:color="auto" w:fill="auto"/>
            <w:vAlign w:val="center"/>
            <w:hideMark/>
          </w:tcPr>
          <w:p w14:paraId="66397CDA" w14:textId="77777777" w:rsidR="009655B0" w:rsidRPr="00915960" w:rsidRDefault="009655B0" w:rsidP="00643B7B">
            <w:pPr>
              <w:spacing w:after="0"/>
              <w:ind w:firstLineChars="100" w:firstLine="200"/>
              <w:jc w:val="left"/>
              <w:rPr>
                <w:rFonts w:eastAsia="Times New Roman" w:cs="Times New Roman"/>
                <w:color w:val="000000"/>
                <w:sz w:val="20"/>
                <w:szCs w:val="20"/>
              </w:rPr>
            </w:pPr>
            <w:r w:rsidRPr="00915960">
              <w:rPr>
                <w:rFonts w:eastAsia="Times New Roman" w:cs="Times New Roman"/>
                <w:color w:val="000000"/>
                <w:sz w:val="20"/>
                <w:szCs w:val="20"/>
              </w:rPr>
              <w:t>Обща изравнителна субсидия</w:t>
            </w:r>
          </w:p>
        </w:tc>
        <w:tc>
          <w:tcPr>
            <w:tcW w:w="1309" w:type="dxa"/>
            <w:tcBorders>
              <w:top w:val="nil"/>
              <w:left w:val="nil"/>
              <w:bottom w:val="nil"/>
              <w:right w:val="nil"/>
            </w:tcBorders>
            <w:shd w:val="clear" w:color="auto" w:fill="auto"/>
            <w:noWrap/>
            <w:vAlign w:val="center"/>
            <w:hideMark/>
          </w:tcPr>
          <w:p w14:paraId="46779EBF"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255 658,0</w:t>
            </w:r>
          </w:p>
        </w:tc>
        <w:tc>
          <w:tcPr>
            <w:tcW w:w="1154" w:type="dxa"/>
            <w:tcBorders>
              <w:top w:val="nil"/>
              <w:left w:val="nil"/>
              <w:bottom w:val="nil"/>
              <w:right w:val="nil"/>
            </w:tcBorders>
            <w:shd w:val="clear" w:color="auto" w:fill="auto"/>
            <w:noWrap/>
            <w:vAlign w:val="center"/>
            <w:hideMark/>
          </w:tcPr>
          <w:p w14:paraId="7611E046"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255 658,0</w:t>
            </w:r>
          </w:p>
        </w:tc>
        <w:tc>
          <w:tcPr>
            <w:tcW w:w="1383" w:type="dxa"/>
            <w:tcBorders>
              <w:top w:val="nil"/>
              <w:left w:val="nil"/>
              <w:bottom w:val="nil"/>
              <w:right w:val="nil"/>
            </w:tcBorders>
            <w:shd w:val="clear" w:color="auto" w:fill="auto"/>
            <w:noWrap/>
            <w:vAlign w:val="center"/>
            <w:hideMark/>
          </w:tcPr>
          <w:p w14:paraId="26D5C3EF"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0,0</w:t>
            </w:r>
          </w:p>
        </w:tc>
        <w:tc>
          <w:tcPr>
            <w:tcW w:w="1103" w:type="dxa"/>
            <w:tcBorders>
              <w:top w:val="nil"/>
              <w:left w:val="nil"/>
              <w:bottom w:val="nil"/>
              <w:right w:val="nil"/>
            </w:tcBorders>
            <w:shd w:val="clear" w:color="auto" w:fill="auto"/>
            <w:noWrap/>
            <w:vAlign w:val="center"/>
            <w:hideMark/>
          </w:tcPr>
          <w:p w14:paraId="71CA6DE1"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255 658,0</w:t>
            </w:r>
          </w:p>
        </w:tc>
        <w:tc>
          <w:tcPr>
            <w:tcW w:w="1421" w:type="dxa"/>
            <w:tcBorders>
              <w:top w:val="nil"/>
              <w:left w:val="nil"/>
              <w:bottom w:val="nil"/>
              <w:right w:val="nil"/>
            </w:tcBorders>
            <w:shd w:val="clear" w:color="auto" w:fill="auto"/>
            <w:noWrap/>
            <w:vAlign w:val="center"/>
            <w:hideMark/>
          </w:tcPr>
          <w:p w14:paraId="7DE64A91"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255 658,0</w:t>
            </w:r>
          </w:p>
        </w:tc>
      </w:tr>
      <w:tr w:rsidR="009655B0" w:rsidRPr="00915960" w14:paraId="6DFAEC7E" w14:textId="77777777" w:rsidTr="00580843">
        <w:trPr>
          <w:trHeight w:val="415"/>
        </w:trPr>
        <w:tc>
          <w:tcPr>
            <w:tcW w:w="4180" w:type="dxa"/>
            <w:tcBorders>
              <w:top w:val="nil"/>
              <w:left w:val="nil"/>
              <w:bottom w:val="nil"/>
              <w:right w:val="nil"/>
            </w:tcBorders>
            <w:shd w:val="clear" w:color="auto" w:fill="auto"/>
            <w:vAlign w:val="center"/>
            <w:hideMark/>
          </w:tcPr>
          <w:p w14:paraId="34DF9E35" w14:textId="77777777" w:rsidR="009655B0" w:rsidRPr="00915960" w:rsidRDefault="009655B0" w:rsidP="00643B7B">
            <w:pPr>
              <w:spacing w:after="0"/>
              <w:ind w:firstLineChars="100" w:firstLine="200"/>
              <w:jc w:val="left"/>
              <w:rPr>
                <w:rFonts w:eastAsia="Times New Roman" w:cs="Times New Roman"/>
                <w:color w:val="000000"/>
                <w:sz w:val="20"/>
                <w:szCs w:val="20"/>
              </w:rPr>
            </w:pPr>
            <w:r w:rsidRPr="00915960">
              <w:rPr>
                <w:rFonts w:eastAsia="Times New Roman" w:cs="Times New Roman"/>
                <w:color w:val="000000"/>
                <w:sz w:val="20"/>
                <w:szCs w:val="20"/>
              </w:rPr>
              <w:t>Трансфер за зимно поддържане и снегопочистване на общински пътища</w:t>
            </w:r>
          </w:p>
        </w:tc>
        <w:tc>
          <w:tcPr>
            <w:tcW w:w="1309" w:type="dxa"/>
            <w:tcBorders>
              <w:top w:val="nil"/>
              <w:left w:val="nil"/>
              <w:bottom w:val="nil"/>
              <w:right w:val="nil"/>
            </w:tcBorders>
            <w:shd w:val="clear" w:color="auto" w:fill="auto"/>
            <w:noWrap/>
            <w:vAlign w:val="center"/>
            <w:hideMark/>
          </w:tcPr>
          <w:p w14:paraId="01C52ABA"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27 000,0</w:t>
            </w:r>
          </w:p>
        </w:tc>
        <w:tc>
          <w:tcPr>
            <w:tcW w:w="1154" w:type="dxa"/>
            <w:tcBorders>
              <w:top w:val="nil"/>
              <w:left w:val="nil"/>
              <w:bottom w:val="nil"/>
              <w:right w:val="nil"/>
            </w:tcBorders>
            <w:shd w:val="clear" w:color="auto" w:fill="auto"/>
            <w:noWrap/>
            <w:vAlign w:val="center"/>
            <w:hideMark/>
          </w:tcPr>
          <w:p w14:paraId="0404E263"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27 000,0</w:t>
            </w:r>
          </w:p>
        </w:tc>
        <w:tc>
          <w:tcPr>
            <w:tcW w:w="1383" w:type="dxa"/>
            <w:tcBorders>
              <w:top w:val="nil"/>
              <w:left w:val="nil"/>
              <w:bottom w:val="nil"/>
              <w:right w:val="nil"/>
            </w:tcBorders>
            <w:shd w:val="clear" w:color="auto" w:fill="auto"/>
            <w:noWrap/>
            <w:vAlign w:val="center"/>
            <w:hideMark/>
          </w:tcPr>
          <w:p w14:paraId="4A6DA803"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0,0</w:t>
            </w:r>
          </w:p>
        </w:tc>
        <w:tc>
          <w:tcPr>
            <w:tcW w:w="1103" w:type="dxa"/>
            <w:tcBorders>
              <w:top w:val="nil"/>
              <w:left w:val="nil"/>
              <w:bottom w:val="nil"/>
              <w:right w:val="nil"/>
            </w:tcBorders>
            <w:shd w:val="clear" w:color="auto" w:fill="auto"/>
            <w:noWrap/>
            <w:vAlign w:val="center"/>
            <w:hideMark/>
          </w:tcPr>
          <w:p w14:paraId="6BD366D3"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27 000,0</w:t>
            </w:r>
          </w:p>
        </w:tc>
        <w:tc>
          <w:tcPr>
            <w:tcW w:w="1421" w:type="dxa"/>
            <w:tcBorders>
              <w:top w:val="nil"/>
              <w:left w:val="nil"/>
              <w:bottom w:val="nil"/>
              <w:right w:val="nil"/>
            </w:tcBorders>
            <w:shd w:val="clear" w:color="auto" w:fill="auto"/>
            <w:noWrap/>
            <w:vAlign w:val="center"/>
            <w:hideMark/>
          </w:tcPr>
          <w:p w14:paraId="281CA537"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27 000,0</w:t>
            </w:r>
          </w:p>
        </w:tc>
      </w:tr>
      <w:tr w:rsidR="009655B0" w:rsidRPr="00915960" w14:paraId="0D1B5FC7" w14:textId="77777777" w:rsidTr="00580843">
        <w:trPr>
          <w:trHeight w:val="307"/>
        </w:trPr>
        <w:tc>
          <w:tcPr>
            <w:tcW w:w="4180" w:type="dxa"/>
            <w:tcBorders>
              <w:top w:val="nil"/>
              <w:left w:val="nil"/>
              <w:bottom w:val="single" w:sz="4" w:space="0" w:color="auto"/>
              <w:right w:val="nil"/>
            </w:tcBorders>
            <w:shd w:val="clear" w:color="auto" w:fill="auto"/>
            <w:noWrap/>
            <w:vAlign w:val="center"/>
            <w:hideMark/>
          </w:tcPr>
          <w:p w14:paraId="4E4FA2D8" w14:textId="77777777" w:rsidR="009655B0" w:rsidRPr="00915960" w:rsidRDefault="009655B0" w:rsidP="00643B7B">
            <w:pPr>
              <w:spacing w:after="0"/>
              <w:ind w:firstLineChars="100" w:firstLine="200"/>
              <w:jc w:val="left"/>
              <w:rPr>
                <w:rFonts w:eastAsia="Times New Roman" w:cs="Times New Roman"/>
                <w:color w:val="000000"/>
                <w:sz w:val="20"/>
                <w:szCs w:val="20"/>
              </w:rPr>
            </w:pPr>
            <w:r w:rsidRPr="00915960">
              <w:rPr>
                <w:rFonts w:eastAsia="Times New Roman" w:cs="Times New Roman"/>
                <w:color w:val="000000"/>
                <w:sz w:val="20"/>
                <w:szCs w:val="20"/>
              </w:rPr>
              <w:t>Целева субсидия за капиталови разходи</w:t>
            </w:r>
          </w:p>
        </w:tc>
        <w:tc>
          <w:tcPr>
            <w:tcW w:w="1309" w:type="dxa"/>
            <w:tcBorders>
              <w:top w:val="nil"/>
              <w:left w:val="nil"/>
              <w:bottom w:val="single" w:sz="4" w:space="0" w:color="auto"/>
              <w:right w:val="nil"/>
            </w:tcBorders>
            <w:shd w:val="clear" w:color="auto" w:fill="auto"/>
            <w:noWrap/>
            <w:vAlign w:val="center"/>
            <w:hideMark/>
          </w:tcPr>
          <w:p w14:paraId="60272916"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255 000,0</w:t>
            </w:r>
          </w:p>
        </w:tc>
        <w:tc>
          <w:tcPr>
            <w:tcW w:w="1154" w:type="dxa"/>
            <w:tcBorders>
              <w:top w:val="nil"/>
              <w:left w:val="nil"/>
              <w:bottom w:val="single" w:sz="4" w:space="0" w:color="auto"/>
              <w:right w:val="nil"/>
            </w:tcBorders>
            <w:shd w:val="clear" w:color="auto" w:fill="auto"/>
            <w:noWrap/>
            <w:vAlign w:val="center"/>
            <w:hideMark/>
          </w:tcPr>
          <w:p w14:paraId="59600B0E"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184 704,3</w:t>
            </w:r>
          </w:p>
        </w:tc>
        <w:tc>
          <w:tcPr>
            <w:tcW w:w="1383" w:type="dxa"/>
            <w:tcBorders>
              <w:top w:val="nil"/>
              <w:left w:val="nil"/>
              <w:bottom w:val="single" w:sz="4" w:space="0" w:color="auto"/>
              <w:right w:val="nil"/>
            </w:tcBorders>
            <w:shd w:val="clear" w:color="auto" w:fill="auto"/>
            <w:noWrap/>
            <w:vAlign w:val="center"/>
            <w:hideMark/>
          </w:tcPr>
          <w:p w14:paraId="5494FEA9"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70 295,7</w:t>
            </w:r>
          </w:p>
        </w:tc>
        <w:tc>
          <w:tcPr>
            <w:tcW w:w="1103" w:type="dxa"/>
            <w:tcBorders>
              <w:top w:val="nil"/>
              <w:left w:val="nil"/>
              <w:bottom w:val="single" w:sz="4" w:space="0" w:color="auto"/>
              <w:right w:val="nil"/>
            </w:tcBorders>
            <w:shd w:val="clear" w:color="auto" w:fill="auto"/>
            <w:noWrap/>
            <w:vAlign w:val="center"/>
            <w:hideMark/>
          </w:tcPr>
          <w:p w14:paraId="72FA8CC8"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255 000,0</w:t>
            </w:r>
          </w:p>
        </w:tc>
        <w:tc>
          <w:tcPr>
            <w:tcW w:w="1421" w:type="dxa"/>
            <w:tcBorders>
              <w:top w:val="nil"/>
              <w:left w:val="nil"/>
              <w:bottom w:val="single" w:sz="4" w:space="0" w:color="auto"/>
              <w:right w:val="nil"/>
            </w:tcBorders>
            <w:shd w:val="clear" w:color="auto" w:fill="auto"/>
            <w:noWrap/>
            <w:vAlign w:val="center"/>
            <w:hideMark/>
          </w:tcPr>
          <w:p w14:paraId="10F7CA5F" w14:textId="77777777" w:rsidR="009655B0" w:rsidRPr="00915960" w:rsidRDefault="009655B0" w:rsidP="00643B7B">
            <w:pPr>
              <w:spacing w:after="0"/>
              <w:jc w:val="right"/>
              <w:rPr>
                <w:rFonts w:eastAsia="Times New Roman" w:cs="Times New Roman"/>
                <w:color w:val="000000"/>
                <w:sz w:val="20"/>
                <w:szCs w:val="20"/>
              </w:rPr>
            </w:pPr>
            <w:r w:rsidRPr="00915960">
              <w:rPr>
                <w:rFonts w:eastAsia="Times New Roman" w:cs="Times New Roman"/>
                <w:color w:val="000000"/>
                <w:sz w:val="20"/>
                <w:szCs w:val="20"/>
              </w:rPr>
              <w:t>255 000,0</w:t>
            </w:r>
          </w:p>
        </w:tc>
      </w:tr>
    </w:tbl>
    <w:p w14:paraId="6E3610C9" w14:textId="77777777" w:rsidR="001524A0" w:rsidRPr="00EA6851" w:rsidRDefault="001524A0" w:rsidP="001524A0">
      <w:pPr>
        <w:jc w:val="right"/>
        <w:rPr>
          <w:sz w:val="20"/>
          <w:szCs w:val="20"/>
        </w:rPr>
      </w:pPr>
      <w:r w:rsidRPr="00EA6851">
        <w:rPr>
          <w:sz w:val="20"/>
          <w:szCs w:val="20"/>
        </w:rPr>
        <w:t>Източник: МФ</w:t>
      </w:r>
    </w:p>
    <w:p w14:paraId="2B2ED167" w14:textId="77777777" w:rsidR="00046D2A" w:rsidRDefault="00046D2A" w:rsidP="00046D2A">
      <w:pPr>
        <w:spacing w:after="120"/>
      </w:pPr>
      <w:r w:rsidRPr="00C6226D">
        <w:t xml:space="preserve">В прогнозата за 2026 г. са разчетени </w:t>
      </w:r>
      <w:r w:rsidRPr="00C6226D">
        <w:rPr>
          <w:b/>
        </w:rPr>
        <w:t>основни бюджетни взаимоотношения между общините и централния бюджет</w:t>
      </w:r>
      <w:r w:rsidRPr="00C6226D">
        <w:t xml:space="preserve"> в общ размер </w:t>
      </w:r>
      <w:r>
        <w:t>5 035,6</w:t>
      </w:r>
      <w:r w:rsidRPr="00C6226D">
        <w:t xml:space="preserve"> млн. евро, от които обща субсидия за делегираните от държавата дейности – </w:t>
      </w:r>
      <w:r>
        <w:t>4 498,0</w:t>
      </w:r>
      <w:r w:rsidRPr="00C6226D">
        <w:t xml:space="preserve"> млн. евро; обща изравнителна субсидия – 255,</w:t>
      </w:r>
      <w:r>
        <w:t>6</w:t>
      </w:r>
      <w:r w:rsidRPr="00C6226D">
        <w:t xml:space="preserve"> млн. евро; трансфер за зимно поддържане и снегопочистване на общински пътища – 27,0 млн. евро; целева субсидия за капиталови разходи – 255,0 млн. евро.</w:t>
      </w:r>
    </w:p>
    <w:p w14:paraId="3E2422ED" w14:textId="77777777" w:rsidR="00AA15E0" w:rsidRDefault="003209C5" w:rsidP="00185DAB">
      <w:pPr>
        <w:spacing w:after="120"/>
        <w:rPr>
          <w:b/>
          <w:u w:val="single"/>
        </w:rPr>
      </w:pPr>
      <w:r w:rsidRPr="003209C5">
        <w:t xml:space="preserve">Допълнително в бюджетните взаимоотношения между централния бюджет и бюджетите на общините като трансфер за други целеви разходи за местни дейности са предвидени </w:t>
      </w:r>
      <w:r w:rsidR="0066108F" w:rsidRPr="0066108F">
        <w:t>4</w:t>
      </w:r>
      <w:r w:rsidR="0066108F" w:rsidRPr="00FB213C">
        <w:t>2</w:t>
      </w:r>
      <w:r w:rsidR="0066108F" w:rsidRPr="0066108F">
        <w:t>,</w:t>
      </w:r>
      <w:r w:rsidR="0066108F" w:rsidRPr="00FB213C">
        <w:t>2</w:t>
      </w:r>
      <w:r w:rsidRPr="003209C5">
        <w:t xml:space="preserve"> млн. евро за достигане на минималната работна заплата за 2026 г. в местните дейности на общините. Разпределението на средствата по общини е на база относителния </w:t>
      </w:r>
      <w:r w:rsidRPr="003209C5">
        <w:lastRenderedPageBreak/>
        <w:t>дял на разходите за заплати и възнаграждения на конкретната община в съответната функция в местните дейности спрямо общия им размер във функцията и съобразно теглото на всяка функция, определено чрез относителния дял на броя персонал на минимална работна заплата за всяка функция в местни дейности спрямо общия брой персонал на минимална работна заплата в местни дейности по данни от отчета за касовото изпълнение на бюджета на общината към 31 декември 2024 г. и справката за натурални показатели към него.</w:t>
      </w:r>
      <w:bookmarkStart w:id="328" w:name="_Toc464464927"/>
      <w:bookmarkStart w:id="329" w:name="_Toc464465433"/>
      <w:bookmarkStart w:id="330" w:name="_Toc464465621"/>
      <w:bookmarkStart w:id="331" w:name="_Toc464466446"/>
      <w:bookmarkStart w:id="332" w:name="_Toc464466690"/>
      <w:bookmarkStart w:id="333" w:name="_Toc464466733"/>
      <w:bookmarkStart w:id="334" w:name="_Toc464470240"/>
      <w:bookmarkStart w:id="335" w:name="_Toc464645006"/>
      <w:bookmarkStart w:id="336" w:name="_Toc464646373"/>
    </w:p>
    <w:p w14:paraId="0B5CB505" w14:textId="77777777" w:rsidR="00AA15E0" w:rsidRPr="006F08F9" w:rsidRDefault="00AA15E0" w:rsidP="00882A3B">
      <w:pPr>
        <w:rPr>
          <w:b/>
          <w:u w:val="single"/>
        </w:rPr>
        <w:sectPr w:rsidR="00AA15E0" w:rsidRPr="006F08F9" w:rsidSect="002D7CED">
          <w:type w:val="oddPage"/>
          <w:pgSz w:w="11906" w:h="16838" w:code="9"/>
          <w:pgMar w:top="1418" w:right="1418" w:bottom="851" w:left="1418" w:header="708" w:footer="708" w:gutter="0"/>
          <w:cols w:space="708"/>
          <w:titlePg/>
          <w:docGrid w:linePitch="360"/>
        </w:sectPr>
      </w:pPr>
    </w:p>
    <w:bookmarkStart w:id="337" w:name="_Toc216029356"/>
    <w:p w14:paraId="7E9928E6" w14:textId="77777777" w:rsidR="00877FB1" w:rsidRPr="00AA15E0" w:rsidRDefault="00500285" w:rsidP="00076449">
      <w:pPr>
        <w:pStyle w:val="Heading1"/>
        <w:rPr>
          <w:color w:val="auto"/>
        </w:rPr>
      </w:pPr>
      <w:r w:rsidRPr="001E0DF0">
        <w:rPr>
          <w:noProof/>
        </w:rPr>
        <w:lastRenderedPageBreak/>
        <mc:AlternateContent>
          <mc:Choice Requires="wps">
            <w:drawing>
              <wp:anchor distT="0" distB="0" distL="114300" distR="114300" simplePos="0" relativeHeight="251664896" behindDoc="1" locked="0" layoutInCell="1" allowOverlap="1" wp14:anchorId="1E4B3166" wp14:editId="45B2CC61">
                <wp:simplePos x="0" y="0"/>
                <wp:positionH relativeFrom="page">
                  <wp:align>right</wp:align>
                </wp:positionH>
                <wp:positionV relativeFrom="paragraph">
                  <wp:posOffset>-1852931</wp:posOffset>
                </wp:positionV>
                <wp:extent cx="8798560" cy="3457575"/>
                <wp:effectExtent l="0" t="0" r="2540" b="9525"/>
                <wp:wrapNone/>
                <wp:docPr id="692" name="Rectangle 692"/>
                <wp:cNvGraphicFramePr/>
                <a:graphic xmlns:a="http://schemas.openxmlformats.org/drawingml/2006/main">
                  <a:graphicData uri="http://schemas.microsoft.com/office/word/2010/wordprocessingShape">
                    <wps:wsp>
                      <wps:cNvSpPr/>
                      <wps:spPr>
                        <a:xfrm>
                          <a:off x="0" y="0"/>
                          <a:ext cx="8798560" cy="3457575"/>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C834" id="Rectangle 692" o:spid="_x0000_s1026" style="position:absolute;margin-left:641.6pt;margin-top:-145.9pt;width:692.8pt;height:272.25pt;z-index:-2516515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" fillcolor="#f8cec7 [662]" stroked="f" strokeweight="1pt">
                <w10:wrap anchorx="page"/>
              </v:rect>
            </w:pict>
          </mc:Fallback>
        </mc:AlternateContent>
      </w:r>
      <w:r w:rsidR="001E0DF0" w:rsidRPr="001E0DF0">
        <w:rPr>
          <w:noProof/>
        </w:rPr>
        <mc:AlternateContent>
          <mc:Choice Requires="wps">
            <w:drawing>
              <wp:anchor distT="0" distB="0" distL="114300" distR="114300" simplePos="0" relativeHeight="251667968" behindDoc="0" locked="0" layoutInCell="1" allowOverlap="1" wp14:anchorId="77577329" wp14:editId="70E9E87F">
                <wp:simplePos x="0" y="0"/>
                <wp:positionH relativeFrom="column">
                  <wp:posOffset>-898525</wp:posOffset>
                </wp:positionH>
                <wp:positionV relativeFrom="paragraph">
                  <wp:posOffset>1618463</wp:posOffset>
                </wp:positionV>
                <wp:extent cx="7560310" cy="0"/>
                <wp:effectExtent l="0" t="0" r="21590" b="19050"/>
                <wp:wrapNone/>
                <wp:docPr id="693" name="Straight Connector 693"/>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960F9C" id="Straight Connector 693"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70.75pt,127.45pt" to="524.5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" strokecolor="#b32c16 [3206]"/>
            </w:pict>
          </mc:Fallback>
        </mc:AlternateContent>
      </w:r>
      <w:r w:rsidR="00AA3035" w:rsidRPr="00076449">
        <w:rPr>
          <w:color w:val="auto"/>
        </w:rPr>
        <w:br/>
      </w:r>
      <w:bookmarkStart w:id="338" w:name="_Toc465205556"/>
      <w:r w:rsidR="00877FB1" w:rsidRPr="001E0DF0">
        <w:rPr>
          <w:color w:val="auto"/>
        </w:rPr>
        <w:t>Управление на средствата от европейските ф</w:t>
      </w:r>
      <w:r w:rsidR="002A37C0">
        <w:rPr>
          <w:color w:val="auto"/>
        </w:rPr>
        <w:t>о</w:t>
      </w:r>
      <w:r w:rsidR="00AD7791">
        <w:rPr>
          <w:color w:val="auto"/>
        </w:rPr>
        <w:t>ндове и програми за пери</w:t>
      </w:r>
      <w:r w:rsidR="00CE2497">
        <w:rPr>
          <w:color w:val="auto"/>
        </w:rPr>
        <w:t>ода 2026</w:t>
      </w:r>
      <w:r w:rsidR="00656F22">
        <w:rPr>
          <w:color w:val="auto"/>
        </w:rPr>
        <w:t>-2028</w:t>
      </w:r>
      <w:r w:rsidR="00AA3035" w:rsidRPr="001E0DF0">
        <w:rPr>
          <w:color w:val="auto"/>
        </w:rPr>
        <w:t> г.</w:t>
      </w:r>
      <w:bookmarkEnd w:id="328"/>
      <w:bookmarkEnd w:id="329"/>
      <w:bookmarkEnd w:id="330"/>
      <w:bookmarkEnd w:id="331"/>
      <w:bookmarkEnd w:id="332"/>
      <w:bookmarkEnd w:id="333"/>
      <w:bookmarkEnd w:id="334"/>
      <w:bookmarkEnd w:id="335"/>
      <w:bookmarkEnd w:id="336"/>
      <w:bookmarkEnd w:id="337"/>
      <w:bookmarkEnd w:id="338"/>
    </w:p>
    <w:p w14:paraId="54C30693" w14:textId="77777777" w:rsidR="007E4B3A" w:rsidRDefault="00853713" w:rsidP="000B315F">
      <w:pPr>
        <w:pStyle w:val="Heading2"/>
        <w:numPr>
          <w:ilvl w:val="1"/>
          <w:numId w:val="3"/>
        </w:numPr>
        <w:ind w:hanging="270"/>
      </w:pPr>
      <w:bookmarkStart w:id="339" w:name="_Toc184128035"/>
      <w:bookmarkStart w:id="340" w:name="_Toc184128080"/>
      <w:bookmarkStart w:id="341" w:name="_Toc184128169"/>
      <w:bookmarkStart w:id="342" w:name="_Toc216029357"/>
      <w:bookmarkStart w:id="343" w:name="_Toc464224804"/>
      <w:bookmarkStart w:id="344" w:name="_Toc464225454"/>
      <w:bookmarkStart w:id="345" w:name="_Toc464459001"/>
      <w:bookmarkStart w:id="346" w:name="_Toc464459749"/>
      <w:bookmarkStart w:id="347" w:name="_Toc464460702"/>
      <w:bookmarkStart w:id="348" w:name="_Toc464463101"/>
      <w:bookmarkStart w:id="349" w:name="_Toc464464930"/>
      <w:bookmarkStart w:id="350" w:name="_Toc464465434"/>
      <w:bookmarkStart w:id="351" w:name="_Toc464465622"/>
      <w:bookmarkStart w:id="352" w:name="_Toc464466447"/>
      <w:bookmarkStart w:id="353" w:name="_Toc464466691"/>
      <w:bookmarkStart w:id="354" w:name="_Toc464645007"/>
      <w:bookmarkStart w:id="355" w:name="_Toc465205557"/>
      <w:r w:rsidRPr="00006A45">
        <w:t>Н</w:t>
      </w:r>
      <w:r w:rsidR="007E4B3A">
        <w:t>ационален фонд</w:t>
      </w:r>
      <w:bookmarkEnd w:id="339"/>
      <w:bookmarkEnd w:id="340"/>
      <w:bookmarkEnd w:id="341"/>
      <w:bookmarkEnd w:id="342"/>
    </w:p>
    <w:p w14:paraId="58E01B87" w14:textId="77777777" w:rsidR="001D6A78" w:rsidRPr="001D6A78" w:rsidRDefault="001D6A78" w:rsidP="000B315F">
      <w:pPr>
        <w:rPr>
          <w:lang w:eastAsia="en-GB"/>
        </w:rPr>
      </w:pPr>
      <w:r w:rsidRPr="001D6A78">
        <w:rPr>
          <w:lang w:eastAsia="en-GB"/>
        </w:rPr>
        <w:t>В рамките на сметката за средства от Европейския съюз на Националния фонд (ССЕС на НФ) се планират приходите и разходите за периода 2026-2028 г. по програми, съфинансирани от Европейския социален фонд+ (ЕСФ+), Европейския фонд за регионално развитие (ЕФРР), Кохезионния фонд (КФ), Националния план за възстановяване и устойчивост (НПВУ), Социалния фонд за климата, двустранните програми за трансгранично сътрудничество по външни граници (ПТГС) на Европейския съюз и програмите, съфинансирани от Финансовия механизъм на Европейското икономическо пространство (ФМ на ЕИП), Норвежкия финансов механизъм (НФМ) и Швейцарско-Българска програма за сътрудничество (ШБПС).</w:t>
      </w:r>
    </w:p>
    <w:bookmarkEnd w:id="343"/>
    <w:bookmarkEnd w:id="344"/>
    <w:bookmarkEnd w:id="345"/>
    <w:bookmarkEnd w:id="346"/>
    <w:bookmarkEnd w:id="347"/>
    <w:bookmarkEnd w:id="348"/>
    <w:bookmarkEnd w:id="349"/>
    <w:bookmarkEnd w:id="350"/>
    <w:bookmarkEnd w:id="351"/>
    <w:bookmarkEnd w:id="352"/>
    <w:bookmarkEnd w:id="353"/>
    <w:bookmarkEnd w:id="354"/>
    <w:bookmarkEnd w:id="355"/>
    <w:p w14:paraId="288CF9FD" w14:textId="77777777" w:rsidR="00D4311E" w:rsidRPr="007100B2" w:rsidRDefault="00EE2370" w:rsidP="000B315F">
      <w:pPr>
        <w:pStyle w:val="Heading3"/>
        <w:spacing w:before="0" w:after="200"/>
        <w:ind w:left="0"/>
      </w:pPr>
      <w:r>
        <w:t>Приходна</w:t>
      </w:r>
      <w:r w:rsidR="00E42934">
        <w:t xml:space="preserve"> част</w:t>
      </w:r>
    </w:p>
    <w:p w14:paraId="435F209F" w14:textId="77777777" w:rsidR="001D6A78" w:rsidRPr="001D6A78" w:rsidRDefault="001D6A78" w:rsidP="000B315F">
      <w:pPr>
        <w:rPr>
          <w:lang w:eastAsia="en-GB"/>
        </w:rPr>
      </w:pPr>
      <w:r w:rsidRPr="001D6A78">
        <w:rPr>
          <w:lang w:eastAsia="en-GB"/>
        </w:rPr>
        <w:t xml:space="preserve">Прогнозните приходи включват: определения индикативен размер на средствата, които се очаква да бъдат възстановени от Европейската комисия (ЕК) през периода и са изчислени, като са взети под внимание следните особености: </w:t>
      </w:r>
    </w:p>
    <w:p w14:paraId="33735911" w14:textId="77777777" w:rsidR="001D6A78" w:rsidRPr="001D6A78" w:rsidRDefault="001D6A78" w:rsidP="000B315F">
      <w:pPr>
        <w:numPr>
          <w:ilvl w:val="0"/>
          <w:numId w:val="19"/>
        </w:numPr>
        <w:rPr>
          <w:lang w:eastAsia="en-GB"/>
        </w:rPr>
      </w:pPr>
      <w:r w:rsidRPr="001D6A78">
        <w:rPr>
          <w:lang w:eastAsia="en-GB"/>
        </w:rPr>
        <w:t>предварителното годишно финансиране по програмите, съфинансирани от ЕСФ+, ЕФРР и КФ за програмен период 2021-2027 г.</w:t>
      </w:r>
      <w:r>
        <w:rPr>
          <w:lang w:eastAsia="en-GB"/>
        </w:rPr>
        <w:t>;</w:t>
      </w:r>
      <w:r w:rsidRPr="001D6A78">
        <w:rPr>
          <w:lang w:eastAsia="en-GB"/>
        </w:rPr>
        <w:t xml:space="preserve"> </w:t>
      </w:r>
    </w:p>
    <w:p w14:paraId="6B2CAAD4" w14:textId="77777777" w:rsidR="001D6A78" w:rsidRPr="001D6A78" w:rsidRDefault="001D6A78" w:rsidP="000B315F">
      <w:pPr>
        <w:numPr>
          <w:ilvl w:val="0"/>
          <w:numId w:val="19"/>
        </w:numPr>
        <w:rPr>
          <w:lang w:eastAsia="en-GB"/>
        </w:rPr>
      </w:pPr>
      <w:r w:rsidRPr="001D6A78">
        <w:rPr>
          <w:lang w:eastAsia="en-GB"/>
        </w:rPr>
        <w:t>определения индикативен размер на разходите, които се планира да бъдат заявени и възстановени от ЕК по програмите, съфинансирани от ЕСФ+, ЕФРР и КФ за програмен период 2021-2027 г.</w:t>
      </w:r>
      <w:r>
        <w:rPr>
          <w:lang w:eastAsia="en-GB"/>
        </w:rPr>
        <w:t>;</w:t>
      </w:r>
      <w:r w:rsidRPr="001D6A78">
        <w:rPr>
          <w:lang w:eastAsia="en-GB"/>
        </w:rPr>
        <w:t xml:space="preserve"> </w:t>
      </w:r>
    </w:p>
    <w:p w14:paraId="2BA27610" w14:textId="77777777" w:rsidR="001D6A78" w:rsidRPr="001D6A78" w:rsidRDefault="001D6A78" w:rsidP="000B315F">
      <w:pPr>
        <w:numPr>
          <w:ilvl w:val="0"/>
          <w:numId w:val="19"/>
        </w:numPr>
        <w:rPr>
          <w:lang w:eastAsia="en-GB"/>
        </w:rPr>
      </w:pPr>
      <w:r w:rsidRPr="001D6A78">
        <w:rPr>
          <w:lang w:eastAsia="en-GB"/>
        </w:rPr>
        <w:t>приходите по Механизма за възстановяване и устойчивост, които са прогнозирани въз основа на профила на плащанията, договорен с европейските служби при ревизирането на Плана по линия на чл. 21 от Регламент (ЕС) 2021/241</w:t>
      </w:r>
      <w:r>
        <w:rPr>
          <w:lang w:eastAsia="en-GB"/>
        </w:rPr>
        <w:t>;</w:t>
      </w:r>
    </w:p>
    <w:p w14:paraId="1297FEC9" w14:textId="77777777" w:rsidR="001D6A78" w:rsidRPr="001D6A78" w:rsidRDefault="001D6A78" w:rsidP="000B315F">
      <w:pPr>
        <w:numPr>
          <w:ilvl w:val="0"/>
          <w:numId w:val="19"/>
        </w:numPr>
        <w:rPr>
          <w:lang w:eastAsia="en-GB"/>
        </w:rPr>
      </w:pPr>
      <w:r w:rsidRPr="001D6A78">
        <w:rPr>
          <w:lang w:eastAsia="en-GB"/>
        </w:rPr>
        <w:t>приходите по програмите, съфинансирани от Финансовия механизъм на Европейското икономическо пространство, Норвежкия финансов механизъм и Швейцарско-Българската програма за сътрудничество, които се базират на прогнозите за плащания по договори с бенефициенти и разходите на отделните органи и на Програмните оператори за дейности по управление на програмите.</w:t>
      </w:r>
    </w:p>
    <w:p w14:paraId="6C16169F" w14:textId="77777777" w:rsidR="001D6A78" w:rsidRPr="001D6A78" w:rsidRDefault="001D6A78" w:rsidP="000B315F">
      <w:pPr>
        <w:rPr>
          <w:b/>
          <w:lang w:eastAsia="en-GB"/>
        </w:rPr>
      </w:pPr>
      <w:r w:rsidRPr="001D6A78">
        <w:rPr>
          <w:b/>
          <w:lang w:eastAsia="en-GB"/>
        </w:rPr>
        <w:t xml:space="preserve">Рискове за изпълнение на прогнозите за приходите по програмите в рамките на ССЕС на НФ: </w:t>
      </w:r>
    </w:p>
    <w:p w14:paraId="266EB50B" w14:textId="77777777" w:rsidR="001D6A78" w:rsidRPr="001D6A78" w:rsidRDefault="001D6A78" w:rsidP="000B315F">
      <w:pPr>
        <w:numPr>
          <w:ilvl w:val="0"/>
          <w:numId w:val="19"/>
        </w:numPr>
        <w:rPr>
          <w:lang w:eastAsia="en-GB"/>
        </w:rPr>
      </w:pPr>
      <w:r w:rsidRPr="001D6A78">
        <w:rPr>
          <w:lang w:eastAsia="en-GB"/>
        </w:rPr>
        <w:lastRenderedPageBreak/>
        <w:t>изпълнението на заложените приходи по програмите от програмен период 2021-2027 г. е пряко обвързано с изпълнението на разходите, което от гледна точка на салдото се очаква да има неутрален ефект, т</w:t>
      </w:r>
      <w:r>
        <w:rPr>
          <w:lang w:eastAsia="en-GB"/>
        </w:rPr>
        <w:t>ъй като</w:t>
      </w:r>
      <w:r w:rsidRPr="001D6A78">
        <w:rPr>
          <w:lang w:eastAsia="en-GB"/>
        </w:rPr>
        <w:t xml:space="preserve"> при неизпълнение на разходите се очаква съответно и неизпълнение на приходите;</w:t>
      </w:r>
    </w:p>
    <w:p w14:paraId="00243467" w14:textId="77777777" w:rsidR="001D6A78" w:rsidRPr="000C07B4" w:rsidRDefault="001D6A78" w:rsidP="000B315F">
      <w:pPr>
        <w:numPr>
          <w:ilvl w:val="0"/>
          <w:numId w:val="19"/>
        </w:numPr>
        <w:rPr>
          <w:lang w:eastAsia="en-GB"/>
        </w:rPr>
      </w:pPr>
      <w:r w:rsidRPr="001D6A78">
        <w:rPr>
          <w:lang w:eastAsia="en-GB"/>
        </w:rPr>
        <w:t>приходите по НПВУ са повлияни от липсата на пряка зависимост между изпълнението на приходите и разходите поради самото естество на Механизма, който е резултатно ориентиран в изпълнение на заложените етапи и цели. Неизпълнението на етапите и целите по инвестициите и реформите в Плана през 2026 г., която е последна година за неговото изпълнение ще формира дисбаланс по отношение на салдото по сметката за средства от ЕС на Национален фонд при реализиране на всички разходи по инвестициите в обхвата на Плана.</w:t>
      </w:r>
    </w:p>
    <w:p w14:paraId="07FAF8E3" w14:textId="77777777" w:rsidR="00D4311E" w:rsidRPr="00AA3F66" w:rsidRDefault="00EE2370" w:rsidP="000B315F">
      <w:pPr>
        <w:pStyle w:val="Heading3"/>
        <w:spacing w:before="0" w:after="200"/>
        <w:ind w:left="0"/>
      </w:pPr>
      <w:r>
        <w:t>Разходна</w:t>
      </w:r>
      <w:r w:rsidR="00E42934" w:rsidRPr="00AA3F66">
        <w:t xml:space="preserve"> част</w:t>
      </w:r>
    </w:p>
    <w:p w14:paraId="422AC90D" w14:textId="77777777" w:rsidR="001D6A78" w:rsidRPr="001D6A78" w:rsidRDefault="001D6A78" w:rsidP="000B315F">
      <w:pPr>
        <w:rPr>
          <w:rFonts w:eastAsia="Batang"/>
        </w:rPr>
      </w:pPr>
      <w:bookmarkStart w:id="356" w:name="_Toc464737647"/>
      <w:bookmarkStart w:id="357" w:name="_Toc464829366"/>
      <w:r w:rsidRPr="001D6A78">
        <w:rPr>
          <w:rFonts w:eastAsia="Batang"/>
        </w:rPr>
        <w:t xml:space="preserve">При планирането на разходите по програмите в рамките на ССЕС на НФ са взети под внимание следните допускания: </w:t>
      </w:r>
    </w:p>
    <w:p w14:paraId="7E6FBC7E" w14:textId="77777777" w:rsidR="001D6A78" w:rsidRPr="001D6A78" w:rsidRDefault="001D6A78" w:rsidP="000B315F">
      <w:pPr>
        <w:numPr>
          <w:ilvl w:val="0"/>
          <w:numId w:val="19"/>
        </w:numPr>
        <w:rPr>
          <w:lang w:eastAsia="en-GB"/>
        </w:rPr>
      </w:pPr>
      <w:r w:rsidRPr="001D6A78">
        <w:rPr>
          <w:lang w:eastAsia="en-GB"/>
        </w:rPr>
        <w:t xml:space="preserve">етапът на изпълнение на програмите и инструментите от гледна точка на крайния срок на финансовата рамка; </w:t>
      </w:r>
    </w:p>
    <w:p w14:paraId="1F9F3B51" w14:textId="77777777" w:rsidR="001D6A78" w:rsidRPr="001D6A78" w:rsidRDefault="001D6A78" w:rsidP="000B315F">
      <w:pPr>
        <w:numPr>
          <w:ilvl w:val="0"/>
          <w:numId w:val="19"/>
        </w:numPr>
        <w:rPr>
          <w:lang w:eastAsia="en-GB"/>
        </w:rPr>
      </w:pPr>
      <w:r w:rsidRPr="001D6A78">
        <w:rPr>
          <w:lang w:eastAsia="en-GB"/>
        </w:rPr>
        <w:t xml:space="preserve">прогнозите за разходите (плащанията към бенефициенти /крайни получатели), които изготвят Управляващите органи, Програмните оператори и договарящите структури за периода 2026-2028 г.; </w:t>
      </w:r>
    </w:p>
    <w:p w14:paraId="3AB34A8C" w14:textId="77777777" w:rsidR="001D6A78" w:rsidRPr="001D6A78" w:rsidRDefault="001D6A78" w:rsidP="000B315F">
      <w:pPr>
        <w:numPr>
          <w:ilvl w:val="0"/>
          <w:numId w:val="19"/>
        </w:numPr>
        <w:rPr>
          <w:lang w:eastAsia="en-GB"/>
        </w:rPr>
      </w:pPr>
      <w:r w:rsidRPr="001D6A78">
        <w:rPr>
          <w:lang w:eastAsia="en-GB"/>
        </w:rPr>
        <w:t>историческите данни за изпълнението на прогнозите, предоставяни от Управляващите органи, Програмните оператори и другите структури</w:t>
      </w:r>
      <w:r w:rsidR="00AE7185">
        <w:rPr>
          <w:lang w:eastAsia="en-GB"/>
        </w:rPr>
        <w:t>,</w:t>
      </w:r>
      <w:r w:rsidRPr="001D6A78">
        <w:rPr>
          <w:lang w:eastAsia="en-GB"/>
        </w:rPr>
        <w:t xml:space="preserve"> отговорни за управлението на програмите от предходни години като база за анализ и оценка;</w:t>
      </w:r>
    </w:p>
    <w:p w14:paraId="0B3FB893" w14:textId="77777777" w:rsidR="001D6A78" w:rsidRPr="001D6A78" w:rsidRDefault="001D6A78" w:rsidP="000B315F">
      <w:pPr>
        <w:numPr>
          <w:ilvl w:val="0"/>
          <w:numId w:val="19"/>
        </w:numPr>
        <w:rPr>
          <w:lang w:eastAsia="en-GB"/>
        </w:rPr>
      </w:pPr>
      <w:r w:rsidRPr="001D6A78">
        <w:rPr>
          <w:lang w:eastAsia="en-GB"/>
        </w:rPr>
        <w:t xml:space="preserve">спецификите на отделните програми от гледна точка на икономическата област, към която са насочени, структура на програмите и проектите, тип бенефициенти и др.; </w:t>
      </w:r>
    </w:p>
    <w:p w14:paraId="26989F78" w14:textId="77777777" w:rsidR="001D6A78" w:rsidRPr="001D6A78" w:rsidRDefault="001D6A78" w:rsidP="000B315F">
      <w:pPr>
        <w:numPr>
          <w:ilvl w:val="0"/>
          <w:numId w:val="19"/>
        </w:numPr>
        <w:rPr>
          <w:lang w:eastAsia="en-GB"/>
        </w:rPr>
      </w:pPr>
      <w:r w:rsidRPr="001D6A78">
        <w:rPr>
          <w:lang w:eastAsia="en-GB"/>
        </w:rPr>
        <w:t>договорените до момента средства по отделните програми и темпа на разплащане по вече сключени договори, както и готовността за договаряне по стартирали схеми за подбор и финансиране;</w:t>
      </w:r>
    </w:p>
    <w:p w14:paraId="482A7DAF" w14:textId="77777777" w:rsidR="001D6A78" w:rsidRPr="00AE7185" w:rsidRDefault="001D6A78" w:rsidP="000B315F">
      <w:pPr>
        <w:numPr>
          <w:ilvl w:val="0"/>
          <w:numId w:val="19"/>
        </w:numPr>
        <w:rPr>
          <w:lang w:eastAsia="en-GB"/>
        </w:rPr>
      </w:pPr>
      <w:r w:rsidRPr="001D6A78">
        <w:rPr>
          <w:lang w:eastAsia="en-GB"/>
        </w:rPr>
        <w:t xml:space="preserve">периода на допустимост на разходите по програмите и инструментите и възможностите за използване на облекчения, които се предоставят чрез адаптиране на финансовата рамка за специфични дейности като отбрана, </w:t>
      </w:r>
      <w:proofErr w:type="spellStart"/>
      <w:r w:rsidRPr="001D6A78">
        <w:rPr>
          <w:lang w:eastAsia="en-GB"/>
        </w:rPr>
        <w:t>декарбонизация</w:t>
      </w:r>
      <w:proofErr w:type="spellEnd"/>
      <w:r w:rsidRPr="001D6A78">
        <w:rPr>
          <w:lang w:eastAsia="en-GB"/>
        </w:rPr>
        <w:t xml:space="preserve"> и др.;</w:t>
      </w:r>
    </w:p>
    <w:p w14:paraId="21247A2B" w14:textId="77777777" w:rsidR="001D6A78" w:rsidRPr="001D6A78" w:rsidRDefault="001D6A78" w:rsidP="000B315F">
      <w:pPr>
        <w:rPr>
          <w:rFonts w:eastAsia="Batang"/>
          <w:b/>
        </w:rPr>
      </w:pPr>
      <w:r w:rsidRPr="001D6A78">
        <w:rPr>
          <w:rFonts w:eastAsia="Batang"/>
          <w:b/>
        </w:rPr>
        <w:t>Рискове за изпълнение на прогнозите за разходите по програмите в рамките на ССЕС на НФ:</w:t>
      </w:r>
    </w:p>
    <w:p w14:paraId="0F6F8410" w14:textId="77777777" w:rsidR="001D6A78" w:rsidRPr="001D6A78" w:rsidRDefault="001D6A78" w:rsidP="000B315F">
      <w:pPr>
        <w:numPr>
          <w:ilvl w:val="0"/>
          <w:numId w:val="19"/>
        </w:numPr>
        <w:rPr>
          <w:lang w:eastAsia="en-GB"/>
        </w:rPr>
      </w:pPr>
      <w:r w:rsidRPr="001D6A78">
        <w:rPr>
          <w:lang w:eastAsia="en-GB"/>
        </w:rPr>
        <w:t xml:space="preserve">разходите по НПВУ и програмите от програмен период 2021-2027 г. са пряко зависими от наличието на проектна готовност и административен капацитет, което при създалото се струпване на дейности по приключване на инвестициите по </w:t>
      </w:r>
      <w:r w:rsidR="00F727FC">
        <w:rPr>
          <w:lang w:eastAsia="en-GB"/>
        </w:rPr>
        <w:t>Механ</w:t>
      </w:r>
      <w:r w:rsidR="001363E7">
        <w:rPr>
          <w:lang w:eastAsia="en-GB"/>
        </w:rPr>
        <w:t>изма за възстановяване и устойч</w:t>
      </w:r>
      <w:r w:rsidR="00F727FC">
        <w:rPr>
          <w:lang w:eastAsia="en-GB"/>
        </w:rPr>
        <w:t>ивост (</w:t>
      </w:r>
      <w:r w:rsidRPr="001D6A78">
        <w:rPr>
          <w:lang w:eastAsia="en-GB"/>
        </w:rPr>
        <w:t>МВУ</w:t>
      </w:r>
      <w:r w:rsidR="00F727FC">
        <w:rPr>
          <w:lang w:eastAsia="en-GB"/>
        </w:rPr>
        <w:t>)</w:t>
      </w:r>
      <w:r w:rsidRPr="001D6A78">
        <w:rPr>
          <w:lang w:eastAsia="en-GB"/>
        </w:rPr>
        <w:t xml:space="preserve"> и достигане на същински етап на изпълнение на тези от програмен период 2021-2027 г. създава риск от забавяне и неизпълнението в срока на съответната финансова рамка. </w:t>
      </w:r>
    </w:p>
    <w:p w14:paraId="442A1561" w14:textId="77777777" w:rsidR="001D6A78" w:rsidRPr="001D6A78" w:rsidRDefault="00F6534A" w:rsidP="000B315F">
      <w:pPr>
        <w:numPr>
          <w:ilvl w:val="0"/>
          <w:numId w:val="19"/>
        </w:numPr>
        <w:rPr>
          <w:lang w:eastAsia="en-GB"/>
        </w:rPr>
      </w:pPr>
      <w:r w:rsidRPr="00F6534A">
        <w:rPr>
          <w:lang w:eastAsia="en-GB"/>
        </w:rPr>
        <w:lastRenderedPageBreak/>
        <w:t xml:space="preserve">очакваните разходи по НПВУ се основат на актуалните към момента на изготвяне на прогнозата финансови планове по инвестициите, включени в одобреното от Съвета Решение за изменение по ПВУ от 27 ноември 2025 г. </w:t>
      </w:r>
      <w:r w:rsidR="001D6A78" w:rsidRPr="001D6A78">
        <w:rPr>
          <w:lang w:eastAsia="en-GB"/>
        </w:rPr>
        <w:t xml:space="preserve">; </w:t>
      </w:r>
    </w:p>
    <w:p w14:paraId="1D831397" w14:textId="77777777" w:rsidR="001D6A78" w:rsidRPr="001D6A78" w:rsidRDefault="001D6A78" w:rsidP="000B315F">
      <w:pPr>
        <w:numPr>
          <w:ilvl w:val="0"/>
          <w:numId w:val="19"/>
        </w:numPr>
        <w:rPr>
          <w:lang w:eastAsia="en-GB"/>
        </w:rPr>
      </w:pPr>
      <w:r w:rsidRPr="00EE5361">
        <w:rPr>
          <w:lang w:eastAsia="en-GB"/>
        </w:rPr>
        <w:t>краткият срок оставащ до края на периода на допустимост за дейностите, които следва да бъдат завършени по Националния план за възстановяване и устойчивост за да бъдат отчетени в искане за плащане към ЕК, както и обвързаността на прихода с последното искане за плащане</w:t>
      </w:r>
      <w:r w:rsidRPr="001D6A78">
        <w:rPr>
          <w:lang w:eastAsia="en-GB"/>
        </w:rPr>
        <w:t xml:space="preserve">, което следва да бъде изпратено през септември и получено през декември 2026 г., повишава риска от натиск върху бюджета във второто шестмесечие на 2026 г. Това би довело до затруднена ликвидност, предвид голямата стойност на изпреварващото национално финансиране, което трябва да се осигури; </w:t>
      </w:r>
    </w:p>
    <w:p w14:paraId="48934A2B" w14:textId="77777777" w:rsidR="001D6A78" w:rsidRDefault="001D6A78" w:rsidP="000B315F">
      <w:pPr>
        <w:numPr>
          <w:ilvl w:val="0"/>
          <w:numId w:val="19"/>
        </w:numPr>
        <w:rPr>
          <w:lang w:eastAsia="en-GB"/>
        </w:rPr>
      </w:pPr>
      <w:r w:rsidRPr="001D6A78">
        <w:rPr>
          <w:lang w:eastAsia="en-GB"/>
        </w:rPr>
        <w:t>забавянето в темповете на изпълнение на проектите и изплащането на разходи по програмите, съфинансирани със средства от ЕС, спрямо планираните, особено при програмите за споделено управление от програмен период 2021-20</w:t>
      </w:r>
      <w:r w:rsidR="00203012">
        <w:rPr>
          <w:lang w:eastAsia="en-GB"/>
        </w:rPr>
        <w:t>27 г., повишава риска от</w:t>
      </w:r>
      <w:r w:rsidRPr="001D6A78">
        <w:rPr>
          <w:lang w:eastAsia="en-GB"/>
        </w:rPr>
        <w:t xml:space="preserve"> изпълнение на по-ниски разходи, което от своя страна ще се отрази в намаление на планираните приходи от ЕК през съответните години.</w:t>
      </w:r>
    </w:p>
    <w:p w14:paraId="559123F1" w14:textId="77777777" w:rsidR="000B315F" w:rsidRPr="001D6A78" w:rsidRDefault="000B315F" w:rsidP="000B315F">
      <w:pPr>
        <w:ind w:left="720"/>
        <w:rPr>
          <w:lang w:eastAsia="en-GB"/>
        </w:rPr>
      </w:pPr>
    </w:p>
    <w:p w14:paraId="3C1CC9F7" w14:textId="77777777" w:rsidR="00216D28" w:rsidRPr="00AA3F66" w:rsidRDefault="00853713" w:rsidP="000B315F">
      <w:pPr>
        <w:pStyle w:val="Heading2"/>
        <w:numPr>
          <w:ilvl w:val="1"/>
          <w:numId w:val="3"/>
        </w:numPr>
        <w:spacing w:before="0" w:after="200"/>
        <w:ind w:hanging="270"/>
      </w:pPr>
      <w:bookmarkStart w:id="358" w:name="_Toc464224805"/>
      <w:bookmarkStart w:id="359" w:name="_Toc464225455"/>
      <w:bookmarkStart w:id="360" w:name="_Toc464459002"/>
      <w:bookmarkStart w:id="361" w:name="_Toc464459750"/>
      <w:bookmarkStart w:id="362" w:name="_Toc464460703"/>
      <w:bookmarkStart w:id="363" w:name="_Toc464463102"/>
      <w:bookmarkStart w:id="364" w:name="_Toc464464931"/>
      <w:bookmarkStart w:id="365" w:name="_Toc464465435"/>
      <w:bookmarkStart w:id="366" w:name="_Toc464465623"/>
      <w:bookmarkStart w:id="367" w:name="_Toc464466448"/>
      <w:bookmarkStart w:id="368" w:name="_Toc464466692"/>
      <w:bookmarkStart w:id="369" w:name="_Toc464645008"/>
      <w:bookmarkStart w:id="370" w:name="_Toc465205560"/>
      <w:bookmarkStart w:id="371" w:name="_Toc184128036"/>
      <w:bookmarkStart w:id="372" w:name="_Toc184128081"/>
      <w:bookmarkStart w:id="373" w:name="_Toc184128170"/>
      <w:bookmarkStart w:id="374" w:name="_Toc216029358"/>
      <w:bookmarkEnd w:id="356"/>
      <w:bookmarkEnd w:id="357"/>
      <w:r w:rsidRPr="00AA3F66">
        <w:t>Д</w:t>
      </w:r>
      <w:r w:rsidR="008252A2" w:rsidRPr="00AA3F66">
        <w:t xml:space="preserve">ържавен </w:t>
      </w:r>
      <w:r w:rsidRPr="00AA3F66">
        <w:t>Ф</w:t>
      </w:r>
      <w:r w:rsidR="008252A2" w:rsidRPr="00AA3F66">
        <w:t>онд</w:t>
      </w:r>
      <w:r w:rsidR="00E42934" w:rsidRPr="00AA3F66">
        <w:t xml:space="preserve"> „Земеделие</w:t>
      </w:r>
      <w:r w:rsidRPr="00AA3F66">
        <w:t>“</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77CD469" w14:textId="77777777" w:rsidR="008F23AF" w:rsidRPr="00076449" w:rsidRDefault="008F23AF" w:rsidP="000B315F">
      <w:pPr>
        <w:pStyle w:val="Heading3"/>
        <w:spacing w:before="0" w:after="200"/>
        <w:ind w:left="0"/>
      </w:pPr>
      <w:bookmarkStart w:id="375" w:name="_Toc465070511"/>
      <w:bookmarkStart w:id="376" w:name="_Toc465205561"/>
      <w:r w:rsidRPr="00076449">
        <w:t>П</w:t>
      </w:r>
      <w:bookmarkEnd w:id="375"/>
      <w:bookmarkEnd w:id="376"/>
      <w:r w:rsidR="00E42934" w:rsidRPr="00076449">
        <w:t>риходи и постъпления</w:t>
      </w:r>
    </w:p>
    <w:p w14:paraId="4AED8527" w14:textId="77777777" w:rsidR="00417BF6" w:rsidRPr="00417BF6" w:rsidRDefault="00417BF6" w:rsidP="000B315F">
      <w:pPr>
        <w:rPr>
          <w:rFonts w:eastAsia="Times New Roman" w:cs="Times New Roman"/>
          <w:lang w:eastAsia="zh-CN"/>
        </w:rPr>
      </w:pPr>
      <w:r w:rsidRPr="00417BF6">
        <w:rPr>
          <w:rFonts w:eastAsia="Times New Roman" w:cs="Times New Roman"/>
          <w:lang w:eastAsia="zh-CN"/>
        </w:rPr>
        <w:t>При разработване на разчетите за приходите и постъпленията за периода 2026-2028 г. по програмите, финансирани от ЕС, е взет под внимание определеният индикативен размер на разходите, който се очаква да бъде възстановен от ЕК през този период. Очакваните приходи и постъпления по години са, както следва: в размер до 1 188,85 млн. евро за 2026 г., в размер до 1 341,36 млн. евро през 2027 г. и в размер до 1 253,61 млн. евро за 2028 г.</w:t>
      </w:r>
    </w:p>
    <w:p w14:paraId="151A0E2D" w14:textId="77777777" w:rsidR="00D4311E" w:rsidRPr="00076449" w:rsidRDefault="00E42934" w:rsidP="000B315F">
      <w:pPr>
        <w:pStyle w:val="Heading3"/>
        <w:spacing w:before="0" w:after="200"/>
        <w:ind w:left="0"/>
      </w:pPr>
      <w:r w:rsidRPr="00076449">
        <w:t>Разходи и плащания</w:t>
      </w:r>
    </w:p>
    <w:p w14:paraId="239E8222" w14:textId="77777777" w:rsidR="00417BF6" w:rsidRPr="00417BF6" w:rsidRDefault="00417BF6" w:rsidP="000B315F">
      <w:pPr>
        <w:rPr>
          <w:rFonts w:eastAsia="Times New Roman" w:cs="Times New Roman"/>
          <w:lang w:eastAsia="zh-CN"/>
        </w:rPr>
      </w:pPr>
      <w:r w:rsidRPr="00417BF6">
        <w:rPr>
          <w:rFonts w:eastAsia="Times New Roman" w:cs="Times New Roman"/>
          <w:lang w:eastAsia="zh-CN"/>
        </w:rPr>
        <w:t>Очакваните разходи и плащания за периода 2026-2028 г. са, както следва: 1 661,72 млн. евро за 2026 г., 1 669,89 млн. евро за 2027 г. и 1 679,96 млн. евро за 2028 г.</w:t>
      </w:r>
    </w:p>
    <w:p w14:paraId="12F30528" w14:textId="77777777" w:rsidR="00D4311E" w:rsidRPr="00076449" w:rsidRDefault="00D4311E" w:rsidP="000B315F">
      <w:pPr>
        <w:rPr>
          <w:rFonts w:eastAsia="Batang"/>
          <w:b/>
          <w:sz w:val="22"/>
        </w:rPr>
      </w:pPr>
      <w:r w:rsidRPr="00076449">
        <w:rPr>
          <w:rFonts w:eastAsia="Batang"/>
          <w:b/>
          <w:sz w:val="22"/>
        </w:rPr>
        <w:t>ОБЩА СЕЛСКОСТ</w:t>
      </w:r>
      <w:r w:rsidR="00656F22" w:rsidRPr="00076449">
        <w:rPr>
          <w:rFonts w:eastAsia="Batang"/>
          <w:b/>
          <w:sz w:val="22"/>
        </w:rPr>
        <w:t>ОПАНСКА ПОЛИТИКА ЗА ПЕРИОДА 2025-2028</w:t>
      </w:r>
      <w:r w:rsidRPr="00076449">
        <w:rPr>
          <w:rFonts w:eastAsia="Batang"/>
          <w:b/>
          <w:sz w:val="22"/>
        </w:rPr>
        <w:t> г.</w:t>
      </w:r>
    </w:p>
    <w:p w14:paraId="101988DB" w14:textId="77777777" w:rsidR="00417BF6" w:rsidRPr="00417BF6" w:rsidRDefault="00417BF6" w:rsidP="000B315F">
      <w:pPr>
        <w:rPr>
          <w:rFonts w:eastAsia="Batang" w:cs="Times New Roman"/>
        </w:rPr>
      </w:pPr>
      <w:r w:rsidRPr="00417BF6">
        <w:rPr>
          <w:rFonts w:eastAsia="Batang" w:cs="Times New Roman"/>
        </w:rPr>
        <w:t xml:space="preserve">Приоритетите в областта на селскостопанската политика са насочени към осигуряване на стабилна пазарна среда, подкрепа на доходите на земеделските стопани и развитие на селските райони. Основните инструменти за провеждането на общата селскостопанска политика са директните плащания, пазарната подкрепа на земеделските стопани и интервенциите за развитие на селските райони. Планираното подпомагане на земеделските стопани по обвързани и необвързани с производството схеми за директни плащания за сметка на ЕС е, както следва: 841,53 млн. евро за 2026 г., 850,49 млн. евро за 2027 г. и 860,38 млн. евро за 2028 г. За пазарни мерки са предвидени 87,26 млн. евро през 2026 г., 88,47 млн. евро за 2027 г. и 89,72 млн. евро за 2028 г. За развитие на селските райони, в това число за директни плащания от Европейския земеделски фонд за развитие на селските райони, са планирани по 705,4 млн. евро годишно за 2026 г., 2027 </w:t>
      </w:r>
      <w:r w:rsidR="00513F9B">
        <w:rPr>
          <w:rFonts w:eastAsia="Batang" w:cs="Times New Roman"/>
        </w:rPr>
        <w:t xml:space="preserve">г. </w:t>
      </w:r>
      <w:r w:rsidRPr="00417BF6">
        <w:rPr>
          <w:rFonts w:eastAsia="Batang" w:cs="Times New Roman"/>
        </w:rPr>
        <w:t xml:space="preserve">и 2028 г. (от които по 282,16 млн. евро от ЕС и 423,24 от </w:t>
      </w:r>
      <w:r w:rsidR="00513F9B">
        <w:rPr>
          <w:rFonts w:eastAsia="Batang" w:cs="Times New Roman"/>
        </w:rPr>
        <w:t>националния бюджет</w:t>
      </w:r>
      <w:r w:rsidRPr="00417BF6">
        <w:rPr>
          <w:rFonts w:eastAsia="Batang" w:cs="Times New Roman"/>
        </w:rPr>
        <w:t>).</w:t>
      </w:r>
    </w:p>
    <w:p w14:paraId="3EA3EB50" w14:textId="77777777" w:rsidR="00417BF6" w:rsidRPr="00417BF6" w:rsidRDefault="00417BF6" w:rsidP="000B315F">
      <w:pPr>
        <w:rPr>
          <w:rFonts w:eastAsia="Batang" w:cs="Times New Roman"/>
        </w:rPr>
      </w:pPr>
      <w:r w:rsidRPr="00417BF6">
        <w:rPr>
          <w:rFonts w:eastAsia="Batang" w:cs="Times New Roman"/>
        </w:rPr>
        <w:t>В средносрочен план средствата, които страната ни предвижда да усвоява по програмите на ЕС и да изплаща за селскостопанската политика, са както следва:</w:t>
      </w:r>
    </w:p>
    <w:p w14:paraId="318726EB" w14:textId="77777777" w:rsidR="00E66798" w:rsidRPr="00AA3F66" w:rsidRDefault="00D4311E" w:rsidP="00D4311E">
      <w:pPr>
        <w:pStyle w:val="Caption"/>
        <w:rPr>
          <w:rFonts w:eastAsia="Times New Roman" w:cs="Times New Roman"/>
          <w:color w:val="000000"/>
          <w:sz w:val="20"/>
          <w:szCs w:val="20"/>
        </w:rPr>
      </w:pPr>
      <w:bookmarkStart w:id="377" w:name="_Toc213229067"/>
      <w:r w:rsidRPr="00AA3F66">
        <w:lastRenderedPageBreak/>
        <w:t xml:space="preserve">Табл. </w:t>
      </w:r>
      <w:r w:rsidR="00974F02">
        <w:fldChar w:fldCharType="begin"/>
      </w:r>
      <w:r w:rsidR="00974F02">
        <w:instrText xml:space="preserve"> STYLEREF 1 \s </w:instrText>
      </w:r>
      <w:r w:rsidR="00974F02">
        <w:fldChar w:fldCharType="separate"/>
      </w:r>
      <w:r w:rsidR="00841DFA">
        <w:rPr>
          <w:noProof/>
        </w:rPr>
        <w:t>V</w:t>
      </w:r>
      <w:r w:rsidR="00974F02">
        <w:rPr>
          <w:noProof/>
        </w:rPr>
        <w:fldChar w:fldCharType="end"/>
      </w:r>
      <w:r w:rsidRPr="00AA3F66">
        <w:noBreakHyphen/>
      </w:r>
      <w:r w:rsidR="00974F02">
        <w:fldChar w:fldCharType="begin"/>
      </w:r>
      <w:r w:rsidR="00974F02">
        <w:instrText xml:space="preserve"> SEQ Табл. \* ARABIC \s 1 </w:instrText>
      </w:r>
      <w:r w:rsidR="00974F02">
        <w:fldChar w:fldCharType="separate"/>
      </w:r>
      <w:r w:rsidR="00841DFA">
        <w:rPr>
          <w:noProof/>
        </w:rPr>
        <w:t>1</w:t>
      </w:r>
      <w:r w:rsidR="00974F02">
        <w:rPr>
          <w:noProof/>
        </w:rPr>
        <w:fldChar w:fldCharType="end"/>
      </w:r>
      <w:r w:rsidRPr="00AA3F66">
        <w:t>:</w:t>
      </w:r>
      <w:r w:rsidRPr="00AA3F66">
        <w:tab/>
        <w:t>Разходи и плащания за селскостоп</w:t>
      </w:r>
      <w:r w:rsidR="00656F22">
        <w:t>анската политика за периода 202</w:t>
      </w:r>
      <w:r w:rsidR="00CE2497">
        <w:t>6</w:t>
      </w:r>
      <w:r w:rsidR="00656F22">
        <w:t>-2028</w:t>
      </w:r>
      <w:r w:rsidRPr="00AA3F66">
        <w:t> г.</w:t>
      </w:r>
      <w:bookmarkEnd w:id="377"/>
    </w:p>
    <w:p w14:paraId="28ECCA75" w14:textId="77777777" w:rsidR="000635AC" w:rsidRPr="0013513F" w:rsidRDefault="0013513F" w:rsidP="00A87638">
      <w:pPr>
        <w:spacing w:after="60"/>
        <w:jc w:val="right"/>
        <w:rPr>
          <w:rFonts w:eastAsia="Times New Roman" w:cs="Times New Roman"/>
          <w:color w:val="000000"/>
          <w:sz w:val="20"/>
          <w:szCs w:val="20"/>
        </w:rPr>
      </w:pPr>
      <w:r w:rsidRPr="0013513F">
        <w:rPr>
          <w:rFonts w:eastAsia="Times New Roman" w:cs="Times New Roman"/>
          <w:color w:val="000000"/>
          <w:sz w:val="20"/>
          <w:szCs w:val="20"/>
        </w:rPr>
        <w:t>(млн. евро</w:t>
      </w:r>
      <w:r w:rsidR="00B96C4D" w:rsidRPr="0013513F">
        <w:rPr>
          <w:rFonts w:eastAsia="Times New Roman" w:cs="Times New Roman"/>
          <w:color w:val="000000"/>
          <w:sz w:val="20"/>
          <w:szCs w:val="20"/>
        </w:rPr>
        <w:t>)</w:t>
      </w:r>
    </w:p>
    <w:tbl>
      <w:tblPr>
        <w:tblW w:w="9208" w:type="dxa"/>
        <w:jc w:val="center"/>
        <w:tblCellMar>
          <w:left w:w="70" w:type="dxa"/>
          <w:right w:w="70" w:type="dxa"/>
        </w:tblCellMar>
        <w:tblLook w:val="04A0" w:firstRow="1" w:lastRow="0" w:firstColumn="1" w:lastColumn="0" w:noHBand="0" w:noVBand="1"/>
      </w:tblPr>
      <w:tblGrid>
        <w:gridCol w:w="4494"/>
        <w:gridCol w:w="1622"/>
        <w:gridCol w:w="1611"/>
        <w:gridCol w:w="1481"/>
      </w:tblGrid>
      <w:tr w:rsidR="00417BF6" w:rsidRPr="0013513F" w14:paraId="4A9FDCEA" w14:textId="77777777" w:rsidTr="0013513F">
        <w:trPr>
          <w:trHeight w:val="282"/>
          <w:tblHeader/>
          <w:jc w:val="center"/>
        </w:trPr>
        <w:tc>
          <w:tcPr>
            <w:tcW w:w="4494" w:type="dxa"/>
            <w:tcBorders>
              <w:top w:val="single" w:sz="4" w:space="0" w:color="auto"/>
              <w:left w:val="nil"/>
              <w:bottom w:val="single" w:sz="4" w:space="0" w:color="auto"/>
              <w:right w:val="nil"/>
            </w:tcBorders>
            <w:shd w:val="clear" w:color="auto" w:fill="auto"/>
            <w:vAlign w:val="center"/>
            <w:hideMark/>
          </w:tcPr>
          <w:p w14:paraId="1F1FB01D" w14:textId="77777777" w:rsidR="00417BF6" w:rsidRPr="0013513F" w:rsidRDefault="00417BF6" w:rsidP="00F47CEE">
            <w:pPr>
              <w:jc w:val="center"/>
              <w:rPr>
                <w:b/>
                <w:bCs/>
                <w:sz w:val="20"/>
                <w:szCs w:val="20"/>
              </w:rPr>
            </w:pPr>
            <w:r w:rsidRPr="0013513F">
              <w:rPr>
                <w:b/>
                <w:bCs/>
                <w:sz w:val="20"/>
                <w:szCs w:val="20"/>
              </w:rPr>
              <w:t> </w:t>
            </w:r>
          </w:p>
        </w:tc>
        <w:tc>
          <w:tcPr>
            <w:tcW w:w="1622" w:type="dxa"/>
            <w:tcBorders>
              <w:top w:val="single" w:sz="4" w:space="0" w:color="auto"/>
              <w:left w:val="nil"/>
              <w:bottom w:val="single" w:sz="4" w:space="0" w:color="auto"/>
              <w:right w:val="nil"/>
            </w:tcBorders>
            <w:shd w:val="clear" w:color="auto" w:fill="auto"/>
            <w:vAlign w:val="center"/>
            <w:hideMark/>
          </w:tcPr>
          <w:p w14:paraId="1DB41890" w14:textId="77777777" w:rsidR="00417BF6" w:rsidRPr="0013513F" w:rsidRDefault="00417BF6" w:rsidP="00F47CEE">
            <w:pPr>
              <w:ind w:left="495"/>
              <w:jc w:val="center"/>
              <w:rPr>
                <w:b/>
                <w:bCs/>
                <w:sz w:val="20"/>
                <w:szCs w:val="20"/>
              </w:rPr>
            </w:pPr>
            <w:r w:rsidRPr="0013513F">
              <w:rPr>
                <w:b/>
                <w:bCs/>
                <w:sz w:val="20"/>
                <w:szCs w:val="20"/>
              </w:rPr>
              <w:t>2026 г.</w:t>
            </w:r>
          </w:p>
        </w:tc>
        <w:tc>
          <w:tcPr>
            <w:tcW w:w="1611" w:type="dxa"/>
            <w:tcBorders>
              <w:top w:val="single" w:sz="4" w:space="0" w:color="auto"/>
              <w:left w:val="nil"/>
              <w:bottom w:val="single" w:sz="4" w:space="0" w:color="auto"/>
              <w:right w:val="nil"/>
            </w:tcBorders>
            <w:shd w:val="clear" w:color="auto" w:fill="auto"/>
            <w:vAlign w:val="center"/>
            <w:hideMark/>
          </w:tcPr>
          <w:p w14:paraId="211EFF7E" w14:textId="77777777" w:rsidR="00417BF6" w:rsidRPr="0013513F" w:rsidRDefault="00417BF6" w:rsidP="00F47CEE">
            <w:pPr>
              <w:ind w:left="282"/>
              <w:jc w:val="center"/>
              <w:rPr>
                <w:b/>
                <w:bCs/>
                <w:sz w:val="20"/>
                <w:szCs w:val="20"/>
              </w:rPr>
            </w:pPr>
            <w:r w:rsidRPr="0013513F">
              <w:rPr>
                <w:b/>
                <w:bCs/>
                <w:sz w:val="20"/>
                <w:szCs w:val="20"/>
              </w:rPr>
              <w:t>2027 г.</w:t>
            </w:r>
          </w:p>
        </w:tc>
        <w:tc>
          <w:tcPr>
            <w:tcW w:w="1481" w:type="dxa"/>
            <w:tcBorders>
              <w:top w:val="single" w:sz="4" w:space="0" w:color="auto"/>
              <w:left w:val="nil"/>
              <w:bottom w:val="single" w:sz="4" w:space="0" w:color="auto"/>
              <w:right w:val="nil"/>
            </w:tcBorders>
          </w:tcPr>
          <w:p w14:paraId="3D3C3A93" w14:textId="77777777" w:rsidR="00417BF6" w:rsidRPr="0013513F" w:rsidRDefault="00417BF6" w:rsidP="00F47CEE">
            <w:pPr>
              <w:ind w:left="282"/>
              <w:jc w:val="center"/>
              <w:rPr>
                <w:b/>
                <w:bCs/>
                <w:sz w:val="20"/>
                <w:szCs w:val="20"/>
              </w:rPr>
            </w:pPr>
            <w:r w:rsidRPr="0013513F">
              <w:rPr>
                <w:b/>
                <w:bCs/>
                <w:sz w:val="20"/>
                <w:szCs w:val="20"/>
              </w:rPr>
              <w:t>2028 г.</w:t>
            </w:r>
          </w:p>
        </w:tc>
      </w:tr>
      <w:tr w:rsidR="00417BF6" w:rsidRPr="0013513F" w14:paraId="2372352D" w14:textId="77777777" w:rsidTr="0013513F">
        <w:trPr>
          <w:trHeight w:val="118"/>
          <w:jc w:val="center"/>
        </w:trPr>
        <w:tc>
          <w:tcPr>
            <w:tcW w:w="4494" w:type="dxa"/>
            <w:tcBorders>
              <w:top w:val="single" w:sz="4" w:space="0" w:color="auto"/>
              <w:left w:val="nil"/>
              <w:bottom w:val="nil"/>
              <w:right w:val="nil"/>
            </w:tcBorders>
            <w:shd w:val="clear" w:color="auto" w:fill="auto"/>
            <w:vAlign w:val="center"/>
            <w:hideMark/>
          </w:tcPr>
          <w:p w14:paraId="71EAC9BB" w14:textId="77777777" w:rsidR="00417BF6" w:rsidRPr="0013513F" w:rsidRDefault="00417BF6" w:rsidP="00417BF6">
            <w:pPr>
              <w:jc w:val="left"/>
              <w:rPr>
                <w:sz w:val="20"/>
                <w:szCs w:val="20"/>
              </w:rPr>
            </w:pPr>
            <w:r w:rsidRPr="0013513F">
              <w:rPr>
                <w:sz w:val="20"/>
                <w:szCs w:val="20"/>
              </w:rPr>
              <w:t>Средства от ЕС</w:t>
            </w:r>
          </w:p>
        </w:tc>
        <w:tc>
          <w:tcPr>
            <w:tcW w:w="1622" w:type="dxa"/>
          </w:tcPr>
          <w:p w14:paraId="574A0B23"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1 169,31</w:t>
            </w:r>
          </w:p>
        </w:tc>
        <w:tc>
          <w:tcPr>
            <w:tcW w:w="1611" w:type="dxa"/>
          </w:tcPr>
          <w:p w14:paraId="4E9A0F76"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1 178,12</w:t>
            </w:r>
          </w:p>
        </w:tc>
        <w:tc>
          <w:tcPr>
            <w:tcW w:w="1481" w:type="dxa"/>
          </w:tcPr>
          <w:p w14:paraId="0750023B"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1 188,02</w:t>
            </w:r>
          </w:p>
        </w:tc>
      </w:tr>
      <w:tr w:rsidR="00417BF6" w:rsidRPr="0013513F" w14:paraId="22826440" w14:textId="77777777" w:rsidTr="0013513F">
        <w:trPr>
          <w:trHeight w:val="490"/>
          <w:jc w:val="center"/>
        </w:trPr>
        <w:tc>
          <w:tcPr>
            <w:tcW w:w="4494" w:type="dxa"/>
            <w:tcBorders>
              <w:top w:val="nil"/>
              <w:left w:val="nil"/>
              <w:bottom w:val="nil"/>
              <w:right w:val="nil"/>
            </w:tcBorders>
            <w:shd w:val="clear" w:color="auto" w:fill="auto"/>
            <w:vAlign w:val="center"/>
            <w:hideMark/>
          </w:tcPr>
          <w:p w14:paraId="6F6ECB79" w14:textId="77777777" w:rsidR="00417BF6" w:rsidRPr="0013513F" w:rsidRDefault="00417BF6" w:rsidP="00417BF6">
            <w:pPr>
              <w:jc w:val="left"/>
              <w:rPr>
                <w:sz w:val="20"/>
                <w:szCs w:val="20"/>
              </w:rPr>
            </w:pPr>
            <w:r w:rsidRPr="0013513F">
              <w:rPr>
                <w:sz w:val="20"/>
                <w:szCs w:val="20"/>
              </w:rPr>
              <w:t>Национално съфинансиране и авансови плащания</w:t>
            </w:r>
          </w:p>
        </w:tc>
        <w:tc>
          <w:tcPr>
            <w:tcW w:w="1622" w:type="dxa"/>
          </w:tcPr>
          <w:p w14:paraId="0880CFC8"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464,88</w:t>
            </w:r>
          </w:p>
        </w:tc>
        <w:tc>
          <w:tcPr>
            <w:tcW w:w="1611" w:type="dxa"/>
          </w:tcPr>
          <w:p w14:paraId="50AFD1A5"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466,24</w:t>
            </w:r>
          </w:p>
        </w:tc>
        <w:tc>
          <w:tcPr>
            <w:tcW w:w="1481" w:type="dxa"/>
          </w:tcPr>
          <w:p w14:paraId="040A844E" w14:textId="77777777" w:rsidR="00417BF6" w:rsidRPr="0013513F" w:rsidRDefault="00417BF6" w:rsidP="00417BF6">
            <w:pPr>
              <w:ind w:firstLineChars="100" w:firstLine="200"/>
              <w:jc w:val="right"/>
              <w:rPr>
                <w:sz w:val="20"/>
                <w:szCs w:val="20"/>
              </w:rPr>
            </w:pPr>
            <w:r w:rsidRPr="0013513F">
              <w:rPr>
                <w:rFonts w:eastAsia="Times New Roman" w:cs="Times New Roman"/>
                <w:sz w:val="20"/>
                <w:szCs w:val="20"/>
              </w:rPr>
              <w:t>467,48</w:t>
            </w:r>
          </w:p>
        </w:tc>
      </w:tr>
      <w:tr w:rsidR="00417BF6" w:rsidRPr="006C3E09" w14:paraId="6879CCED" w14:textId="77777777" w:rsidTr="00BF2A85">
        <w:trPr>
          <w:trHeight w:val="337"/>
          <w:jc w:val="center"/>
        </w:trPr>
        <w:tc>
          <w:tcPr>
            <w:tcW w:w="4494" w:type="dxa"/>
            <w:tcBorders>
              <w:top w:val="nil"/>
              <w:left w:val="nil"/>
              <w:bottom w:val="single" w:sz="4" w:space="0" w:color="auto"/>
              <w:right w:val="nil"/>
            </w:tcBorders>
            <w:shd w:val="clear" w:color="auto" w:fill="auto"/>
            <w:vAlign w:val="center"/>
            <w:hideMark/>
          </w:tcPr>
          <w:p w14:paraId="7F4CC2C3" w14:textId="77777777" w:rsidR="00417BF6" w:rsidRPr="0013513F" w:rsidRDefault="00417BF6" w:rsidP="00417BF6">
            <w:pPr>
              <w:jc w:val="left"/>
              <w:rPr>
                <w:b/>
                <w:bCs/>
                <w:sz w:val="20"/>
                <w:szCs w:val="20"/>
              </w:rPr>
            </w:pPr>
            <w:r w:rsidRPr="0013513F">
              <w:rPr>
                <w:b/>
                <w:bCs/>
                <w:sz w:val="20"/>
                <w:szCs w:val="20"/>
              </w:rPr>
              <w:t>Общо</w:t>
            </w:r>
          </w:p>
        </w:tc>
        <w:tc>
          <w:tcPr>
            <w:tcW w:w="1622" w:type="dxa"/>
            <w:tcBorders>
              <w:top w:val="nil"/>
              <w:left w:val="nil"/>
              <w:bottom w:val="single" w:sz="4" w:space="0" w:color="auto"/>
              <w:right w:val="nil"/>
            </w:tcBorders>
          </w:tcPr>
          <w:p w14:paraId="3ED8B909" w14:textId="77777777" w:rsidR="00417BF6" w:rsidRPr="0013513F" w:rsidRDefault="00417BF6" w:rsidP="00417BF6">
            <w:pPr>
              <w:ind w:firstLineChars="100" w:firstLine="201"/>
              <w:jc w:val="right"/>
              <w:rPr>
                <w:b/>
                <w:spacing w:val="5"/>
                <w:kern w:val="28"/>
                <w:sz w:val="20"/>
                <w:szCs w:val="20"/>
              </w:rPr>
            </w:pPr>
            <w:r w:rsidRPr="0013513F">
              <w:rPr>
                <w:rFonts w:eastAsia="Times New Roman" w:cs="Times New Roman"/>
                <w:b/>
                <w:sz w:val="20"/>
                <w:szCs w:val="20"/>
              </w:rPr>
              <w:t>1 634,19</w:t>
            </w:r>
          </w:p>
        </w:tc>
        <w:tc>
          <w:tcPr>
            <w:tcW w:w="1611" w:type="dxa"/>
            <w:tcBorders>
              <w:top w:val="nil"/>
              <w:left w:val="nil"/>
              <w:bottom w:val="single" w:sz="4" w:space="0" w:color="auto"/>
              <w:right w:val="nil"/>
            </w:tcBorders>
          </w:tcPr>
          <w:p w14:paraId="1B3F7466" w14:textId="77777777" w:rsidR="00417BF6" w:rsidRPr="0013513F" w:rsidRDefault="00417BF6" w:rsidP="00417BF6">
            <w:pPr>
              <w:ind w:firstLineChars="100" w:firstLine="201"/>
              <w:jc w:val="right"/>
              <w:rPr>
                <w:b/>
                <w:spacing w:val="5"/>
                <w:kern w:val="28"/>
                <w:sz w:val="20"/>
                <w:szCs w:val="20"/>
              </w:rPr>
            </w:pPr>
            <w:r w:rsidRPr="0013513F">
              <w:rPr>
                <w:rFonts w:eastAsia="Times New Roman" w:cs="Times New Roman"/>
                <w:b/>
                <w:sz w:val="20"/>
                <w:szCs w:val="20"/>
              </w:rPr>
              <w:t>1 644,36</w:t>
            </w:r>
          </w:p>
        </w:tc>
        <w:tc>
          <w:tcPr>
            <w:tcW w:w="1481" w:type="dxa"/>
            <w:tcBorders>
              <w:top w:val="nil"/>
              <w:left w:val="nil"/>
              <w:bottom w:val="single" w:sz="4" w:space="0" w:color="auto"/>
              <w:right w:val="nil"/>
            </w:tcBorders>
          </w:tcPr>
          <w:p w14:paraId="6C6136A2" w14:textId="77777777" w:rsidR="00417BF6" w:rsidRPr="00551A24" w:rsidRDefault="00417BF6" w:rsidP="00417BF6">
            <w:pPr>
              <w:ind w:firstLineChars="100" w:firstLine="201"/>
              <w:jc w:val="right"/>
              <w:rPr>
                <w:b/>
                <w:sz w:val="20"/>
                <w:szCs w:val="20"/>
              </w:rPr>
            </w:pPr>
            <w:r w:rsidRPr="0013513F">
              <w:rPr>
                <w:rFonts w:eastAsia="Times New Roman" w:cs="Times New Roman"/>
                <w:b/>
                <w:sz w:val="20"/>
                <w:szCs w:val="20"/>
              </w:rPr>
              <w:t>1 655,50</w:t>
            </w:r>
          </w:p>
        </w:tc>
      </w:tr>
    </w:tbl>
    <w:p w14:paraId="23B7857A" w14:textId="77777777" w:rsidR="0013513F" w:rsidRPr="00B13FA1" w:rsidRDefault="00D5513C" w:rsidP="00B13FA1">
      <w:pPr>
        <w:spacing w:before="120" w:after="0"/>
        <w:jc w:val="right"/>
        <w:rPr>
          <w:rFonts w:eastAsia="Batang" w:cs="Times New Roman"/>
          <w:sz w:val="18"/>
          <w:szCs w:val="18"/>
        </w:rPr>
      </w:pPr>
      <w:r w:rsidRPr="00AA3F66">
        <w:rPr>
          <w:rFonts w:eastAsia="Batang" w:cs="Times New Roman"/>
          <w:sz w:val="18"/>
          <w:szCs w:val="18"/>
        </w:rPr>
        <w:t>Източник: МФ</w:t>
      </w:r>
    </w:p>
    <w:p w14:paraId="528869F1" w14:textId="77777777" w:rsidR="00076449" w:rsidRDefault="00076449" w:rsidP="00076449">
      <w:pPr>
        <w:rPr>
          <w:rFonts w:eastAsia="Batang"/>
          <w:b/>
          <w:sz w:val="22"/>
        </w:rPr>
      </w:pPr>
    </w:p>
    <w:p w14:paraId="56552D79" w14:textId="77777777" w:rsidR="00D4311E" w:rsidRPr="00076449" w:rsidRDefault="00D4311E" w:rsidP="00076449">
      <w:pPr>
        <w:rPr>
          <w:rFonts w:eastAsia="Batang"/>
          <w:b/>
          <w:sz w:val="22"/>
        </w:rPr>
      </w:pPr>
      <w:r w:rsidRPr="00076449">
        <w:rPr>
          <w:rFonts w:eastAsia="Batang"/>
          <w:b/>
          <w:sz w:val="22"/>
        </w:rPr>
        <w:t>ОБЩА Р</w:t>
      </w:r>
      <w:r w:rsidR="00CE2497" w:rsidRPr="00076449">
        <w:rPr>
          <w:rFonts w:eastAsia="Batang"/>
          <w:b/>
          <w:sz w:val="22"/>
        </w:rPr>
        <w:t>ИБАРСКА ПОЛИТИКА ЗА ПЕРИОДА 2026</w:t>
      </w:r>
      <w:r w:rsidR="00656F22" w:rsidRPr="00076449">
        <w:rPr>
          <w:rFonts w:eastAsia="Batang"/>
          <w:b/>
          <w:sz w:val="22"/>
        </w:rPr>
        <w:t>-2028</w:t>
      </w:r>
      <w:r w:rsidRPr="00076449">
        <w:rPr>
          <w:rFonts w:eastAsia="Batang"/>
          <w:b/>
          <w:sz w:val="22"/>
        </w:rPr>
        <w:t> г.</w:t>
      </w:r>
    </w:p>
    <w:p w14:paraId="1CBE5C84" w14:textId="77777777" w:rsidR="003643BD" w:rsidRPr="003643BD" w:rsidRDefault="003643BD" w:rsidP="003643BD">
      <w:pPr>
        <w:rPr>
          <w:rFonts w:eastAsia="Batang" w:cs="Times New Roman"/>
        </w:rPr>
      </w:pPr>
      <w:r w:rsidRPr="003643BD">
        <w:rPr>
          <w:rFonts w:eastAsia="Batang" w:cs="Times New Roman"/>
        </w:rPr>
        <w:t>Преобладаващата част от дейностите по Програмите за морско дело, рибарство и аквакултури за периода са насочени към повишаване на конкурентоспособността и жизнеспособността на предприятията в сектор рибарство; насърчаване на устойчиво, отличаващо се с ефективно използване на ресурсите рибарство; диверсификация на дейностите, в рамките на сектор рибарство, както и в други сектори на морската икономика; пазарна организация за продуктите на риболов и аквакултурите и други.</w:t>
      </w:r>
    </w:p>
    <w:p w14:paraId="4DEFFA76" w14:textId="77777777" w:rsidR="003643BD" w:rsidRPr="003643BD" w:rsidRDefault="003643BD" w:rsidP="00F94B7C">
      <w:pPr>
        <w:rPr>
          <w:rFonts w:eastAsia="Batang" w:cs="Times New Roman"/>
        </w:rPr>
      </w:pPr>
      <w:r w:rsidRPr="003643BD">
        <w:rPr>
          <w:rFonts w:eastAsia="Batang" w:cs="Times New Roman"/>
        </w:rPr>
        <w:t>В средносрочен план средствата, които страната ни предвижда да усвоява по програмите на ЕС и да изплаща за общата рибарска политика са, както следва:</w:t>
      </w:r>
    </w:p>
    <w:p w14:paraId="0A6857CA" w14:textId="77777777" w:rsidR="00D4311E" w:rsidRPr="00AA3F66" w:rsidRDefault="00D4311E" w:rsidP="00DA37CC">
      <w:pPr>
        <w:pStyle w:val="Caption"/>
        <w:ind w:left="0" w:firstLine="0"/>
        <w:rPr>
          <w:rFonts w:cs="Calibri"/>
          <w:color w:val="000000"/>
          <w:szCs w:val="24"/>
        </w:rPr>
      </w:pPr>
      <w:bookmarkStart w:id="378" w:name="_Toc213229068"/>
      <w:r w:rsidRPr="00AA3F66">
        <w:t xml:space="preserve">Табл. </w:t>
      </w:r>
      <w:r w:rsidR="00974F02">
        <w:fldChar w:fldCharType="begin"/>
      </w:r>
      <w:r w:rsidR="00974F02">
        <w:instrText xml:space="preserve"> STYLEREF 1 \s </w:instrText>
      </w:r>
      <w:r w:rsidR="00974F02">
        <w:fldChar w:fldCharType="separate"/>
      </w:r>
      <w:r w:rsidR="00841DFA">
        <w:rPr>
          <w:noProof/>
        </w:rPr>
        <w:t>V</w:t>
      </w:r>
      <w:r w:rsidR="00974F02">
        <w:rPr>
          <w:noProof/>
        </w:rPr>
        <w:fldChar w:fldCharType="end"/>
      </w:r>
      <w:r w:rsidRPr="00AA3F66">
        <w:noBreakHyphen/>
      </w:r>
      <w:r w:rsidR="00974F02">
        <w:fldChar w:fldCharType="begin"/>
      </w:r>
      <w:r w:rsidR="00974F02">
        <w:instrText xml:space="preserve"> SEQ Табл. \* ARABIC \s 1 </w:instrText>
      </w:r>
      <w:r w:rsidR="00974F02">
        <w:fldChar w:fldCharType="separate"/>
      </w:r>
      <w:r w:rsidR="00841DFA">
        <w:rPr>
          <w:noProof/>
        </w:rPr>
        <w:t>2</w:t>
      </w:r>
      <w:r w:rsidR="00974F02">
        <w:rPr>
          <w:noProof/>
        </w:rPr>
        <w:fldChar w:fldCharType="end"/>
      </w:r>
      <w:r w:rsidRPr="00AA3F66">
        <w:t>:</w:t>
      </w:r>
      <w:r w:rsidRPr="00AA3F66">
        <w:tab/>
      </w:r>
      <w:r w:rsidRPr="00AA3F66">
        <w:rPr>
          <w:rFonts w:cs="Calibri"/>
          <w:color w:val="000000"/>
          <w:szCs w:val="24"/>
        </w:rPr>
        <w:t xml:space="preserve">Разходи и плащания за рибарската политика за периода </w:t>
      </w:r>
      <w:r w:rsidR="00656F22">
        <w:rPr>
          <w:rFonts w:cs="Calibri"/>
          <w:color w:val="000000"/>
          <w:szCs w:val="24"/>
        </w:rPr>
        <w:t>202</w:t>
      </w:r>
      <w:r w:rsidR="00CE2497">
        <w:rPr>
          <w:rFonts w:cs="Calibri"/>
          <w:color w:val="000000"/>
          <w:szCs w:val="24"/>
        </w:rPr>
        <w:t>6</w:t>
      </w:r>
      <w:r w:rsidR="00656F22">
        <w:rPr>
          <w:rFonts w:cs="Calibri"/>
          <w:color w:val="000000"/>
          <w:szCs w:val="24"/>
        </w:rPr>
        <w:t>-2028</w:t>
      </w:r>
      <w:r w:rsidRPr="00AA3F66">
        <w:rPr>
          <w:rFonts w:cs="Calibri"/>
          <w:color w:val="000000"/>
          <w:szCs w:val="24"/>
        </w:rPr>
        <w:t> г.</w:t>
      </w:r>
      <w:bookmarkEnd w:id="378"/>
      <w:r w:rsidRPr="00AA3F66">
        <w:rPr>
          <w:rFonts w:cs="Calibri"/>
          <w:color w:val="000000"/>
          <w:szCs w:val="24"/>
        </w:rPr>
        <w:t xml:space="preserve"> </w:t>
      </w:r>
    </w:p>
    <w:p w14:paraId="5FFC8878" w14:textId="77777777" w:rsidR="00D27355" w:rsidRDefault="00EA1422" w:rsidP="00F94B7C">
      <w:pPr>
        <w:tabs>
          <w:tab w:val="left" w:pos="4188"/>
          <w:tab w:val="left" w:pos="6027"/>
          <w:tab w:val="left" w:pos="7533"/>
        </w:tabs>
        <w:spacing w:after="60"/>
        <w:ind w:left="72"/>
        <w:jc w:val="right"/>
        <w:rPr>
          <w:rFonts w:eastAsia="Times New Roman" w:cs="Times New Roman"/>
          <w:color w:val="000000"/>
          <w:sz w:val="20"/>
          <w:szCs w:val="20"/>
        </w:rPr>
      </w:pPr>
      <w:bookmarkStart w:id="379" w:name="_Toc464224806"/>
      <w:bookmarkStart w:id="380" w:name="_Toc464225456"/>
      <w:bookmarkStart w:id="381" w:name="_Toc464459003"/>
      <w:bookmarkStart w:id="382" w:name="_Toc464459751"/>
      <w:bookmarkStart w:id="383" w:name="_Toc464460704"/>
      <w:bookmarkStart w:id="384" w:name="_Toc464463103"/>
      <w:bookmarkStart w:id="385" w:name="_Toc464464932"/>
      <w:bookmarkStart w:id="386" w:name="_Toc464465436"/>
      <w:bookmarkStart w:id="387" w:name="_Toc464465624"/>
      <w:bookmarkStart w:id="388" w:name="_Toc464466449"/>
      <w:bookmarkStart w:id="389" w:name="_Toc464466693"/>
      <w:bookmarkStart w:id="390" w:name="_Toc464645012"/>
      <w:bookmarkStart w:id="391" w:name="_Toc465205565"/>
      <w:r w:rsidRPr="00AA3F66">
        <w:rPr>
          <w:rFonts w:eastAsia="Times New Roman" w:cs="Times New Roman"/>
          <w:color w:val="000000"/>
          <w:sz w:val="20"/>
          <w:szCs w:val="20"/>
        </w:rPr>
        <w:t xml:space="preserve"> </w:t>
      </w:r>
      <w:r w:rsidR="003643BD" w:rsidRPr="003643BD">
        <w:rPr>
          <w:rFonts w:eastAsia="Times New Roman" w:cs="Times New Roman"/>
          <w:color w:val="000000"/>
          <w:sz w:val="20"/>
          <w:szCs w:val="20"/>
        </w:rPr>
        <w:t>(млн. евро</w:t>
      </w:r>
      <w:r w:rsidR="00B860B3" w:rsidRPr="003643BD">
        <w:rPr>
          <w:rFonts w:eastAsia="Times New Roman" w:cs="Times New Roman"/>
          <w:color w:val="000000"/>
          <w:sz w:val="20"/>
          <w:szCs w:val="20"/>
        </w:rPr>
        <w:t>)</w:t>
      </w:r>
    </w:p>
    <w:tbl>
      <w:tblPr>
        <w:tblW w:w="9088" w:type="dxa"/>
        <w:tblInd w:w="55" w:type="dxa"/>
        <w:tblCellMar>
          <w:left w:w="70" w:type="dxa"/>
          <w:right w:w="70" w:type="dxa"/>
        </w:tblCellMar>
        <w:tblLook w:val="04A0" w:firstRow="1" w:lastRow="0" w:firstColumn="1" w:lastColumn="0" w:noHBand="0" w:noVBand="1"/>
      </w:tblPr>
      <w:tblGrid>
        <w:gridCol w:w="4430"/>
        <w:gridCol w:w="1649"/>
        <w:gridCol w:w="1547"/>
        <w:gridCol w:w="1462"/>
      </w:tblGrid>
      <w:tr w:rsidR="003643BD" w:rsidRPr="003643BD" w14:paraId="03DD17CB" w14:textId="77777777" w:rsidTr="003643BD">
        <w:trPr>
          <w:trHeight w:val="336"/>
          <w:tblHeader/>
        </w:trPr>
        <w:tc>
          <w:tcPr>
            <w:tcW w:w="4430" w:type="dxa"/>
            <w:tcBorders>
              <w:top w:val="single" w:sz="4" w:space="0" w:color="auto"/>
              <w:left w:val="nil"/>
              <w:bottom w:val="single" w:sz="4" w:space="0" w:color="auto"/>
              <w:right w:val="nil"/>
            </w:tcBorders>
            <w:shd w:val="clear" w:color="auto" w:fill="auto"/>
            <w:vAlign w:val="center"/>
            <w:hideMark/>
          </w:tcPr>
          <w:p w14:paraId="760C4440" w14:textId="77777777" w:rsidR="003643BD" w:rsidRPr="00752C2D" w:rsidRDefault="003643BD" w:rsidP="00F47CEE">
            <w:pPr>
              <w:jc w:val="center"/>
              <w:rPr>
                <w:b/>
                <w:bCs/>
                <w:sz w:val="20"/>
                <w:szCs w:val="20"/>
              </w:rPr>
            </w:pPr>
          </w:p>
        </w:tc>
        <w:tc>
          <w:tcPr>
            <w:tcW w:w="1649" w:type="dxa"/>
            <w:tcBorders>
              <w:top w:val="single" w:sz="4" w:space="0" w:color="auto"/>
              <w:left w:val="nil"/>
              <w:bottom w:val="single" w:sz="4" w:space="0" w:color="auto"/>
              <w:right w:val="nil"/>
            </w:tcBorders>
            <w:shd w:val="clear" w:color="auto" w:fill="auto"/>
            <w:vAlign w:val="center"/>
            <w:hideMark/>
          </w:tcPr>
          <w:p w14:paraId="4FA3313A" w14:textId="77777777" w:rsidR="003643BD" w:rsidRPr="003643BD" w:rsidRDefault="003643BD" w:rsidP="00F47CEE">
            <w:pPr>
              <w:ind w:hanging="2"/>
              <w:jc w:val="center"/>
              <w:rPr>
                <w:b/>
                <w:bCs/>
                <w:sz w:val="20"/>
                <w:szCs w:val="20"/>
              </w:rPr>
            </w:pPr>
            <w:r w:rsidRPr="003643BD">
              <w:rPr>
                <w:b/>
                <w:bCs/>
                <w:sz w:val="20"/>
                <w:szCs w:val="20"/>
              </w:rPr>
              <w:t xml:space="preserve">     2026 г.</w:t>
            </w:r>
          </w:p>
        </w:tc>
        <w:tc>
          <w:tcPr>
            <w:tcW w:w="1547" w:type="dxa"/>
            <w:tcBorders>
              <w:top w:val="single" w:sz="4" w:space="0" w:color="auto"/>
              <w:left w:val="nil"/>
              <w:bottom w:val="single" w:sz="4" w:space="0" w:color="auto"/>
              <w:right w:val="nil"/>
            </w:tcBorders>
            <w:shd w:val="clear" w:color="auto" w:fill="auto"/>
            <w:vAlign w:val="center"/>
            <w:hideMark/>
          </w:tcPr>
          <w:p w14:paraId="42A46027" w14:textId="77777777" w:rsidR="003643BD" w:rsidRPr="003643BD" w:rsidRDefault="003643BD" w:rsidP="00F47CEE">
            <w:pPr>
              <w:ind w:hanging="2"/>
              <w:jc w:val="center"/>
              <w:rPr>
                <w:b/>
                <w:bCs/>
                <w:sz w:val="20"/>
                <w:szCs w:val="20"/>
              </w:rPr>
            </w:pPr>
            <w:r w:rsidRPr="003643BD">
              <w:rPr>
                <w:b/>
                <w:bCs/>
                <w:sz w:val="20"/>
                <w:szCs w:val="20"/>
              </w:rPr>
              <w:t xml:space="preserve">     2027 г.</w:t>
            </w:r>
          </w:p>
        </w:tc>
        <w:tc>
          <w:tcPr>
            <w:tcW w:w="1462" w:type="dxa"/>
            <w:tcBorders>
              <w:top w:val="single" w:sz="4" w:space="0" w:color="auto"/>
              <w:left w:val="nil"/>
              <w:bottom w:val="single" w:sz="4" w:space="0" w:color="auto"/>
              <w:right w:val="nil"/>
            </w:tcBorders>
            <w:shd w:val="clear" w:color="auto" w:fill="auto"/>
          </w:tcPr>
          <w:p w14:paraId="37098917" w14:textId="77777777" w:rsidR="003643BD" w:rsidRPr="003643BD" w:rsidRDefault="003643BD" w:rsidP="00F47CEE">
            <w:pPr>
              <w:ind w:hanging="2"/>
              <w:jc w:val="center"/>
              <w:rPr>
                <w:b/>
                <w:bCs/>
                <w:sz w:val="20"/>
                <w:szCs w:val="20"/>
              </w:rPr>
            </w:pPr>
            <w:r w:rsidRPr="003643BD">
              <w:rPr>
                <w:b/>
                <w:bCs/>
                <w:sz w:val="20"/>
                <w:szCs w:val="20"/>
              </w:rPr>
              <w:t xml:space="preserve">     2028 г.</w:t>
            </w:r>
          </w:p>
        </w:tc>
      </w:tr>
      <w:tr w:rsidR="003643BD" w:rsidRPr="003643BD" w14:paraId="0EC89810" w14:textId="77777777" w:rsidTr="003643BD">
        <w:trPr>
          <w:trHeight w:val="381"/>
        </w:trPr>
        <w:tc>
          <w:tcPr>
            <w:tcW w:w="4430" w:type="dxa"/>
            <w:tcBorders>
              <w:top w:val="single" w:sz="4" w:space="0" w:color="auto"/>
              <w:left w:val="nil"/>
              <w:bottom w:val="nil"/>
              <w:right w:val="nil"/>
            </w:tcBorders>
            <w:shd w:val="clear" w:color="auto" w:fill="auto"/>
            <w:vAlign w:val="center"/>
            <w:hideMark/>
          </w:tcPr>
          <w:p w14:paraId="53E67174" w14:textId="77777777" w:rsidR="003643BD" w:rsidRPr="003643BD" w:rsidRDefault="003643BD" w:rsidP="003643BD">
            <w:pPr>
              <w:jc w:val="left"/>
              <w:rPr>
                <w:sz w:val="20"/>
                <w:szCs w:val="20"/>
              </w:rPr>
            </w:pPr>
            <w:r w:rsidRPr="003643BD">
              <w:rPr>
                <w:sz w:val="20"/>
                <w:szCs w:val="20"/>
              </w:rPr>
              <w:t>Средства от ЕС</w:t>
            </w:r>
          </w:p>
        </w:tc>
        <w:tc>
          <w:tcPr>
            <w:tcW w:w="1649" w:type="dxa"/>
            <w:tcBorders>
              <w:top w:val="single" w:sz="4" w:space="0" w:color="auto"/>
              <w:left w:val="nil"/>
              <w:bottom w:val="nil"/>
              <w:right w:val="nil"/>
            </w:tcBorders>
            <w:shd w:val="clear" w:color="auto" w:fill="auto"/>
          </w:tcPr>
          <w:p w14:paraId="4A9B5D82"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19,26</w:t>
            </w:r>
          </w:p>
        </w:tc>
        <w:tc>
          <w:tcPr>
            <w:tcW w:w="1547" w:type="dxa"/>
            <w:tcBorders>
              <w:top w:val="single" w:sz="4" w:space="0" w:color="auto"/>
              <w:left w:val="nil"/>
              <w:bottom w:val="nil"/>
              <w:right w:val="nil"/>
            </w:tcBorders>
            <w:shd w:val="clear" w:color="auto" w:fill="auto"/>
          </w:tcPr>
          <w:p w14:paraId="455F336C"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17,86</w:t>
            </w:r>
          </w:p>
        </w:tc>
        <w:tc>
          <w:tcPr>
            <w:tcW w:w="1462" w:type="dxa"/>
            <w:tcBorders>
              <w:top w:val="single" w:sz="4" w:space="0" w:color="auto"/>
              <w:left w:val="nil"/>
              <w:bottom w:val="nil"/>
              <w:right w:val="nil"/>
            </w:tcBorders>
            <w:shd w:val="clear" w:color="auto" w:fill="auto"/>
          </w:tcPr>
          <w:p w14:paraId="70447EFD"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17,12</w:t>
            </w:r>
          </w:p>
        </w:tc>
      </w:tr>
      <w:tr w:rsidR="003643BD" w:rsidRPr="003643BD" w14:paraId="443A159F" w14:textId="77777777" w:rsidTr="003643BD">
        <w:trPr>
          <w:trHeight w:val="380"/>
        </w:trPr>
        <w:tc>
          <w:tcPr>
            <w:tcW w:w="4430" w:type="dxa"/>
            <w:tcBorders>
              <w:top w:val="nil"/>
              <w:left w:val="nil"/>
              <w:bottom w:val="nil"/>
              <w:right w:val="nil"/>
            </w:tcBorders>
            <w:shd w:val="clear" w:color="auto" w:fill="auto"/>
            <w:vAlign w:val="center"/>
            <w:hideMark/>
          </w:tcPr>
          <w:p w14:paraId="407E63DF" w14:textId="77777777" w:rsidR="003643BD" w:rsidRPr="003643BD" w:rsidRDefault="003643BD" w:rsidP="003643BD">
            <w:pPr>
              <w:jc w:val="left"/>
              <w:rPr>
                <w:sz w:val="20"/>
                <w:szCs w:val="20"/>
              </w:rPr>
            </w:pPr>
            <w:r w:rsidRPr="003643BD">
              <w:rPr>
                <w:sz w:val="20"/>
                <w:szCs w:val="20"/>
              </w:rPr>
              <w:t>Национално съфинансиране и авансови плащания</w:t>
            </w:r>
          </w:p>
        </w:tc>
        <w:tc>
          <w:tcPr>
            <w:tcW w:w="1649" w:type="dxa"/>
            <w:shd w:val="clear" w:color="auto" w:fill="auto"/>
          </w:tcPr>
          <w:p w14:paraId="4BCA357B"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8,26</w:t>
            </w:r>
          </w:p>
        </w:tc>
        <w:tc>
          <w:tcPr>
            <w:tcW w:w="1547" w:type="dxa"/>
            <w:shd w:val="clear" w:color="auto" w:fill="auto"/>
          </w:tcPr>
          <w:p w14:paraId="277296DD"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7,66</w:t>
            </w:r>
          </w:p>
        </w:tc>
        <w:tc>
          <w:tcPr>
            <w:tcW w:w="1462" w:type="dxa"/>
            <w:shd w:val="clear" w:color="auto" w:fill="auto"/>
          </w:tcPr>
          <w:p w14:paraId="72125454" w14:textId="77777777" w:rsidR="003643BD" w:rsidRPr="003643BD" w:rsidRDefault="003643BD" w:rsidP="003643BD">
            <w:pPr>
              <w:ind w:firstLineChars="100" w:firstLine="200"/>
              <w:jc w:val="center"/>
              <w:rPr>
                <w:sz w:val="20"/>
                <w:szCs w:val="20"/>
              </w:rPr>
            </w:pPr>
            <w:r w:rsidRPr="003643BD">
              <w:rPr>
                <w:rFonts w:eastAsia="Times New Roman" w:cs="Times New Roman"/>
                <w:sz w:val="20"/>
                <w:szCs w:val="20"/>
              </w:rPr>
              <w:t>7,34</w:t>
            </w:r>
          </w:p>
        </w:tc>
      </w:tr>
      <w:tr w:rsidR="003643BD" w:rsidRPr="00752C2D" w14:paraId="5F4CE314" w14:textId="77777777" w:rsidTr="003643BD">
        <w:trPr>
          <w:trHeight w:val="237"/>
        </w:trPr>
        <w:tc>
          <w:tcPr>
            <w:tcW w:w="4430" w:type="dxa"/>
            <w:tcBorders>
              <w:top w:val="nil"/>
              <w:left w:val="nil"/>
              <w:bottom w:val="single" w:sz="4" w:space="0" w:color="auto"/>
              <w:right w:val="nil"/>
            </w:tcBorders>
            <w:shd w:val="clear" w:color="auto" w:fill="auto"/>
            <w:vAlign w:val="center"/>
            <w:hideMark/>
          </w:tcPr>
          <w:p w14:paraId="035C5F64" w14:textId="77777777" w:rsidR="003643BD" w:rsidRPr="003643BD" w:rsidRDefault="003643BD" w:rsidP="003643BD">
            <w:pPr>
              <w:jc w:val="left"/>
              <w:rPr>
                <w:b/>
                <w:bCs/>
                <w:sz w:val="20"/>
                <w:szCs w:val="20"/>
              </w:rPr>
            </w:pPr>
            <w:r w:rsidRPr="003643BD">
              <w:rPr>
                <w:b/>
                <w:bCs/>
                <w:sz w:val="20"/>
                <w:szCs w:val="20"/>
              </w:rPr>
              <w:t>Общо</w:t>
            </w:r>
          </w:p>
        </w:tc>
        <w:tc>
          <w:tcPr>
            <w:tcW w:w="1649" w:type="dxa"/>
            <w:tcBorders>
              <w:top w:val="nil"/>
              <w:left w:val="nil"/>
              <w:bottom w:val="single" w:sz="4" w:space="0" w:color="auto"/>
              <w:right w:val="nil"/>
            </w:tcBorders>
            <w:shd w:val="clear" w:color="auto" w:fill="auto"/>
          </w:tcPr>
          <w:p w14:paraId="09C41EA7" w14:textId="77777777" w:rsidR="003643BD" w:rsidRPr="003643BD" w:rsidRDefault="003643BD" w:rsidP="003643BD">
            <w:pPr>
              <w:ind w:firstLineChars="100" w:firstLine="201"/>
              <w:jc w:val="center"/>
              <w:rPr>
                <w:b/>
                <w:spacing w:val="5"/>
                <w:kern w:val="28"/>
                <w:sz w:val="20"/>
                <w:szCs w:val="20"/>
              </w:rPr>
            </w:pPr>
            <w:r w:rsidRPr="003643BD">
              <w:rPr>
                <w:rFonts w:eastAsia="Times New Roman" w:cs="Times New Roman"/>
                <w:b/>
                <w:sz w:val="20"/>
                <w:szCs w:val="20"/>
              </w:rPr>
              <w:t>27,52</w:t>
            </w:r>
          </w:p>
        </w:tc>
        <w:tc>
          <w:tcPr>
            <w:tcW w:w="1547" w:type="dxa"/>
            <w:tcBorders>
              <w:top w:val="nil"/>
              <w:left w:val="nil"/>
              <w:bottom w:val="single" w:sz="4" w:space="0" w:color="auto"/>
              <w:right w:val="nil"/>
            </w:tcBorders>
            <w:shd w:val="clear" w:color="auto" w:fill="auto"/>
          </w:tcPr>
          <w:p w14:paraId="43D89D4C" w14:textId="77777777" w:rsidR="003643BD" w:rsidRPr="003643BD" w:rsidRDefault="003643BD" w:rsidP="003643BD">
            <w:pPr>
              <w:ind w:firstLineChars="100" w:firstLine="201"/>
              <w:jc w:val="center"/>
              <w:rPr>
                <w:b/>
                <w:spacing w:val="5"/>
                <w:kern w:val="28"/>
                <w:sz w:val="20"/>
                <w:szCs w:val="20"/>
              </w:rPr>
            </w:pPr>
            <w:r w:rsidRPr="003643BD">
              <w:rPr>
                <w:rFonts w:eastAsia="Times New Roman" w:cs="Times New Roman"/>
                <w:b/>
                <w:sz w:val="20"/>
                <w:szCs w:val="20"/>
              </w:rPr>
              <w:t>25,52</w:t>
            </w:r>
          </w:p>
        </w:tc>
        <w:tc>
          <w:tcPr>
            <w:tcW w:w="1462" w:type="dxa"/>
            <w:tcBorders>
              <w:top w:val="nil"/>
              <w:left w:val="nil"/>
              <w:bottom w:val="single" w:sz="4" w:space="0" w:color="auto"/>
              <w:right w:val="nil"/>
            </w:tcBorders>
            <w:shd w:val="clear" w:color="auto" w:fill="auto"/>
          </w:tcPr>
          <w:p w14:paraId="68174207" w14:textId="77777777" w:rsidR="003643BD" w:rsidRPr="001B1AEE" w:rsidRDefault="003643BD" w:rsidP="003643BD">
            <w:pPr>
              <w:ind w:firstLineChars="100" w:firstLine="201"/>
              <w:jc w:val="center"/>
              <w:rPr>
                <w:b/>
                <w:sz w:val="20"/>
                <w:szCs w:val="20"/>
              </w:rPr>
            </w:pPr>
            <w:r w:rsidRPr="003643BD">
              <w:rPr>
                <w:rFonts w:eastAsia="Times New Roman" w:cs="Times New Roman"/>
                <w:b/>
                <w:sz w:val="20"/>
                <w:szCs w:val="20"/>
              </w:rPr>
              <w:t>24,46</w:t>
            </w:r>
          </w:p>
        </w:tc>
      </w:tr>
    </w:tbl>
    <w:p w14:paraId="23B05C9F" w14:textId="77777777" w:rsidR="009B2E9B" w:rsidRDefault="00B93854" w:rsidP="00B13FA1">
      <w:pPr>
        <w:spacing w:before="120" w:after="0"/>
        <w:jc w:val="right"/>
        <w:rPr>
          <w:rFonts w:eastAsia="Batang" w:cs="Times New Roman"/>
          <w:sz w:val="18"/>
          <w:szCs w:val="18"/>
        </w:rPr>
      </w:pPr>
      <w:r w:rsidRPr="00AA3F66">
        <w:rPr>
          <w:rFonts w:eastAsia="Batang" w:cs="Times New Roman"/>
          <w:sz w:val="18"/>
          <w:szCs w:val="18"/>
        </w:rPr>
        <w:t>Източник: МФ</w:t>
      </w:r>
    </w:p>
    <w:p w14:paraId="3FDDF7E2" w14:textId="77777777" w:rsidR="008872DF" w:rsidRPr="00AA3F66" w:rsidRDefault="000107EE" w:rsidP="000B315F">
      <w:pPr>
        <w:pStyle w:val="Heading2"/>
        <w:numPr>
          <w:ilvl w:val="1"/>
          <w:numId w:val="3"/>
        </w:numPr>
        <w:ind w:hanging="270"/>
      </w:pPr>
      <w:bookmarkStart w:id="392" w:name="_Toc184128037"/>
      <w:bookmarkStart w:id="393" w:name="_Toc184128082"/>
      <w:bookmarkStart w:id="394" w:name="_Toc184128171"/>
      <w:bookmarkStart w:id="395" w:name="_Toc216029359"/>
      <w:r w:rsidRPr="00AA3F66">
        <w:t>Други сметки за ср</w:t>
      </w:r>
      <w:r w:rsidR="008F1224" w:rsidRPr="00AA3F66">
        <w:t>едства от ЕС и средства по</w:t>
      </w:r>
      <w:r w:rsidRPr="00AA3F66">
        <w:t xml:space="preserve"> международни програми и догов</w:t>
      </w:r>
      <w:r w:rsidR="008F1224" w:rsidRPr="00AA3F66">
        <w:t>ори, за които се прилага режим</w:t>
      </w:r>
      <w:r w:rsidRPr="00AA3F66">
        <w:t xml:space="preserve"> на сметките з</w:t>
      </w:r>
      <w:r w:rsidR="008F1224" w:rsidRPr="00AA3F66">
        <w:t>а средства от ЕС</w:t>
      </w:r>
      <w:bookmarkEnd w:id="392"/>
      <w:bookmarkEnd w:id="393"/>
      <w:bookmarkEnd w:id="394"/>
      <w:bookmarkEnd w:id="395"/>
      <w:r w:rsidR="008F1224" w:rsidRPr="00AA3F66">
        <w:t xml:space="preserve"> </w:t>
      </w:r>
      <w:bookmarkEnd w:id="379"/>
      <w:bookmarkEnd w:id="380"/>
      <w:bookmarkEnd w:id="381"/>
      <w:bookmarkEnd w:id="382"/>
      <w:bookmarkEnd w:id="383"/>
      <w:bookmarkEnd w:id="384"/>
      <w:bookmarkEnd w:id="385"/>
      <w:bookmarkEnd w:id="386"/>
      <w:bookmarkEnd w:id="387"/>
      <w:bookmarkEnd w:id="388"/>
      <w:bookmarkEnd w:id="389"/>
      <w:bookmarkEnd w:id="390"/>
      <w:bookmarkEnd w:id="391"/>
    </w:p>
    <w:p w14:paraId="417B74D0" w14:textId="77777777" w:rsidR="009B3234" w:rsidRPr="009B3234" w:rsidRDefault="009B3234" w:rsidP="009B3234">
      <w:r w:rsidRPr="009B3234">
        <w:t>С актуализираната средносрочна бюджетна прогноза за периода 2026-2028 г. са разчетени приходи, разходи и съответното съфинансиране от държавния бюджет по други сметки за средства от Европейския съюз и средства по международни програми и договори, за които се прилага режимът на сметките за средства от Европейския съюз. Разчетите са изготвени на база предложенията на първостепенните разпоредители с бюджет по държавния бюджет за очакваните приходи и разходи, включително и за съфинансирането им, по различните международни програми, проекти и договори.</w:t>
      </w:r>
    </w:p>
    <w:p w14:paraId="383D35FE" w14:textId="77777777" w:rsidR="009B3234" w:rsidRPr="009B3234" w:rsidRDefault="009B3234" w:rsidP="009B3234">
      <w:r w:rsidRPr="009B3234">
        <w:t xml:space="preserve">Финансирането на политиката в областта на вътрешния ред и сигурността се допълва със средства от Европейския съюз и средства по други международни програми и договори, за които се прилага режимът на сметките за средства от ЕС. В прогнозата за периода </w:t>
      </w:r>
      <w:r w:rsidRPr="009B3234">
        <w:lastRenderedPageBreak/>
        <w:t>2025-2028 г. на МВР са включени средства по Фонд „Убежище, миграция и интеграция“ (ФУМИ), Фонд „Вътрешна сигурност“ (ФВС), „Инструмента за финансова подкрепа за управлението на границите и визовата политика (ИУГВП) за периода 2021-2027 г.“, проекти, програми и грантови споразумения. Прогнозираното национално съфинансиране по тях възлиза на общо 108,8 млн. евро и е разпределено по години, както следва:</w:t>
      </w:r>
    </w:p>
    <w:p w14:paraId="1F4D105E" w14:textId="77777777" w:rsidR="009B3234" w:rsidRPr="009B3234" w:rsidRDefault="009B3234" w:rsidP="005B790D">
      <w:pPr>
        <w:numPr>
          <w:ilvl w:val="0"/>
          <w:numId w:val="23"/>
        </w:numPr>
        <w:tabs>
          <w:tab w:val="clear" w:pos="720"/>
          <w:tab w:val="num" w:pos="540"/>
        </w:tabs>
        <w:ind w:left="630" w:hanging="270"/>
      </w:pPr>
      <w:r w:rsidRPr="009B3234">
        <w:t xml:space="preserve">за 2026 г. </w:t>
      </w:r>
      <w:r w:rsidR="0053045E" w:rsidRPr="0053045E">
        <w:t xml:space="preserve">– </w:t>
      </w:r>
      <w:r w:rsidR="0053045E">
        <w:t>56,5 млн. евро</w:t>
      </w:r>
      <w:r w:rsidRPr="009B3234">
        <w:t>;</w:t>
      </w:r>
    </w:p>
    <w:p w14:paraId="6A799760" w14:textId="77777777" w:rsidR="009B3234" w:rsidRPr="009B3234" w:rsidRDefault="009B3234" w:rsidP="005B790D">
      <w:pPr>
        <w:numPr>
          <w:ilvl w:val="0"/>
          <w:numId w:val="23"/>
        </w:numPr>
        <w:tabs>
          <w:tab w:val="clear" w:pos="720"/>
          <w:tab w:val="num" w:pos="540"/>
        </w:tabs>
        <w:ind w:left="630" w:hanging="270"/>
      </w:pPr>
      <w:r w:rsidRPr="009B3234">
        <w:t xml:space="preserve">за 2027 г. </w:t>
      </w:r>
      <w:r w:rsidR="0053045E" w:rsidRPr="0053045E">
        <w:t xml:space="preserve">– </w:t>
      </w:r>
      <w:r w:rsidRPr="009B3234">
        <w:t>35,3 млн. евро;</w:t>
      </w:r>
    </w:p>
    <w:p w14:paraId="55B124AD" w14:textId="77777777" w:rsidR="009B3234" w:rsidRPr="009B3234" w:rsidRDefault="009B3234" w:rsidP="005B790D">
      <w:pPr>
        <w:numPr>
          <w:ilvl w:val="0"/>
          <w:numId w:val="23"/>
        </w:numPr>
        <w:tabs>
          <w:tab w:val="clear" w:pos="720"/>
          <w:tab w:val="num" w:pos="540"/>
        </w:tabs>
        <w:ind w:left="630" w:hanging="270"/>
      </w:pPr>
      <w:r w:rsidRPr="009B3234">
        <w:t>за 2028 г. – 17,0 млн. евро.</w:t>
      </w:r>
    </w:p>
    <w:p w14:paraId="07D8E2C8" w14:textId="77777777" w:rsidR="009B3234" w:rsidRPr="009B3234" w:rsidRDefault="009B3234" w:rsidP="009B3234">
      <w:r w:rsidRPr="009B3234">
        <w:t>С Решение на Министерски съвет № 196 от 11 април 2019 г. Министерството на вътрешните работи е определено за водещо ведомство за разработване на програмите на Република България по ФВС, ИУГВП и ФУМИ за периода 2021-2027 г. По визираните програми се предвижда предоставянето на средства и за Държавна агенция „Национална сигурност“, Държавна агенция „Технически операции“, Министерски съвет на Република България и Министерство на външните работи.</w:t>
      </w:r>
    </w:p>
    <w:p w14:paraId="2680D5A5" w14:textId="77777777" w:rsidR="009B3234" w:rsidRPr="009B3234" w:rsidRDefault="009B3234" w:rsidP="009B3234">
      <w:r w:rsidRPr="009B3234">
        <w:t>В прогнозата за периода 2026-2028 г. в областта на регионалното развитие са разчетени приходите и разходите за дванадесетте програми на Европейския съюз по трите направления на европейското териториално сътрудничество (ИНТЕРРЕГ): трансгранично (V-A), транснационално (V-B) и междурегионално (V-C), съфинансирани от Европейския фонд за регионално развитие (ЕФРР), Инструмента за предприсъединителна помощ II (ИПП II) и Европейския инструмент за съседство (ЕИС) за периода 2014-2020 г. и за периода 2021-2027 г., в които България участва.</w:t>
      </w:r>
    </w:p>
    <w:p w14:paraId="3790DD41" w14:textId="77777777" w:rsidR="009B3234" w:rsidRPr="009B3234" w:rsidRDefault="009B3234" w:rsidP="00B13FA1">
      <w:r w:rsidRPr="009B3234">
        <w:t>В прогнозата за периода 2026-2028 г. на МВнР са разчетени средства за следните три проекти, за които се прилага режимът на сметките за средства от ЕС:</w:t>
      </w:r>
    </w:p>
    <w:p w14:paraId="4B84D6F0" w14:textId="77777777" w:rsidR="009B3234" w:rsidRPr="009B3234" w:rsidRDefault="009B3234" w:rsidP="005B790D">
      <w:pPr>
        <w:numPr>
          <w:ilvl w:val="0"/>
          <w:numId w:val="35"/>
        </w:numPr>
      </w:pPr>
      <w:r w:rsidRPr="009B3234">
        <w:t>Проект № BG65BVPR001-2.002-0002 с наименование „Развитие и надграждане на програмното и техническото осигуряване на НВИС“, финансиран по линия на административен договор за предоставяне на безвъзмездна финансова помощ с рег. № 812108-81/20.11.2024 г. от Инструмента за финансова подкрепа за управлението на границите и визовата политика 2021-2027, с</w:t>
      </w:r>
      <w:r w:rsidR="00B13FA1">
        <w:t>ъфинансиран от Европейския съюз;</w:t>
      </w:r>
      <w:r w:rsidRPr="009B3234">
        <w:t xml:space="preserve"> </w:t>
      </w:r>
    </w:p>
    <w:p w14:paraId="4236843D" w14:textId="77777777" w:rsidR="009B3234" w:rsidRPr="009B3234" w:rsidRDefault="009B3234" w:rsidP="005B790D">
      <w:pPr>
        <w:numPr>
          <w:ilvl w:val="0"/>
          <w:numId w:val="35"/>
        </w:numPr>
      </w:pPr>
      <w:r w:rsidRPr="009B3234">
        <w:t>Проект № BG65BVPR001-2.001-0001 с наименование „Следгаранционна поддръжка и обновяване на софтуерните компоненти на НВИС“, финансиран по линия на административен договор за предоставяне на безвъзмездна финансова помощ с рег. № 812108-10/09.02.2024 г. от Инструмента за финансова подкрепа за управлението на границите и визовата политика 2021-2027, с</w:t>
      </w:r>
      <w:r w:rsidR="00B13FA1">
        <w:t>ъфинансиран от Европейския съюз;</w:t>
      </w:r>
      <w:r w:rsidRPr="009B3234">
        <w:t xml:space="preserve"> </w:t>
      </w:r>
    </w:p>
    <w:p w14:paraId="407BE3D7" w14:textId="77777777" w:rsidR="009B3234" w:rsidRPr="009B3234" w:rsidRDefault="009B3234" w:rsidP="005B790D">
      <w:pPr>
        <w:numPr>
          <w:ilvl w:val="0"/>
          <w:numId w:val="35"/>
        </w:numPr>
      </w:pPr>
      <w:r w:rsidRPr="009B3234">
        <w:t xml:space="preserve">Проект № BG65BVPR001-2.001-0002 с наименование „Надграждане на свързаността между МВнР и задграничните представителства на България“, финансиран по линия на административен договор за предоставяне на безвъзмездна финансова помощ с рег. № 812108- 11/09.02.2024 г. от Инструмента за финансова подкрепа за управлението на границите и визовата политика 2021-2027, съфинансиран от Европейския съюз. </w:t>
      </w:r>
    </w:p>
    <w:p w14:paraId="6BE0741D" w14:textId="77777777" w:rsidR="009B3234" w:rsidRPr="009B3234" w:rsidRDefault="009B3234" w:rsidP="009B3234">
      <w:r w:rsidRPr="009B3234">
        <w:t xml:space="preserve">Прогнозираното национално съфинансиране по тях възлиза на 7,8 млн. евро за 2026 г., 4,2 млн. евро за 2027 г. и 0,6 млн. евро за 2028 г. </w:t>
      </w:r>
    </w:p>
    <w:p w14:paraId="1CD3618A" w14:textId="77777777" w:rsidR="003A04FC" w:rsidRPr="00076449" w:rsidRDefault="003A04FC" w:rsidP="00076449">
      <w:pPr>
        <w:pStyle w:val="Heading2"/>
        <w:numPr>
          <w:ilvl w:val="1"/>
          <w:numId w:val="3"/>
        </w:numPr>
      </w:pPr>
      <w:bookmarkStart w:id="396" w:name="_Toc216029360"/>
      <w:bookmarkStart w:id="397" w:name="_Toc464224808"/>
      <w:bookmarkStart w:id="398" w:name="_Toc464225458"/>
      <w:bookmarkStart w:id="399" w:name="_Toc464459005"/>
      <w:bookmarkStart w:id="400" w:name="_Toc464459753"/>
      <w:bookmarkStart w:id="401" w:name="_Toc464460706"/>
      <w:bookmarkStart w:id="402" w:name="_Toc464463105"/>
      <w:bookmarkStart w:id="403" w:name="_Toc464464934"/>
      <w:bookmarkStart w:id="404" w:name="_Toc464465438"/>
      <w:bookmarkStart w:id="405" w:name="_Toc464465626"/>
      <w:bookmarkStart w:id="406" w:name="_Toc464466451"/>
      <w:bookmarkStart w:id="407" w:name="_Toc464466695"/>
      <w:bookmarkStart w:id="408" w:name="_Toc464645014"/>
      <w:bookmarkStart w:id="409" w:name="_Toc465205567"/>
      <w:r w:rsidRPr="00076449">
        <w:lastRenderedPageBreak/>
        <w:t xml:space="preserve">Прогноза за вноската на Република България в общия бюджет на </w:t>
      </w:r>
      <w:r w:rsidR="00261054" w:rsidRPr="00076449">
        <w:t>ЕС</w:t>
      </w:r>
      <w:bookmarkEnd w:id="396"/>
    </w:p>
    <w:p w14:paraId="7451BF46" w14:textId="77777777" w:rsidR="0021356F" w:rsidRPr="005B4213" w:rsidRDefault="0021356F" w:rsidP="0021356F">
      <w:pPr>
        <w:rPr>
          <w:rFonts w:eastAsia="Times New Roman"/>
          <w:szCs w:val="24"/>
          <w:lang w:eastAsia="zh-CN"/>
        </w:rPr>
      </w:pPr>
      <w:r w:rsidRPr="005B4213">
        <w:rPr>
          <w:rFonts w:eastAsia="Times New Roman"/>
          <w:szCs w:val="24"/>
          <w:lang w:eastAsia="zh-CN"/>
        </w:rPr>
        <w:t xml:space="preserve">Прогнозата за размера на вноските на Република България в общия бюджет на </w:t>
      </w:r>
      <w:r w:rsidR="00FB4D8A" w:rsidRPr="005B4213">
        <w:rPr>
          <w:rFonts w:eastAsia="Times New Roman"/>
          <w:szCs w:val="24"/>
          <w:lang w:eastAsia="zh-CN"/>
        </w:rPr>
        <w:t>Европейския съюз</w:t>
      </w:r>
      <w:r w:rsidRPr="005B4213">
        <w:rPr>
          <w:rFonts w:eastAsia="Times New Roman"/>
          <w:szCs w:val="24"/>
          <w:lang w:eastAsia="zh-CN"/>
        </w:rPr>
        <w:t xml:space="preserve"> по години за периода 202</w:t>
      </w:r>
      <w:r w:rsidR="000C0D0E" w:rsidRPr="005B4213">
        <w:rPr>
          <w:rFonts w:eastAsia="Times New Roman"/>
          <w:szCs w:val="24"/>
          <w:lang w:eastAsia="zh-CN"/>
        </w:rPr>
        <w:t>6</w:t>
      </w:r>
      <w:r w:rsidRPr="005B4213">
        <w:rPr>
          <w:rFonts w:eastAsia="Times New Roman"/>
          <w:szCs w:val="24"/>
          <w:lang w:eastAsia="zh-CN"/>
        </w:rPr>
        <w:t xml:space="preserve">-2028 г. е, както следва: </w:t>
      </w:r>
      <w:r w:rsidR="0060382E" w:rsidRPr="005B4213">
        <w:rPr>
          <w:rFonts w:eastAsia="Times New Roman"/>
          <w:szCs w:val="24"/>
          <w:lang w:eastAsia="zh-CN"/>
        </w:rPr>
        <w:t>1 209,1</w:t>
      </w:r>
      <w:r w:rsidRPr="005B4213">
        <w:rPr>
          <w:rFonts w:eastAsia="Times New Roman"/>
          <w:szCs w:val="24"/>
          <w:lang w:eastAsia="zh-CN"/>
        </w:rPr>
        <w:t xml:space="preserve"> млн. евро за 2026 г., </w:t>
      </w:r>
      <w:r w:rsidR="0060382E" w:rsidRPr="005B4213">
        <w:rPr>
          <w:rFonts w:eastAsia="Times New Roman"/>
          <w:szCs w:val="24"/>
          <w:lang w:eastAsia="zh-CN"/>
        </w:rPr>
        <w:t>1 309,9</w:t>
      </w:r>
      <w:r w:rsidRPr="005B4213">
        <w:rPr>
          <w:rFonts w:eastAsia="Times New Roman"/>
          <w:szCs w:val="24"/>
          <w:lang w:eastAsia="zh-CN"/>
        </w:rPr>
        <w:t> млн. евро за 2027 </w:t>
      </w:r>
      <w:r w:rsidR="0060382E" w:rsidRPr="005B4213">
        <w:rPr>
          <w:rFonts w:eastAsia="Times New Roman"/>
          <w:szCs w:val="24"/>
          <w:lang w:eastAsia="zh-CN"/>
        </w:rPr>
        <w:t>г. и</w:t>
      </w:r>
      <w:r w:rsidRPr="005B4213">
        <w:rPr>
          <w:rFonts w:eastAsia="Times New Roman"/>
          <w:szCs w:val="24"/>
          <w:lang w:eastAsia="zh-CN"/>
        </w:rPr>
        <w:t> </w:t>
      </w:r>
      <w:r w:rsidR="0060382E" w:rsidRPr="005B4213">
        <w:rPr>
          <w:rFonts w:eastAsia="Times New Roman"/>
          <w:szCs w:val="24"/>
          <w:lang w:eastAsia="zh-CN"/>
        </w:rPr>
        <w:t>1 659,1 </w:t>
      </w:r>
      <w:r w:rsidRPr="005B4213">
        <w:rPr>
          <w:rFonts w:eastAsia="Times New Roman"/>
          <w:szCs w:val="24"/>
          <w:lang w:eastAsia="zh-CN"/>
        </w:rPr>
        <w:t>млн. евро за 2028 г.</w:t>
      </w:r>
    </w:p>
    <w:p w14:paraId="7F23DFF4" w14:textId="77777777" w:rsidR="0060382E" w:rsidRPr="00EE5361" w:rsidRDefault="0060382E" w:rsidP="0060382E">
      <w:pPr>
        <w:rPr>
          <w:rFonts w:eastAsia="Times New Roman"/>
          <w:szCs w:val="24"/>
          <w:lang w:eastAsia="zh-CN"/>
        </w:rPr>
      </w:pPr>
      <w:r w:rsidRPr="00EE5361">
        <w:rPr>
          <w:rFonts w:eastAsia="Times New Roman"/>
          <w:szCs w:val="24"/>
          <w:lang w:eastAsia="zh-CN"/>
        </w:rPr>
        <w:t xml:space="preserve">Тази прогноза е изготвена въз основа на: </w:t>
      </w:r>
    </w:p>
    <w:p w14:paraId="1E5399D7" w14:textId="77777777" w:rsidR="0060382E" w:rsidRPr="00EE5361" w:rsidRDefault="0060382E" w:rsidP="0060382E">
      <w:pPr>
        <w:numPr>
          <w:ilvl w:val="0"/>
          <w:numId w:val="7"/>
        </w:numPr>
        <w:rPr>
          <w:rFonts w:eastAsia="Batang" w:cs="Times New Roman"/>
        </w:rPr>
      </w:pPr>
      <w:r w:rsidRPr="00EE5361">
        <w:rPr>
          <w:rFonts w:eastAsia="Batang" w:cs="Times New Roman"/>
        </w:rPr>
        <w:t>действащото европейско законодателство по отношение бюджета на ЕС</w:t>
      </w:r>
      <w:r w:rsidRPr="00EE5361">
        <w:rPr>
          <w:rStyle w:val="FootnoteReference"/>
          <w:rFonts w:eastAsia="Batang"/>
          <w:sz w:val="20"/>
          <w:szCs w:val="20"/>
        </w:rPr>
        <w:footnoteReference w:id="39"/>
      </w:r>
      <w:r w:rsidRPr="00EE5361">
        <w:rPr>
          <w:rFonts w:eastAsia="Batang" w:cs="Times New Roman"/>
        </w:rPr>
        <w:t>, както и Съобщение на Комисията до Европейския парламент (ЕП) и Съвета „Техническа корекция на многогодишната финансова рамка за 2026 г. в съответствие с член 4 от Регламент (ЕС, Евратом) 2020/2093 на Съвета за определяне на многогодишната финансова рамка за годините 2021-2027“, както и Доклада на Европейската комисия (ЕК) до ЕП и Съвета „Дългосрочна прогноза за бъдещите входящи и изходящи парични потоци на бюджета на ЕС за периода 2026-2034 г.“ и на представеното на 16.07.2025 г. амбициозно предложение на ЕК за Регламент за определяне на Многогодишната финансова рамка (МФР) за годините 2028-2034;</w:t>
      </w:r>
    </w:p>
    <w:p w14:paraId="08418CE0" w14:textId="77777777" w:rsidR="0060382E" w:rsidRPr="00EE5361" w:rsidRDefault="0060382E" w:rsidP="0060382E">
      <w:pPr>
        <w:numPr>
          <w:ilvl w:val="0"/>
          <w:numId w:val="7"/>
        </w:numPr>
        <w:rPr>
          <w:rFonts w:eastAsia="Batang" w:cs="Times New Roman"/>
        </w:rPr>
      </w:pPr>
      <w:r w:rsidRPr="00EE5361">
        <w:rPr>
          <w:rFonts w:eastAsia="Batang" w:cs="Times New Roman"/>
        </w:rPr>
        <w:t>прогнози по години за периода 2026-2028 г. за отделните категории собствени ресурси</w:t>
      </w:r>
      <w:r w:rsidRPr="00EE5361">
        <w:rPr>
          <w:rStyle w:val="FootnoteReference"/>
          <w:rFonts w:eastAsia="Batang"/>
          <w:sz w:val="20"/>
          <w:szCs w:val="20"/>
        </w:rPr>
        <w:footnoteReference w:id="40"/>
      </w:r>
      <w:r w:rsidRPr="00EE5361">
        <w:rPr>
          <w:rFonts w:eastAsia="Batang" w:cs="Times New Roman"/>
        </w:rPr>
        <w:t>, съставляващи вноската на Република България в общия бюджет на ЕС, изготвени при отчитане макроикономическата прогноза за периода 2026-2028 г., получена на 23.10.2025 г.;</w:t>
      </w:r>
    </w:p>
    <w:p w14:paraId="55C61097" w14:textId="77777777" w:rsidR="003908A3" w:rsidRPr="0064339F" w:rsidRDefault="0060382E" w:rsidP="00552E6B">
      <w:pPr>
        <w:numPr>
          <w:ilvl w:val="0"/>
          <w:numId w:val="7"/>
        </w:numPr>
        <w:rPr>
          <w:rFonts w:eastAsia="Times New Roman"/>
          <w:szCs w:val="24"/>
          <w:lang w:eastAsia="zh-CN"/>
        </w:rPr>
      </w:pPr>
      <w:r w:rsidRPr="0064339F">
        <w:rPr>
          <w:rFonts w:eastAsia="Batang" w:cs="Times New Roman"/>
        </w:rPr>
        <w:t xml:space="preserve">прогнози по години за периода 2026-2028 г. за отделни категории собствени ресурси, съставляващи вноските в общия бюджет на ЕС на останалите държави членки, изготвени въз основа на одобрените прогнози за 2026 г. на заседанието на Консултативния комитет по собствените ресурси (ККСР) – Подкомитет „Прогнози“, проведено на 26.05.2025 г., преизчислени чрез прилагане на очакваните стойности за номиналните и реалните растежи на БНД и брутния вътрешен продукт (БВП) и за </w:t>
      </w:r>
      <w:proofErr w:type="spellStart"/>
      <w:r w:rsidRPr="0064339F">
        <w:rPr>
          <w:rFonts w:eastAsia="Batang" w:cs="Times New Roman"/>
        </w:rPr>
        <w:t>дефлатора</w:t>
      </w:r>
      <w:proofErr w:type="spellEnd"/>
      <w:r w:rsidRPr="0064339F">
        <w:rPr>
          <w:rFonts w:eastAsia="Batang" w:cs="Times New Roman"/>
        </w:rPr>
        <w:t xml:space="preserve"> (въз основа на пролетната прогноза на ЕК) по години и държави членки с оглед изчисляване на съ</w:t>
      </w:r>
      <w:r w:rsidR="0064339F" w:rsidRPr="0064339F">
        <w:rPr>
          <w:rFonts w:eastAsia="Batang" w:cs="Times New Roman"/>
        </w:rPr>
        <w:t>ответните вноски за 2026-2028 г</w:t>
      </w:r>
    </w:p>
    <w:p w14:paraId="2A7758EF" w14:textId="77777777" w:rsidR="009D0FEB" w:rsidRPr="009D0FEB" w:rsidRDefault="009D0FEB" w:rsidP="009D0FEB">
      <w:pPr>
        <w:sectPr w:rsidR="009D0FEB" w:rsidRPr="009D0FEB" w:rsidSect="002D7CED">
          <w:type w:val="oddPage"/>
          <w:pgSz w:w="11906" w:h="16838" w:code="9"/>
          <w:pgMar w:top="1418" w:right="1418" w:bottom="851" w:left="1418" w:header="708" w:footer="708" w:gutter="0"/>
          <w:cols w:space="708"/>
          <w:titlePg/>
          <w:docGrid w:linePitch="360"/>
        </w:sectPr>
      </w:pPr>
      <w:bookmarkStart w:id="410" w:name="_Toc464465440"/>
      <w:bookmarkStart w:id="411" w:name="_Toc464465628"/>
      <w:bookmarkStart w:id="412" w:name="_Toc464466453"/>
      <w:bookmarkStart w:id="413" w:name="_Toc464466697"/>
      <w:bookmarkStart w:id="414" w:name="_Toc464466735"/>
      <w:bookmarkStart w:id="415" w:name="_Toc464470245"/>
      <w:bookmarkStart w:id="416" w:name="_Toc464645017"/>
      <w:bookmarkStart w:id="417" w:name="_Toc464646379"/>
      <w:bookmarkStart w:id="418" w:name="_Toc464224809"/>
      <w:bookmarkStart w:id="419" w:name="_Toc464225459"/>
      <w:bookmarkStart w:id="420" w:name="_Toc464459006"/>
      <w:bookmarkStart w:id="421" w:name="_Toc464459754"/>
      <w:bookmarkStart w:id="422" w:name="_Toc464460707"/>
      <w:bookmarkStart w:id="423" w:name="_Toc464463106"/>
      <w:bookmarkStart w:id="424" w:name="_Toc464464935"/>
      <w:bookmarkEnd w:id="397"/>
      <w:bookmarkEnd w:id="398"/>
      <w:bookmarkEnd w:id="399"/>
      <w:bookmarkEnd w:id="400"/>
      <w:bookmarkEnd w:id="401"/>
      <w:bookmarkEnd w:id="402"/>
      <w:bookmarkEnd w:id="403"/>
      <w:bookmarkEnd w:id="404"/>
      <w:bookmarkEnd w:id="405"/>
      <w:bookmarkEnd w:id="406"/>
      <w:bookmarkEnd w:id="407"/>
      <w:bookmarkEnd w:id="408"/>
      <w:bookmarkEnd w:id="409"/>
    </w:p>
    <w:bookmarkStart w:id="425" w:name="_Toc216029361"/>
    <w:p w14:paraId="3F9B87C4" w14:textId="77777777" w:rsidR="005519CA" w:rsidRPr="00AA15E0" w:rsidRDefault="001E0DF0" w:rsidP="00B1660C">
      <w:pPr>
        <w:pStyle w:val="Heading1"/>
        <w:rPr>
          <w:color w:val="auto"/>
        </w:rPr>
      </w:pPr>
      <w:r w:rsidRPr="001E0DF0">
        <w:rPr>
          <w:noProof/>
        </w:rPr>
        <w:lastRenderedPageBreak/>
        <mc:AlternateContent>
          <mc:Choice Requires="wps">
            <w:drawing>
              <wp:anchor distT="0" distB="0" distL="114300" distR="114300" simplePos="0" relativeHeight="251675136" behindDoc="0" locked="0" layoutInCell="1" allowOverlap="1" wp14:anchorId="58895309" wp14:editId="274366B3">
                <wp:simplePos x="0" y="0"/>
                <wp:positionH relativeFrom="column">
                  <wp:posOffset>-898525</wp:posOffset>
                </wp:positionH>
                <wp:positionV relativeFrom="paragraph">
                  <wp:posOffset>1405577</wp:posOffset>
                </wp:positionV>
                <wp:extent cx="7560310" cy="0"/>
                <wp:effectExtent l="0" t="0" r="21590" b="19050"/>
                <wp:wrapNone/>
                <wp:docPr id="695" name="Straight Connector 695"/>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19657" id="Straight Connector 695"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70.75pt,110.7pt" to="524.55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" strokecolor="#b32c16 [3206]"/>
            </w:pict>
          </mc:Fallback>
        </mc:AlternateContent>
      </w:r>
      <w:r w:rsidRPr="001E0DF0">
        <w:rPr>
          <w:noProof/>
        </w:rPr>
        <mc:AlternateContent>
          <mc:Choice Requires="wps">
            <w:drawing>
              <wp:anchor distT="0" distB="0" distL="114300" distR="114300" simplePos="0" relativeHeight="251672064" behindDoc="1" locked="0" layoutInCell="1" allowOverlap="1" wp14:anchorId="5FC7A01E" wp14:editId="0856767E">
                <wp:simplePos x="0" y="0"/>
                <wp:positionH relativeFrom="page">
                  <wp:posOffset>0</wp:posOffset>
                </wp:positionH>
                <wp:positionV relativeFrom="page">
                  <wp:posOffset>0</wp:posOffset>
                </wp:positionV>
                <wp:extent cx="7560000" cy="2304000"/>
                <wp:effectExtent l="0" t="0" r="3175" b="1270"/>
                <wp:wrapNone/>
                <wp:docPr id="694" name="Rectangle 694"/>
                <wp:cNvGraphicFramePr/>
                <a:graphic xmlns:a="http://schemas.openxmlformats.org/drawingml/2006/main">
                  <a:graphicData uri="http://schemas.microsoft.com/office/word/2010/wordprocessingShape">
                    <wps:wsp>
                      <wps:cNvSpPr/>
                      <wps:spPr>
                        <a:xfrm>
                          <a:off x="0" y="0"/>
                          <a:ext cx="756000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0FDEB" id="Rectangle 694" o:spid="_x0000_s1026" style="position:absolute;margin-left:0;margin-top:0;width:595.3pt;height:181.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" fillcolor="#f8cec7 [662]" stroked="f" strokeweight="1pt">
                <w10:wrap anchorx="page" anchory="page"/>
              </v:rect>
            </w:pict>
          </mc:Fallback>
        </mc:AlternateContent>
      </w:r>
      <w:r w:rsidR="00AA3035">
        <w:br/>
      </w:r>
      <w:bookmarkStart w:id="426" w:name="_Toc465205568"/>
      <w:r w:rsidR="005519CA" w:rsidRPr="001E0DF0">
        <w:rPr>
          <w:color w:val="auto"/>
        </w:rPr>
        <w:t xml:space="preserve">Политика по дълга и </w:t>
      </w:r>
      <w:r w:rsidR="00AA3035" w:rsidRPr="001E0DF0">
        <w:rPr>
          <w:color w:val="auto"/>
        </w:rPr>
        <w:t>ф</w:t>
      </w:r>
      <w:r w:rsidR="005519CA" w:rsidRPr="001E0DF0">
        <w:rPr>
          <w:color w:val="auto"/>
        </w:rPr>
        <w:t xml:space="preserve">инансирането </w:t>
      </w:r>
      <w:r w:rsidR="00B51C67" w:rsidRPr="001E0DF0">
        <w:rPr>
          <w:color w:val="auto"/>
        </w:rPr>
        <w:br/>
      </w:r>
      <w:r w:rsidR="00BC40BD">
        <w:rPr>
          <w:color w:val="auto"/>
        </w:rPr>
        <w:t>за п</w:t>
      </w:r>
      <w:r w:rsidR="00E91E4E">
        <w:rPr>
          <w:color w:val="auto"/>
        </w:rPr>
        <w:t>ериод</w:t>
      </w:r>
      <w:r w:rsidR="00904A17">
        <w:rPr>
          <w:color w:val="auto"/>
        </w:rPr>
        <w:t>а 2026</w:t>
      </w:r>
      <w:r w:rsidR="005519CA" w:rsidRPr="001E0DF0">
        <w:rPr>
          <w:color w:val="auto"/>
        </w:rPr>
        <w:t>-20</w:t>
      </w:r>
      <w:r w:rsidR="00D16620">
        <w:rPr>
          <w:color w:val="auto"/>
        </w:rPr>
        <w:t>2</w:t>
      </w:r>
      <w:r w:rsidR="00656F22">
        <w:rPr>
          <w:color w:val="auto"/>
        </w:rPr>
        <w:t>8</w:t>
      </w:r>
      <w:r w:rsidR="00AA3035" w:rsidRPr="001E0DF0">
        <w:rPr>
          <w:color w:val="auto"/>
        </w:rPr>
        <w:t> г.</w:t>
      </w:r>
      <w:bookmarkEnd w:id="410"/>
      <w:bookmarkEnd w:id="411"/>
      <w:bookmarkEnd w:id="412"/>
      <w:bookmarkEnd w:id="413"/>
      <w:bookmarkEnd w:id="414"/>
      <w:bookmarkEnd w:id="415"/>
      <w:bookmarkEnd w:id="416"/>
      <w:bookmarkEnd w:id="417"/>
      <w:bookmarkEnd w:id="425"/>
      <w:bookmarkEnd w:id="426"/>
    </w:p>
    <w:bookmarkEnd w:id="418"/>
    <w:bookmarkEnd w:id="419"/>
    <w:bookmarkEnd w:id="420"/>
    <w:bookmarkEnd w:id="421"/>
    <w:bookmarkEnd w:id="422"/>
    <w:bookmarkEnd w:id="423"/>
    <w:bookmarkEnd w:id="424"/>
    <w:p w14:paraId="4CB433DB" w14:textId="77777777" w:rsidR="00AA4B48" w:rsidRPr="00AA4B48" w:rsidRDefault="00AA4B48" w:rsidP="00AA4B48">
      <w:pPr>
        <w:rPr>
          <w:rFonts w:eastAsia="Batang" w:cs="Times New Roman"/>
          <w:szCs w:val="24"/>
        </w:rPr>
      </w:pPr>
      <w:r w:rsidRPr="00AA4B48">
        <w:rPr>
          <w:rFonts w:eastAsia="Batang" w:cs="Times New Roman"/>
          <w:szCs w:val="24"/>
        </w:rPr>
        <w:t xml:space="preserve">Политиката на правителството </w:t>
      </w:r>
      <w:r>
        <w:rPr>
          <w:rFonts w:eastAsia="Batang" w:cs="Times New Roman"/>
          <w:szCs w:val="24"/>
        </w:rPr>
        <w:t>за управление на държавния дълг</w:t>
      </w:r>
      <w:r w:rsidRPr="00AA4B48">
        <w:rPr>
          <w:rFonts w:eastAsia="Batang" w:cs="Times New Roman"/>
          <w:szCs w:val="24"/>
        </w:rPr>
        <w:t xml:space="preserve"> за периода 2026-2028 г. ще бъде насочена към осигуряване на необходимите ресурси за рефинансиране на дълга в обращение, финансиране на планираните дефицити по държавния бюджет </w:t>
      </w:r>
      <w:r w:rsidR="00671077">
        <w:rPr>
          <w:rFonts w:eastAsia="Batang" w:cs="Times New Roman"/>
          <w:szCs w:val="24"/>
        </w:rPr>
        <w:t xml:space="preserve">и </w:t>
      </w:r>
      <w:r w:rsidR="00671077" w:rsidRPr="00671077">
        <w:rPr>
          <w:rFonts w:eastAsia="Batang" w:cs="Times New Roman"/>
          <w:szCs w:val="24"/>
        </w:rPr>
        <w:t>подкрепа на ликвидността</w:t>
      </w:r>
      <w:r w:rsidRPr="00AA4B48">
        <w:rPr>
          <w:rFonts w:eastAsia="Batang" w:cs="Times New Roman"/>
          <w:szCs w:val="24"/>
        </w:rPr>
        <w:t>. Основните предизвикателства и цели ще бъдат съсредоточени в посока обезпечаване на възможности за пазарно-ориентирано финансиране както на местния, така и на международните капиталови пазари и на договаряне на държавни заеми от международни финансови институции, включително за финансиране на проекти и програми при спазване на нормативно регламентираните годишни дългови ограничения.</w:t>
      </w:r>
    </w:p>
    <w:p w14:paraId="3836479A" w14:textId="77777777" w:rsidR="00D427A3" w:rsidRPr="00AA3F66" w:rsidRDefault="00853713" w:rsidP="00B1660C">
      <w:pPr>
        <w:pStyle w:val="Heading2"/>
        <w:numPr>
          <w:ilvl w:val="1"/>
          <w:numId w:val="3"/>
        </w:numPr>
      </w:pPr>
      <w:bookmarkStart w:id="427" w:name="_Toc216029362"/>
      <w:bookmarkStart w:id="428" w:name="_Toc464224811"/>
      <w:bookmarkStart w:id="429" w:name="_Toc464225461"/>
      <w:bookmarkStart w:id="430" w:name="_Toc464459008"/>
      <w:bookmarkStart w:id="431" w:name="_Toc464459756"/>
      <w:bookmarkStart w:id="432" w:name="_Toc464460709"/>
      <w:bookmarkStart w:id="433" w:name="_Toc464463108"/>
      <w:bookmarkStart w:id="434" w:name="_Toc464464937"/>
      <w:bookmarkStart w:id="435" w:name="_Toc464465444"/>
      <w:bookmarkStart w:id="436" w:name="_Toc464465630"/>
      <w:bookmarkStart w:id="437" w:name="_Toc464466455"/>
      <w:bookmarkStart w:id="438" w:name="_Toc464466699"/>
      <w:bookmarkStart w:id="439" w:name="_Toc464645019"/>
      <w:bookmarkStart w:id="440" w:name="_Toc465205569"/>
      <w:r w:rsidRPr="00AA3F66">
        <w:t>Д</w:t>
      </w:r>
      <w:r w:rsidR="00D427A3" w:rsidRPr="00AA3F66">
        <w:t>ържавен дълг. Обслужване и финансиране</w:t>
      </w:r>
      <w:bookmarkEnd w:id="427"/>
    </w:p>
    <w:bookmarkEnd w:id="428"/>
    <w:bookmarkEnd w:id="429"/>
    <w:bookmarkEnd w:id="430"/>
    <w:bookmarkEnd w:id="431"/>
    <w:bookmarkEnd w:id="432"/>
    <w:bookmarkEnd w:id="433"/>
    <w:bookmarkEnd w:id="434"/>
    <w:bookmarkEnd w:id="435"/>
    <w:bookmarkEnd w:id="436"/>
    <w:bookmarkEnd w:id="437"/>
    <w:bookmarkEnd w:id="438"/>
    <w:bookmarkEnd w:id="439"/>
    <w:bookmarkEnd w:id="440"/>
    <w:p w14:paraId="1565C021" w14:textId="77777777" w:rsidR="00AA4B48" w:rsidRPr="0020023C" w:rsidRDefault="00AA4B48" w:rsidP="00AA4B48">
      <w:pPr>
        <w:rPr>
          <w:rFonts w:eastAsia="Calibri"/>
          <w:szCs w:val="24"/>
        </w:rPr>
      </w:pPr>
      <w:r w:rsidRPr="0020023C">
        <w:rPr>
          <w:rFonts w:eastAsia="Calibri"/>
          <w:szCs w:val="24"/>
        </w:rPr>
        <w:t>Номиналният размер на държавния дълг към 31.12.2024</w:t>
      </w:r>
      <w:r w:rsidR="00203012">
        <w:rPr>
          <w:rFonts w:eastAsia="Calibri"/>
          <w:szCs w:val="24"/>
        </w:rPr>
        <w:t xml:space="preserve"> г. възлиза на 24,2 млрд. евро </w:t>
      </w:r>
      <w:r w:rsidRPr="0020023C">
        <w:rPr>
          <w:rFonts w:eastAsia="Calibri"/>
          <w:szCs w:val="24"/>
        </w:rPr>
        <w:t xml:space="preserve">или под прага на предвиденото в Закона за държавния бюджет за 2024 г. дългово ограничение от 24,5 млрд. евро (48,0 млрд. </w:t>
      </w:r>
      <w:proofErr w:type="spellStart"/>
      <w:r w:rsidRPr="0020023C">
        <w:rPr>
          <w:rFonts w:eastAsia="Calibri"/>
          <w:szCs w:val="24"/>
        </w:rPr>
        <w:t>лв</w:t>
      </w:r>
      <w:proofErr w:type="spellEnd"/>
      <w:r w:rsidRPr="0020023C">
        <w:rPr>
          <w:rFonts w:eastAsia="Calibri"/>
          <w:szCs w:val="24"/>
        </w:rPr>
        <w:t xml:space="preserve">). Съотношението на държавния дълг към БВП към края на 2024 г. възлиза на 23,1%. </w:t>
      </w:r>
      <w:proofErr w:type="spellStart"/>
      <w:r w:rsidRPr="0020023C">
        <w:rPr>
          <w:rFonts w:eastAsia="Calibri"/>
          <w:szCs w:val="24"/>
        </w:rPr>
        <w:t>Новопоетият</w:t>
      </w:r>
      <w:proofErr w:type="spellEnd"/>
      <w:r w:rsidRPr="0020023C">
        <w:rPr>
          <w:rFonts w:eastAsia="Calibri"/>
          <w:szCs w:val="24"/>
        </w:rPr>
        <w:t xml:space="preserve"> през годината държавен дълг възлиза на 5,2 млрд. евро (при законово ограничение за новия дълг, който може да бъде поет през годината от 6,0 млрд. евро), в т.ч. емисии на ДЦК</w:t>
      </w:r>
      <w:r w:rsidR="00380321" w:rsidRPr="0020023C">
        <w:rPr>
          <w:rStyle w:val="FootnoteReference"/>
          <w:rFonts w:eastAsia="Calibri"/>
          <w:szCs w:val="24"/>
        </w:rPr>
        <w:footnoteReference w:id="41"/>
      </w:r>
      <w:r w:rsidRPr="0020023C">
        <w:rPr>
          <w:rFonts w:eastAsia="Calibri"/>
          <w:szCs w:val="24"/>
        </w:rPr>
        <w:t xml:space="preserve"> на вътрешния пазар и облигации на международните капиталови пазари. </w:t>
      </w:r>
      <w:r w:rsidRPr="0020023C">
        <w:rPr>
          <w:rFonts w:eastAsia="Calibri"/>
          <w:szCs w:val="24"/>
          <w:lang w:val="en-US"/>
        </w:rPr>
        <w:t>E</w:t>
      </w:r>
      <w:proofErr w:type="spellStart"/>
      <w:r w:rsidRPr="0020023C">
        <w:rPr>
          <w:rFonts w:eastAsia="Calibri"/>
          <w:szCs w:val="24"/>
        </w:rPr>
        <w:t>митираните</w:t>
      </w:r>
      <w:proofErr w:type="spellEnd"/>
      <w:r w:rsidRPr="0020023C">
        <w:rPr>
          <w:rFonts w:eastAsia="Calibri"/>
          <w:szCs w:val="24"/>
        </w:rPr>
        <w:t xml:space="preserve"> </w:t>
      </w:r>
      <w:r w:rsidR="002D77B3" w:rsidRPr="0020023C">
        <w:rPr>
          <w:rFonts w:eastAsia="Calibri"/>
          <w:szCs w:val="24"/>
        </w:rPr>
        <w:t xml:space="preserve">на вътрешния пазар </w:t>
      </w:r>
      <w:r w:rsidRPr="0020023C">
        <w:rPr>
          <w:rFonts w:eastAsia="Calibri"/>
          <w:szCs w:val="24"/>
        </w:rPr>
        <w:t>ДЦК</w:t>
      </w:r>
      <w:r w:rsidR="002D77B3" w:rsidRPr="0020023C">
        <w:rPr>
          <w:rFonts w:eastAsia="Calibri"/>
          <w:szCs w:val="24"/>
        </w:rPr>
        <w:t>,</w:t>
      </w:r>
      <w:r w:rsidRPr="0020023C">
        <w:rPr>
          <w:rFonts w:eastAsia="Calibri"/>
          <w:szCs w:val="24"/>
        </w:rPr>
        <w:t xml:space="preserve"> </w:t>
      </w:r>
      <w:r w:rsidR="002D77B3" w:rsidRPr="0020023C">
        <w:rPr>
          <w:rFonts w:eastAsia="Calibri"/>
          <w:szCs w:val="24"/>
        </w:rPr>
        <w:t xml:space="preserve">деноминирани в лева, </w:t>
      </w:r>
      <w:r w:rsidRPr="0020023C">
        <w:rPr>
          <w:rFonts w:eastAsia="Calibri"/>
          <w:szCs w:val="24"/>
        </w:rPr>
        <w:t xml:space="preserve">са с обща номинална стойност 0,9 млрд. евро </w:t>
      </w:r>
      <w:r w:rsidR="002D77B3" w:rsidRPr="0020023C">
        <w:rPr>
          <w:rFonts w:eastAsia="Calibri"/>
          <w:szCs w:val="24"/>
        </w:rPr>
        <w:t xml:space="preserve">(1,7 млрд. лв.), от които </w:t>
      </w:r>
      <w:r w:rsidRPr="0020023C">
        <w:rPr>
          <w:rFonts w:eastAsia="Calibri"/>
          <w:szCs w:val="24"/>
        </w:rPr>
        <w:t>0,5 млрд. евро 3-годишни ДЦК и 0,4 млрд. евро 6-годишни ДЦК. На външните капиталови пазари, в рамките на Средносрочната програма за емитиране на дълг на МКП</w:t>
      </w:r>
      <w:r w:rsidR="00380321" w:rsidRPr="0020023C">
        <w:rPr>
          <w:rStyle w:val="FootnoteReference"/>
          <w:rFonts w:eastAsia="Calibri"/>
          <w:szCs w:val="24"/>
        </w:rPr>
        <w:footnoteReference w:id="42"/>
      </w:r>
      <w:r w:rsidRPr="0020023C">
        <w:rPr>
          <w:rFonts w:eastAsia="Calibri"/>
          <w:szCs w:val="24"/>
        </w:rPr>
        <w:t xml:space="preserve"> (GMTN) са емитирани облигации с общ номинален обем от 4,3 млрд. евро в три транша</w:t>
      </w:r>
      <w:r w:rsidR="002B6CA9">
        <w:rPr>
          <w:rFonts w:eastAsia="Calibri"/>
          <w:szCs w:val="24"/>
        </w:rPr>
        <w:t>,</w:t>
      </w:r>
      <w:r w:rsidRPr="0020023C">
        <w:rPr>
          <w:rFonts w:eastAsia="Calibri"/>
          <w:szCs w:val="24"/>
        </w:rPr>
        <w:t xml:space="preserve"> както следва: 1,75 млрд. евро - 8-годишни еврооблигации, 1,25 млрд. евро - 20-годишни еврооблигации и 1,5 млрд. </w:t>
      </w:r>
      <w:proofErr w:type="spellStart"/>
      <w:r w:rsidRPr="0020023C">
        <w:rPr>
          <w:rFonts w:eastAsia="Calibri"/>
          <w:szCs w:val="24"/>
        </w:rPr>
        <w:t>щ.д</w:t>
      </w:r>
      <w:proofErr w:type="spellEnd"/>
      <w:r w:rsidRPr="0020023C">
        <w:rPr>
          <w:rFonts w:eastAsia="Calibri"/>
          <w:szCs w:val="24"/>
        </w:rPr>
        <w:t>. - 12,5-годишни облигации. През 2024 г. са извършени 1,8 млрд. евро погашения по държавния дълг към външни и вътрешни кредитори.</w:t>
      </w:r>
    </w:p>
    <w:p w14:paraId="7B887C04" w14:textId="77777777" w:rsidR="002D77B3" w:rsidRPr="0020023C" w:rsidRDefault="00AA4B48" w:rsidP="002D77B3">
      <w:pPr>
        <w:rPr>
          <w:rFonts w:eastAsia="Calibri"/>
          <w:bCs/>
          <w:szCs w:val="24"/>
        </w:rPr>
      </w:pPr>
      <w:r w:rsidRPr="0020023C">
        <w:rPr>
          <w:rFonts w:eastAsia="Calibri"/>
          <w:szCs w:val="24"/>
        </w:rPr>
        <w:t xml:space="preserve">Бюджетната 2025 г. започна при липсата на приет от Народното събрание Закон за държавния бюджет на Република България (ЗДБРБ) за 2025 г., като за периода до приемане на ЗДБРБ за 2025 г. бяха прилагани разпоредбите на чл. 87, ал. 1 и ал. 2 на Закона за публичните финанси (ЗПФ), при действието на разпоредбите на Закона за събирането на приходи и извършването на разходи през 2025 г. до приемането на Закона за държавния бюджет на Република България за 2025 г., Закона за бюджета на държавното обществено осигуряване за 2025 г. и Закона за бюджета на Националната здравноосигурителна каса за 2025 г. </w:t>
      </w:r>
      <w:r w:rsidR="002D77B3" w:rsidRPr="0020023C">
        <w:rPr>
          <w:rFonts w:eastAsia="Calibri"/>
          <w:szCs w:val="24"/>
        </w:rPr>
        <w:t xml:space="preserve">В рамките разпоредбата на чл. 87, ал. 2 от ЗПФ, </w:t>
      </w:r>
      <w:r w:rsidR="002D77B3" w:rsidRPr="0020023C">
        <w:rPr>
          <w:rFonts w:eastAsia="Calibri"/>
          <w:szCs w:val="24"/>
        </w:rPr>
        <w:lastRenderedPageBreak/>
        <w:t>Министерството на финансите емитира на вътрешния пазар</w:t>
      </w:r>
      <w:r w:rsidR="002D77B3" w:rsidRPr="0020023C" w:rsidDel="000C253B">
        <w:rPr>
          <w:rFonts w:eastAsia="Calibri"/>
          <w:szCs w:val="24"/>
        </w:rPr>
        <w:t xml:space="preserve"> </w:t>
      </w:r>
      <w:r w:rsidR="002D77B3" w:rsidRPr="0020023C">
        <w:rPr>
          <w:rFonts w:eastAsia="Calibri"/>
          <w:szCs w:val="24"/>
        </w:rPr>
        <w:t>ДЦК</w:t>
      </w:r>
      <w:r w:rsidR="002B6CA9">
        <w:rPr>
          <w:rFonts w:eastAsia="Calibri"/>
          <w:szCs w:val="24"/>
        </w:rPr>
        <w:t>,</w:t>
      </w:r>
      <w:r w:rsidR="002D77B3" w:rsidRPr="0020023C">
        <w:rPr>
          <w:rFonts w:eastAsia="Calibri"/>
          <w:szCs w:val="24"/>
        </w:rPr>
        <w:t xml:space="preserve"> деноминирани в лева</w:t>
      </w:r>
      <w:r w:rsidR="002B6CA9">
        <w:rPr>
          <w:rFonts w:eastAsia="Calibri"/>
          <w:szCs w:val="24"/>
        </w:rPr>
        <w:t>,</w:t>
      </w:r>
      <w:r w:rsidR="002D77B3" w:rsidRPr="0020023C">
        <w:rPr>
          <w:rFonts w:eastAsia="Calibri"/>
          <w:szCs w:val="24"/>
        </w:rPr>
        <w:t xml:space="preserve"> </w:t>
      </w:r>
      <w:r w:rsidR="002B6CA9">
        <w:rPr>
          <w:rFonts w:eastAsia="Calibri"/>
          <w:szCs w:val="24"/>
        </w:rPr>
        <w:t>с</w:t>
      </w:r>
      <w:r w:rsidR="002D77B3" w:rsidRPr="0020023C">
        <w:rPr>
          <w:rFonts w:eastAsia="Calibri"/>
          <w:szCs w:val="24"/>
        </w:rPr>
        <w:t xml:space="preserve"> общ номинален размер от 511,4 млн. евро (1 000 млн. лв.),</w:t>
      </w:r>
      <w:r w:rsidR="002D77B3" w:rsidRPr="0020023C">
        <w:rPr>
          <w:rFonts w:eastAsia="Calibri"/>
          <w:bCs/>
          <w:szCs w:val="24"/>
        </w:rPr>
        <w:t xml:space="preserve"> от които:</w:t>
      </w:r>
    </w:p>
    <w:p w14:paraId="3E0A90FA" w14:textId="77777777" w:rsidR="002D77B3" w:rsidRPr="0020023C" w:rsidRDefault="002D77B3" w:rsidP="005B790D">
      <w:pPr>
        <w:pStyle w:val="ListParagraph"/>
        <w:numPr>
          <w:ilvl w:val="0"/>
          <w:numId w:val="23"/>
        </w:numPr>
        <w:rPr>
          <w:rFonts w:eastAsia="Calibri"/>
          <w:bCs/>
          <w:szCs w:val="24"/>
        </w:rPr>
      </w:pPr>
      <w:r w:rsidRPr="0020023C">
        <w:rPr>
          <w:rFonts w:eastAsia="Calibri"/>
          <w:szCs w:val="24"/>
        </w:rPr>
        <w:t>през януари 2025 г. ДЦК</w:t>
      </w:r>
      <w:r w:rsidR="002B6CA9">
        <w:rPr>
          <w:rFonts w:eastAsia="Calibri"/>
          <w:szCs w:val="24"/>
        </w:rPr>
        <w:t>,</w:t>
      </w:r>
      <w:r w:rsidRPr="0020023C">
        <w:rPr>
          <w:rFonts w:eastAsia="Calibri"/>
          <w:szCs w:val="24"/>
        </w:rPr>
        <w:t xml:space="preserve"> деноминирани в лева, с общ номинален размер от 306,8 млн. евро, от които</w:t>
      </w:r>
      <w:r w:rsidRPr="0020023C">
        <w:rPr>
          <w:rFonts w:eastAsia="Calibri"/>
          <w:bCs/>
          <w:szCs w:val="24"/>
        </w:rPr>
        <w:t xml:space="preserve"> 3-годишни ДЦК с номинална стойност 153,4 млн. евро и падеж 22.01.2028 г. и 7-годишни ДЦК с номинална стойност 153,4 млн. евро и падеж 29.01.2032 г.; </w:t>
      </w:r>
    </w:p>
    <w:p w14:paraId="36689379" w14:textId="77777777" w:rsidR="002D77B3" w:rsidRPr="0020023C" w:rsidRDefault="002D77B3" w:rsidP="005B790D">
      <w:pPr>
        <w:pStyle w:val="ListParagraph"/>
        <w:numPr>
          <w:ilvl w:val="0"/>
          <w:numId w:val="23"/>
        </w:numPr>
        <w:rPr>
          <w:rFonts w:eastAsia="Calibri"/>
          <w:bCs/>
          <w:szCs w:val="24"/>
        </w:rPr>
      </w:pPr>
      <w:r w:rsidRPr="0020023C">
        <w:rPr>
          <w:rFonts w:eastAsia="Calibri"/>
          <w:szCs w:val="24"/>
        </w:rPr>
        <w:t xml:space="preserve">през февруари </w:t>
      </w:r>
      <w:r w:rsidR="002B6CA9">
        <w:rPr>
          <w:rFonts w:eastAsia="Calibri"/>
          <w:szCs w:val="24"/>
        </w:rPr>
        <w:t>–</w:t>
      </w:r>
      <w:r w:rsidRPr="0020023C">
        <w:rPr>
          <w:rFonts w:eastAsia="Calibri"/>
          <w:szCs w:val="24"/>
        </w:rPr>
        <w:t xml:space="preserve"> ДЦК</w:t>
      </w:r>
      <w:r w:rsidR="002B6CA9">
        <w:rPr>
          <w:rFonts w:eastAsia="Calibri"/>
          <w:szCs w:val="24"/>
        </w:rPr>
        <w:t>,</w:t>
      </w:r>
      <w:r w:rsidRPr="0020023C">
        <w:rPr>
          <w:rFonts w:eastAsia="Calibri"/>
          <w:szCs w:val="24"/>
        </w:rPr>
        <w:t xml:space="preserve"> деноминирани в лева, с общ номинален размер от 102,3 млн. евро, от които </w:t>
      </w:r>
      <w:r w:rsidRPr="0020023C">
        <w:rPr>
          <w:rFonts w:eastAsia="Calibri"/>
          <w:bCs/>
          <w:szCs w:val="24"/>
        </w:rPr>
        <w:t xml:space="preserve">3-годишни ДЦК с номинална стойност 51,1 млн. евро и 7-годишни ДЦК с номинална стойност 51,1 млн. евро; </w:t>
      </w:r>
    </w:p>
    <w:p w14:paraId="64EE5BD3" w14:textId="77777777" w:rsidR="002D77B3" w:rsidRPr="0020023C" w:rsidRDefault="002D77B3" w:rsidP="005B790D">
      <w:pPr>
        <w:pStyle w:val="ListParagraph"/>
        <w:numPr>
          <w:ilvl w:val="0"/>
          <w:numId w:val="23"/>
        </w:numPr>
        <w:rPr>
          <w:rFonts w:eastAsia="Calibri"/>
          <w:bCs/>
          <w:szCs w:val="24"/>
        </w:rPr>
      </w:pPr>
      <w:r w:rsidRPr="0020023C">
        <w:rPr>
          <w:rFonts w:eastAsia="Calibri"/>
          <w:szCs w:val="24"/>
        </w:rPr>
        <w:t>през март – ДЦК, деноминирани в лева</w:t>
      </w:r>
      <w:r w:rsidR="002B6CA9">
        <w:rPr>
          <w:rFonts w:eastAsia="Calibri"/>
          <w:szCs w:val="24"/>
        </w:rPr>
        <w:t>,</w:t>
      </w:r>
      <w:r w:rsidRPr="0020023C">
        <w:rPr>
          <w:rFonts w:eastAsia="Calibri"/>
          <w:szCs w:val="24"/>
        </w:rPr>
        <w:t xml:space="preserve"> с общ номинален размер от 102,3 млн. евро, от които</w:t>
      </w:r>
      <w:r w:rsidRPr="0020023C">
        <w:rPr>
          <w:rFonts w:eastAsia="Calibri"/>
          <w:bCs/>
          <w:szCs w:val="24"/>
        </w:rPr>
        <w:t xml:space="preserve"> 3-годишни ДЦК с номинална стойност 51,1 млн. евро и 7-годишни ДЦК с номинална стойност 51,1 млн. евро.</w:t>
      </w:r>
    </w:p>
    <w:p w14:paraId="2745A9CF" w14:textId="77777777" w:rsidR="00FF132B" w:rsidRPr="00FF132B" w:rsidRDefault="00FF132B" w:rsidP="00FF132B">
      <w:pPr>
        <w:rPr>
          <w:rFonts w:eastAsia="Calibri"/>
          <w:bCs/>
          <w:szCs w:val="24"/>
        </w:rPr>
      </w:pPr>
      <w:r w:rsidRPr="0020023C">
        <w:rPr>
          <w:rFonts w:eastAsia="Calibri"/>
          <w:bCs/>
          <w:szCs w:val="24"/>
        </w:rPr>
        <w:t>С приемането на ЗДБРБ за 2025 г. се предостави възможност за поемане на държавен дълг за осигуряване на необходимите средства за рефинансиране на дълга в обращение,  за финансиране на планираните дефицити по държавния бюджет и за обезпечаване на ликвидната позиция на фискалния ре</w:t>
      </w:r>
      <w:r w:rsidR="00B55406">
        <w:rPr>
          <w:rFonts w:eastAsia="Calibri"/>
          <w:bCs/>
          <w:szCs w:val="24"/>
        </w:rPr>
        <w:t xml:space="preserve">зерв, в т.ч. за осигуряване на </w:t>
      </w:r>
      <w:r w:rsidRPr="0020023C">
        <w:rPr>
          <w:rFonts w:eastAsia="Calibri"/>
          <w:bCs/>
          <w:szCs w:val="24"/>
        </w:rPr>
        <w:t>възможност за финансиране на специфични програми за капитализация на търговски дружества с държавно участие в</w:t>
      </w:r>
      <w:r w:rsidR="00E10CC3" w:rsidRPr="0020023C">
        <w:rPr>
          <w:rFonts w:eastAsia="Calibri"/>
          <w:bCs/>
          <w:szCs w:val="24"/>
        </w:rPr>
        <w:t xml:space="preserve"> капитала в сферите на сектор Ви</w:t>
      </w:r>
      <w:r w:rsidRPr="0020023C">
        <w:rPr>
          <w:rFonts w:eastAsia="Calibri"/>
          <w:bCs/>
          <w:szCs w:val="24"/>
        </w:rPr>
        <w:t>К, регионално развитие, отбрана, здравеопазване, енергетика и иновации. С предвиденото ново дългово финансиране в размер до 9,7 млрд. евро (18,9 млрд. лв.), съгласно приети</w:t>
      </w:r>
      <w:r w:rsidR="00B55406">
        <w:rPr>
          <w:rFonts w:eastAsia="Calibri"/>
          <w:bCs/>
          <w:szCs w:val="24"/>
        </w:rPr>
        <w:t xml:space="preserve">я ЗДБРБ за 2025 г., се осигури </w:t>
      </w:r>
      <w:r w:rsidRPr="0020023C">
        <w:rPr>
          <w:rFonts w:eastAsia="Calibri"/>
          <w:bCs/>
          <w:szCs w:val="24"/>
        </w:rPr>
        <w:t>възможност за емитиране на ДЦК на вътрешния и международните капиталови пазари, както и за сключване на структурни програмни заеми в общ размер до 750,0 млн. евро, в т.ч. с ЕИБ</w:t>
      </w:r>
      <w:r w:rsidRPr="0020023C">
        <w:rPr>
          <w:rFonts w:eastAsia="Calibri"/>
          <w:bCs/>
          <w:szCs w:val="24"/>
          <w:vertAlign w:val="superscript"/>
        </w:rPr>
        <w:footnoteReference w:id="43"/>
      </w:r>
      <w:r w:rsidRPr="0020023C">
        <w:rPr>
          <w:rFonts w:eastAsia="Calibri"/>
          <w:bCs/>
          <w:szCs w:val="24"/>
        </w:rPr>
        <w:t xml:space="preserve"> (500,0 млн. евро) и БРСЕ</w:t>
      </w:r>
      <w:r w:rsidRPr="0020023C">
        <w:rPr>
          <w:rFonts w:eastAsia="Calibri"/>
          <w:bCs/>
          <w:szCs w:val="24"/>
          <w:vertAlign w:val="superscript"/>
        </w:rPr>
        <w:footnoteReference w:id="44"/>
      </w:r>
      <w:r w:rsidRPr="0020023C">
        <w:rPr>
          <w:rFonts w:eastAsia="Calibri"/>
          <w:bCs/>
          <w:szCs w:val="24"/>
        </w:rPr>
        <w:t xml:space="preserve"> (250,0 млн. евро) за съфинансиране на проекти, изпълнявани със средства от Европейските фондове при споделено</w:t>
      </w:r>
      <w:r w:rsidRPr="00FF132B">
        <w:rPr>
          <w:rFonts w:eastAsia="Calibri"/>
          <w:bCs/>
          <w:szCs w:val="24"/>
        </w:rPr>
        <w:t xml:space="preserve"> управление през програмния период 2021-2027 г.</w:t>
      </w:r>
    </w:p>
    <w:p w14:paraId="36904337" w14:textId="77777777" w:rsidR="008B0DA0" w:rsidRPr="0020023C" w:rsidRDefault="008B0DA0" w:rsidP="008B0DA0">
      <w:pPr>
        <w:rPr>
          <w:rFonts w:eastAsia="Calibri"/>
          <w:bCs/>
          <w:szCs w:val="24"/>
        </w:rPr>
      </w:pPr>
      <w:r w:rsidRPr="00AA4B48">
        <w:rPr>
          <w:rFonts w:eastAsia="Calibri"/>
          <w:szCs w:val="24"/>
        </w:rPr>
        <w:t xml:space="preserve">За периода от влизането в сила на </w:t>
      </w:r>
      <w:r w:rsidRPr="0020023C">
        <w:rPr>
          <w:rFonts w:eastAsia="Calibri"/>
          <w:szCs w:val="24"/>
        </w:rPr>
        <w:t>ЗДБРБ до края на октомври 2025 г. са емитирани на вътрешния пазар ДЦК</w:t>
      </w:r>
      <w:r w:rsidR="009C2F81">
        <w:rPr>
          <w:rFonts w:eastAsia="Calibri"/>
          <w:szCs w:val="24"/>
        </w:rPr>
        <w:t>,</w:t>
      </w:r>
      <w:r w:rsidRPr="0020023C">
        <w:rPr>
          <w:rFonts w:eastAsia="Calibri"/>
          <w:szCs w:val="24"/>
        </w:rPr>
        <w:t xml:space="preserve"> деноминирани в лева</w:t>
      </w:r>
      <w:r w:rsidR="009C2F81">
        <w:rPr>
          <w:rFonts w:eastAsia="Calibri"/>
          <w:szCs w:val="24"/>
        </w:rPr>
        <w:t>,</w:t>
      </w:r>
      <w:r w:rsidRPr="0020023C">
        <w:rPr>
          <w:rFonts w:eastAsia="Calibri"/>
          <w:szCs w:val="24"/>
        </w:rPr>
        <w:t xml:space="preserve"> с общ номинален обем от 1 022,5 млн. евро (2 000</w:t>
      </w:r>
      <w:r w:rsidR="00961FE2" w:rsidRPr="0020023C">
        <w:rPr>
          <w:rFonts w:eastAsia="Calibri"/>
          <w:szCs w:val="24"/>
        </w:rPr>
        <w:t>,0</w:t>
      </w:r>
      <w:r w:rsidRPr="0020023C">
        <w:rPr>
          <w:rFonts w:eastAsia="Calibri"/>
          <w:szCs w:val="24"/>
        </w:rPr>
        <w:t xml:space="preserve"> млн. лв.), както следва:</w:t>
      </w:r>
    </w:p>
    <w:p w14:paraId="576F66BA" w14:textId="77777777" w:rsidR="008B0DA0" w:rsidRPr="0020023C" w:rsidRDefault="008B0DA0" w:rsidP="005B790D">
      <w:pPr>
        <w:numPr>
          <w:ilvl w:val="0"/>
          <w:numId w:val="27"/>
        </w:numPr>
        <w:rPr>
          <w:rFonts w:eastAsia="Calibri"/>
          <w:bCs/>
          <w:szCs w:val="24"/>
        </w:rPr>
      </w:pPr>
      <w:r w:rsidRPr="0020023C">
        <w:rPr>
          <w:rFonts w:eastAsia="Calibri"/>
          <w:szCs w:val="24"/>
        </w:rPr>
        <w:t>през април - ДЦК</w:t>
      </w:r>
      <w:r w:rsidR="002B6CA9">
        <w:rPr>
          <w:rFonts w:eastAsia="Calibri"/>
          <w:szCs w:val="24"/>
        </w:rPr>
        <w:t>,</w:t>
      </w:r>
      <w:r w:rsidRPr="0020023C">
        <w:rPr>
          <w:rFonts w:eastAsia="Calibri"/>
          <w:szCs w:val="24"/>
        </w:rPr>
        <w:t xml:space="preserve"> деноминирани в лева, с общ номинален размер от 409,0 млн. евро, от които</w:t>
      </w:r>
      <w:r w:rsidRPr="0020023C">
        <w:rPr>
          <w:rFonts w:eastAsia="Calibri"/>
          <w:bCs/>
          <w:szCs w:val="24"/>
        </w:rPr>
        <w:t xml:space="preserve"> 3-годишни ДЦК с номинална стойност 255,6 млн. евро и 7-годишни ДЦК с номинална стойност 153,4 млн. евро; </w:t>
      </w:r>
    </w:p>
    <w:p w14:paraId="67C4CDED" w14:textId="77777777" w:rsidR="008B0DA0" w:rsidRPr="0020023C" w:rsidRDefault="008B0DA0" w:rsidP="005B790D">
      <w:pPr>
        <w:numPr>
          <w:ilvl w:val="0"/>
          <w:numId w:val="27"/>
        </w:numPr>
        <w:rPr>
          <w:rFonts w:eastAsia="Calibri"/>
          <w:bCs/>
          <w:szCs w:val="24"/>
        </w:rPr>
      </w:pPr>
      <w:r w:rsidRPr="0020023C">
        <w:rPr>
          <w:rFonts w:eastAsia="Calibri"/>
          <w:szCs w:val="24"/>
        </w:rPr>
        <w:t xml:space="preserve">през юни - </w:t>
      </w:r>
      <w:r w:rsidRPr="0020023C">
        <w:rPr>
          <w:rFonts w:eastAsia="Calibri"/>
          <w:bCs/>
          <w:szCs w:val="24"/>
        </w:rPr>
        <w:t>7-годишни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Pr="0020023C">
        <w:rPr>
          <w:rFonts w:eastAsia="Calibri"/>
          <w:bCs/>
          <w:szCs w:val="24"/>
        </w:rPr>
        <w:t xml:space="preserve">; </w:t>
      </w:r>
    </w:p>
    <w:p w14:paraId="041CED92" w14:textId="77777777" w:rsidR="008B0DA0" w:rsidRPr="0020023C" w:rsidRDefault="008B0DA0" w:rsidP="005B790D">
      <w:pPr>
        <w:numPr>
          <w:ilvl w:val="0"/>
          <w:numId w:val="27"/>
        </w:numPr>
        <w:rPr>
          <w:rFonts w:eastAsia="Calibri"/>
          <w:bCs/>
          <w:szCs w:val="24"/>
        </w:rPr>
      </w:pPr>
      <w:r w:rsidRPr="0020023C">
        <w:rPr>
          <w:rFonts w:eastAsia="Calibri"/>
          <w:szCs w:val="24"/>
        </w:rPr>
        <w:t xml:space="preserve">през август - </w:t>
      </w:r>
      <w:r w:rsidRPr="0020023C">
        <w:rPr>
          <w:rFonts w:eastAsia="Calibri"/>
          <w:bCs/>
          <w:szCs w:val="24"/>
        </w:rPr>
        <w:t>3-годишни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Pr="0020023C">
        <w:rPr>
          <w:rFonts w:eastAsia="Calibri"/>
          <w:bCs/>
          <w:szCs w:val="24"/>
        </w:rPr>
        <w:t xml:space="preserve">; </w:t>
      </w:r>
    </w:p>
    <w:p w14:paraId="64D29FCD" w14:textId="77777777" w:rsidR="008B0DA0" w:rsidRPr="0020023C" w:rsidRDefault="008B0DA0" w:rsidP="005B790D">
      <w:pPr>
        <w:numPr>
          <w:ilvl w:val="0"/>
          <w:numId w:val="27"/>
        </w:numPr>
        <w:rPr>
          <w:rFonts w:eastAsia="Calibri"/>
          <w:bCs/>
          <w:szCs w:val="24"/>
        </w:rPr>
      </w:pPr>
      <w:r w:rsidRPr="0020023C">
        <w:rPr>
          <w:rFonts w:eastAsia="Calibri"/>
          <w:szCs w:val="24"/>
        </w:rPr>
        <w:t xml:space="preserve">през септември - </w:t>
      </w:r>
      <w:r w:rsidRPr="0020023C">
        <w:rPr>
          <w:rFonts w:eastAsia="Calibri"/>
          <w:bCs/>
          <w:szCs w:val="24"/>
        </w:rPr>
        <w:t>7-годишни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Pr="0020023C">
        <w:rPr>
          <w:rFonts w:eastAsia="Calibri"/>
          <w:bCs/>
          <w:szCs w:val="24"/>
        </w:rPr>
        <w:t xml:space="preserve">; </w:t>
      </w:r>
    </w:p>
    <w:p w14:paraId="7F496A4A" w14:textId="77777777" w:rsidR="00AA4B48" w:rsidRPr="0020023C" w:rsidRDefault="008B0DA0" w:rsidP="005B790D">
      <w:pPr>
        <w:numPr>
          <w:ilvl w:val="0"/>
          <w:numId w:val="27"/>
        </w:numPr>
        <w:rPr>
          <w:rFonts w:eastAsia="Calibri"/>
          <w:bCs/>
          <w:szCs w:val="24"/>
        </w:rPr>
      </w:pPr>
      <w:r w:rsidRPr="0020023C">
        <w:rPr>
          <w:rFonts w:eastAsia="Calibri"/>
          <w:szCs w:val="24"/>
        </w:rPr>
        <w:t xml:space="preserve">през октомври - </w:t>
      </w:r>
      <w:r w:rsidRPr="0020023C">
        <w:rPr>
          <w:rFonts w:eastAsia="Calibri"/>
          <w:bCs/>
          <w:szCs w:val="24"/>
        </w:rPr>
        <w:t>3-годишни ДЦК</w:t>
      </w:r>
      <w:r w:rsidR="002B6CA9">
        <w:rPr>
          <w:rFonts w:eastAsia="Calibri"/>
          <w:bCs/>
          <w:szCs w:val="24"/>
        </w:rPr>
        <w:t>,</w:t>
      </w:r>
      <w:r w:rsidRPr="0020023C">
        <w:rPr>
          <w:rFonts w:eastAsia="Calibri"/>
          <w:szCs w:val="24"/>
        </w:rPr>
        <w:t xml:space="preserve"> деноминирани в лева,</w:t>
      </w:r>
      <w:r w:rsidRPr="0020023C">
        <w:rPr>
          <w:rFonts w:eastAsia="Calibri"/>
          <w:bCs/>
          <w:szCs w:val="24"/>
        </w:rPr>
        <w:t xml:space="preserve"> с номинална стойност </w:t>
      </w:r>
      <w:r w:rsidRPr="0020023C">
        <w:rPr>
          <w:rFonts w:eastAsia="Calibri"/>
          <w:szCs w:val="24"/>
        </w:rPr>
        <w:t>153,4 млн. евро</w:t>
      </w:r>
      <w:r w:rsidR="000D663B" w:rsidRPr="0020023C">
        <w:rPr>
          <w:rFonts w:eastAsia="Calibri"/>
          <w:bCs/>
          <w:szCs w:val="24"/>
        </w:rPr>
        <w:t>.</w:t>
      </w:r>
    </w:p>
    <w:p w14:paraId="3E7F8B86" w14:textId="77777777" w:rsidR="0083153B" w:rsidRPr="001C269F" w:rsidRDefault="0083153B" w:rsidP="0083153B">
      <w:pPr>
        <w:rPr>
          <w:rFonts w:eastAsia="Calibri"/>
          <w:bCs/>
          <w:szCs w:val="24"/>
        </w:rPr>
      </w:pPr>
      <w:r w:rsidRPr="0083153B">
        <w:rPr>
          <w:rFonts w:eastAsia="Calibri"/>
          <w:bCs/>
          <w:szCs w:val="24"/>
        </w:rPr>
        <w:t xml:space="preserve">За същия период са емитирани еврооблигации с общ номинален </w:t>
      </w:r>
      <w:r w:rsidRPr="001C269F">
        <w:rPr>
          <w:rFonts w:eastAsia="Calibri"/>
          <w:bCs/>
          <w:szCs w:val="24"/>
        </w:rPr>
        <w:t xml:space="preserve">обем от 7,2 млрд. евро, като на 28.04.2025 г. в рамките на Средносрочната програма за емитиране на дълг на </w:t>
      </w:r>
      <w:r w:rsidRPr="001C269F">
        <w:rPr>
          <w:rFonts w:eastAsia="Calibri"/>
          <w:bCs/>
          <w:szCs w:val="24"/>
        </w:rPr>
        <w:lastRenderedPageBreak/>
        <w:t>международните капиталови пазари (</w:t>
      </w:r>
      <w:r w:rsidRPr="001C269F">
        <w:rPr>
          <w:rFonts w:eastAsia="Calibri"/>
          <w:bCs/>
          <w:szCs w:val="24"/>
          <w:lang w:val="en-US"/>
        </w:rPr>
        <w:t>GMTN</w:t>
      </w:r>
      <w:r w:rsidRPr="001C269F">
        <w:rPr>
          <w:rFonts w:eastAsia="Calibri"/>
          <w:bCs/>
          <w:szCs w:val="24"/>
        </w:rPr>
        <w:t>) са пласирани еврооблигации в два транша с обща номинална стойност от 4,0 млрд. евро. Първият транш е с номинален обем от 2,25 млрд. евро, срочност 9 г. и годишен лихв</w:t>
      </w:r>
      <w:r w:rsidR="00B55406">
        <w:rPr>
          <w:rFonts w:eastAsia="Calibri"/>
          <w:bCs/>
          <w:szCs w:val="24"/>
        </w:rPr>
        <w:t xml:space="preserve">ен купон 3,5%, а вторият транш </w:t>
      </w:r>
      <w:r w:rsidRPr="001C269F">
        <w:rPr>
          <w:rFonts w:eastAsia="Calibri"/>
          <w:bCs/>
          <w:szCs w:val="24"/>
        </w:rPr>
        <w:t>от облигации е с номинален обем от 1,75 млрд. евро, срочност 13 г. и годишен лихвен купон 4,125%. На 15.07.2025 г. за втори път през тази година са пласирани еврооблигации на МКП в двоен транш с общ номинален обем 3,2 млрд. евро, като първият е с номинален обем 2,0 млрд. евро, срочност 10 г. и годишен лихвен купон 3,375%, а вторият транш е с номинален обем 1,2 млрд. евро, срочност 20 г. и годишен лихвен купон 4,125%.</w:t>
      </w:r>
    </w:p>
    <w:p w14:paraId="3E186A39" w14:textId="77777777" w:rsidR="0083153B" w:rsidRPr="001C269F" w:rsidRDefault="0083153B" w:rsidP="0083153B">
      <w:pPr>
        <w:rPr>
          <w:rFonts w:eastAsia="Calibri"/>
          <w:bCs/>
          <w:szCs w:val="24"/>
        </w:rPr>
      </w:pPr>
      <w:r w:rsidRPr="001C269F">
        <w:rPr>
          <w:rFonts w:eastAsia="Calibri"/>
          <w:bCs/>
          <w:szCs w:val="24"/>
        </w:rPr>
        <w:t>Поетият нов дълг към края на октомври 2</w:t>
      </w:r>
      <w:r w:rsidR="00B55406">
        <w:rPr>
          <w:rFonts w:eastAsia="Calibri"/>
          <w:bCs/>
          <w:szCs w:val="24"/>
        </w:rPr>
        <w:t>025 г. е в размер на</w:t>
      </w:r>
      <w:r w:rsidRPr="001C269F">
        <w:rPr>
          <w:rFonts w:eastAsia="Calibri"/>
          <w:bCs/>
          <w:szCs w:val="24"/>
        </w:rPr>
        <w:t xml:space="preserve"> 8 983,9 млн. евро, от които 7 200,0 млн. евро - еврооблигации на външните пазари, 1 533,9 млн. евро </w:t>
      </w:r>
      <w:r w:rsidR="00D21DE4" w:rsidRPr="001C269F">
        <w:rPr>
          <w:rFonts w:eastAsia="Calibri"/>
          <w:bCs/>
          <w:szCs w:val="24"/>
        </w:rPr>
        <w:t>(3 000,0 млн. лв.)</w:t>
      </w:r>
      <w:r w:rsidR="008B0DA0" w:rsidRPr="001C269F">
        <w:rPr>
          <w:rFonts w:eastAsia="Calibri"/>
          <w:bCs/>
          <w:szCs w:val="24"/>
        </w:rPr>
        <w:t xml:space="preserve"> </w:t>
      </w:r>
      <w:r w:rsidRPr="001C269F">
        <w:rPr>
          <w:rFonts w:eastAsia="Calibri"/>
          <w:bCs/>
          <w:szCs w:val="24"/>
        </w:rPr>
        <w:t>- емисии ДЦК</w:t>
      </w:r>
      <w:r w:rsidR="002B6CA9">
        <w:rPr>
          <w:rFonts w:eastAsia="Calibri"/>
          <w:bCs/>
          <w:szCs w:val="24"/>
        </w:rPr>
        <w:t>,</w:t>
      </w:r>
      <w:r w:rsidRPr="001C269F">
        <w:rPr>
          <w:rFonts w:eastAsia="Calibri"/>
          <w:bCs/>
          <w:szCs w:val="24"/>
        </w:rPr>
        <w:t xml:space="preserve"> </w:t>
      </w:r>
      <w:r w:rsidR="00D21DE4" w:rsidRPr="001C269F">
        <w:rPr>
          <w:rFonts w:eastAsia="Calibri"/>
          <w:bCs/>
          <w:szCs w:val="24"/>
        </w:rPr>
        <w:t>деноминирани в лева</w:t>
      </w:r>
      <w:r w:rsidR="002B6CA9">
        <w:rPr>
          <w:rFonts w:eastAsia="Calibri"/>
          <w:bCs/>
          <w:szCs w:val="24"/>
        </w:rPr>
        <w:t>,</w:t>
      </w:r>
      <w:r w:rsidR="00D21DE4" w:rsidRPr="001C269F">
        <w:rPr>
          <w:rFonts w:eastAsia="Calibri"/>
          <w:bCs/>
          <w:szCs w:val="24"/>
        </w:rPr>
        <w:t xml:space="preserve"> </w:t>
      </w:r>
      <w:r w:rsidRPr="001C269F">
        <w:rPr>
          <w:rFonts w:eastAsia="Calibri"/>
          <w:bCs/>
          <w:szCs w:val="24"/>
        </w:rPr>
        <w:t>на вътрешния пазар и 250,0 млн. евро - по ратифицирания</w:t>
      </w:r>
      <w:r w:rsidRPr="001C269F">
        <w:rPr>
          <w:rFonts w:eastAsia="Calibri"/>
          <w:bCs/>
          <w:sz w:val="20"/>
          <w:szCs w:val="20"/>
          <w:vertAlign w:val="superscript"/>
        </w:rPr>
        <w:footnoteReference w:id="45"/>
      </w:r>
      <w:r w:rsidR="00965F8E" w:rsidRPr="001C269F">
        <w:rPr>
          <w:rFonts w:eastAsia="Calibri"/>
          <w:bCs/>
          <w:szCs w:val="24"/>
        </w:rPr>
        <w:t xml:space="preserve"> </w:t>
      </w:r>
      <w:r w:rsidRPr="001C269F">
        <w:rPr>
          <w:rFonts w:eastAsia="Calibri"/>
          <w:bCs/>
          <w:szCs w:val="24"/>
        </w:rPr>
        <w:t xml:space="preserve">Финансов договор между Република България и Европейската инвестиционна </w:t>
      </w:r>
      <w:r w:rsidR="00965F8E" w:rsidRPr="001C269F">
        <w:rPr>
          <w:rFonts w:eastAsia="Calibri"/>
          <w:bCs/>
          <w:szCs w:val="24"/>
        </w:rPr>
        <w:t>банка за финансиране на проект „</w:t>
      </w:r>
      <w:r w:rsidRPr="001C269F">
        <w:rPr>
          <w:rFonts w:eastAsia="Calibri"/>
          <w:bCs/>
          <w:szCs w:val="24"/>
        </w:rPr>
        <w:t>България–съфинансиране по фондовете на Ев</w:t>
      </w:r>
      <w:r w:rsidR="00965F8E" w:rsidRPr="001C269F">
        <w:rPr>
          <w:rFonts w:eastAsia="Calibri"/>
          <w:bCs/>
          <w:szCs w:val="24"/>
        </w:rPr>
        <w:t>ропейския съюз 2021-2027 (СПЗ)“</w:t>
      </w:r>
      <w:r w:rsidRPr="001C269F">
        <w:rPr>
          <w:rFonts w:eastAsia="Calibri"/>
          <w:bCs/>
          <w:szCs w:val="24"/>
        </w:rPr>
        <w:t>, като общият размер на извършените през годината погашения към външни и вътрешни кредитори ще достигнат 1,8 млрд. евро. В резултат от извършените и планирани дългови операции, към края на 2025 г. се очаква дългът да възлезе на 31,3 млрд. евро или 27,8% от БВП.</w:t>
      </w:r>
    </w:p>
    <w:p w14:paraId="49AFDEAE" w14:textId="77777777" w:rsidR="0083153B" w:rsidRPr="0083153B" w:rsidRDefault="0083153B" w:rsidP="0083153B">
      <w:pPr>
        <w:rPr>
          <w:rFonts w:eastAsia="Calibri"/>
          <w:bCs/>
          <w:szCs w:val="24"/>
        </w:rPr>
      </w:pPr>
      <w:r w:rsidRPr="0083153B">
        <w:rPr>
          <w:rFonts w:eastAsia="Calibri"/>
          <w:bCs/>
          <w:szCs w:val="24"/>
        </w:rPr>
        <w:t xml:space="preserve">През 2026 г. се </w:t>
      </w:r>
      <w:r w:rsidRPr="0020023C">
        <w:rPr>
          <w:rFonts w:eastAsia="Calibri"/>
          <w:bCs/>
          <w:szCs w:val="24"/>
        </w:rPr>
        <w:t xml:space="preserve">планира максимален размер на новия държавен дълг, който може да бъде поет през годината до </w:t>
      </w:r>
      <w:r w:rsidR="00336BFF" w:rsidRPr="00336BFF">
        <w:rPr>
          <w:rFonts w:eastAsia="Calibri"/>
          <w:bCs/>
          <w:szCs w:val="24"/>
        </w:rPr>
        <w:t>10 000</w:t>
      </w:r>
      <w:r w:rsidRPr="0020023C">
        <w:rPr>
          <w:rFonts w:eastAsia="Calibri"/>
          <w:bCs/>
          <w:szCs w:val="24"/>
        </w:rPr>
        <w:t xml:space="preserve"> млн. евро, с което се осигурява възможност за емитиране на ДЦК на вътрешния и международните капиталови пазари, , възможност за сключване с Европейската комисия на споразумение за заем в размер до 3 261,7 млн. евро за получаване на финансова подкрепа по линия на инструмента „Мерки за сигурността на Европа (SAFE) чрез укрепване на европейската отбранителна промишленост“ и за финансиране на пр</w:t>
      </w:r>
      <w:r w:rsidR="001C269F" w:rsidRPr="0020023C">
        <w:rPr>
          <w:rFonts w:eastAsia="Calibri"/>
          <w:bCs/>
          <w:szCs w:val="24"/>
        </w:rPr>
        <w:t>оект „</w:t>
      </w:r>
      <w:r w:rsidRPr="0020023C">
        <w:rPr>
          <w:rFonts w:eastAsia="Calibri"/>
          <w:bCs/>
          <w:szCs w:val="24"/>
        </w:rPr>
        <w:t xml:space="preserve">Закупуване на 3 броя комбинирани вертолети за гасене </w:t>
      </w:r>
      <w:r w:rsidR="00336BFF">
        <w:rPr>
          <w:rFonts w:eastAsia="Calibri"/>
          <w:bCs/>
          <w:szCs w:val="24"/>
        </w:rPr>
        <w:t xml:space="preserve">на пожари </w:t>
      </w:r>
      <w:r w:rsidRPr="0020023C">
        <w:rPr>
          <w:rFonts w:eastAsia="Calibri"/>
          <w:bCs/>
          <w:szCs w:val="24"/>
        </w:rPr>
        <w:t>от въздух, търсе</w:t>
      </w:r>
      <w:r w:rsidR="001C269F" w:rsidRPr="0020023C">
        <w:rPr>
          <w:rFonts w:eastAsia="Calibri"/>
          <w:bCs/>
          <w:szCs w:val="24"/>
        </w:rPr>
        <w:t>не и спасяване и други дейности“</w:t>
      </w:r>
      <w:r w:rsidRPr="0020023C">
        <w:rPr>
          <w:rFonts w:eastAsia="Calibri"/>
          <w:bCs/>
          <w:szCs w:val="24"/>
        </w:rPr>
        <w:t xml:space="preserve"> чрез договор за финансов лизинг на Държавния авиационен оператор в размер до 60,0 млн. евро.</w:t>
      </w:r>
    </w:p>
    <w:p w14:paraId="7AFE881B" w14:textId="77777777" w:rsidR="0083153B" w:rsidRPr="0020023C" w:rsidRDefault="0083153B" w:rsidP="0083153B">
      <w:pPr>
        <w:rPr>
          <w:rFonts w:eastAsia="Calibri"/>
          <w:bCs/>
          <w:szCs w:val="24"/>
        </w:rPr>
      </w:pPr>
      <w:r w:rsidRPr="0083153B">
        <w:rPr>
          <w:rFonts w:eastAsia="Calibri"/>
          <w:bCs/>
          <w:szCs w:val="24"/>
        </w:rPr>
        <w:t xml:space="preserve">С оглед обезпечаване на максимална гъвкавост при избора на пазар и инструменти за финансиране, както и за осигуряване на възможност за набавяне на пълния обем на </w:t>
      </w:r>
      <w:r w:rsidRPr="0020023C">
        <w:rPr>
          <w:rFonts w:eastAsia="Calibri"/>
          <w:bCs/>
          <w:szCs w:val="24"/>
        </w:rPr>
        <w:t xml:space="preserve">нужното дългово финансиране през 2026 г., се предвижда увеличаване от 27,0 млрд. евро на 32,0 млрд. евро на максималния съвкупен номинален обем на облигациите, които могат да бъдат издадени в изпълнение на Средносрочната програма за емитиране на дълг на МКП. </w:t>
      </w:r>
    </w:p>
    <w:p w14:paraId="11B87E47" w14:textId="77777777" w:rsidR="0083153B" w:rsidRPr="0020023C" w:rsidRDefault="0083153B" w:rsidP="0083153B">
      <w:pPr>
        <w:rPr>
          <w:rFonts w:eastAsia="Calibri"/>
          <w:bCs/>
          <w:szCs w:val="24"/>
        </w:rPr>
      </w:pPr>
      <w:r w:rsidRPr="0020023C">
        <w:rPr>
          <w:rFonts w:eastAsia="Calibri"/>
          <w:bCs/>
          <w:szCs w:val="24"/>
        </w:rPr>
        <w:t xml:space="preserve">Дългът в обращение, който ще бъде рефинансиран през 2026 г. е в размер на 1,4 млрд. евро (в т.ч. 1,3 млрд. евро падежи на емисии на ДЦК на вътрешния пазар). На базата на планираните дългови операции се очаква максималният размер на държавния дълг към края на 2026 г. да не надвишава </w:t>
      </w:r>
      <w:r w:rsidR="003271AC" w:rsidRPr="0020023C">
        <w:rPr>
          <w:rFonts w:eastAsia="Calibri"/>
          <w:bCs/>
          <w:szCs w:val="24"/>
        </w:rPr>
        <w:t>37 600 млн. евро или 31,3</w:t>
      </w:r>
      <w:r w:rsidRPr="0020023C">
        <w:rPr>
          <w:rFonts w:eastAsia="Calibri"/>
          <w:bCs/>
          <w:szCs w:val="24"/>
        </w:rPr>
        <w:t>% от БВП.</w:t>
      </w:r>
    </w:p>
    <w:p w14:paraId="6DD1370B" w14:textId="77777777" w:rsidR="005C58FE" w:rsidRPr="0083153B" w:rsidRDefault="0083153B" w:rsidP="0083153B">
      <w:pPr>
        <w:rPr>
          <w:rFonts w:eastAsia="Calibri"/>
          <w:bCs/>
          <w:szCs w:val="24"/>
        </w:rPr>
      </w:pPr>
      <w:r w:rsidRPr="0083153B">
        <w:rPr>
          <w:rFonts w:eastAsia="Calibri"/>
          <w:bCs/>
          <w:szCs w:val="24"/>
        </w:rPr>
        <w:t xml:space="preserve">През периода 2027-2028 г. се планира поемането на нов държавен дълг от </w:t>
      </w:r>
      <w:r w:rsidRPr="0083153B">
        <w:rPr>
          <w:rFonts w:eastAsia="Calibri"/>
          <w:b/>
          <w:bCs/>
          <w:szCs w:val="24"/>
        </w:rPr>
        <w:t>7,7 млрд. евро</w:t>
      </w:r>
      <w:r w:rsidRPr="0083153B">
        <w:rPr>
          <w:rFonts w:eastAsia="Calibri"/>
          <w:bCs/>
          <w:szCs w:val="24"/>
        </w:rPr>
        <w:t xml:space="preserve"> годишно, като дългът в обращение, който ще бъде рефинансиран е в размер на 1,8 млрд. евро за 2027 г. и 2,1 млрд. евро за 2028 г. Въз основа на тези допускания през периода 2027-2028 г. се предвижда значителен темп на нарастване на държавния дълг, достигайки</w:t>
      </w:r>
      <w:r w:rsidRPr="00F53D6C">
        <w:rPr>
          <w:rFonts w:eastAsia="Calibri"/>
          <w:bCs/>
          <w:szCs w:val="24"/>
        </w:rPr>
        <w:t xml:space="preserve"> </w:t>
      </w:r>
      <w:r w:rsidRPr="0083153B">
        <w:rPr>
          <w:rFonts w:eastAsia="Calibri"/>
          <w:bCs/>
          <w:szCs w:val="24"/>
        </w:rPr>
        <w:t>съответно до 43,5 млрд. евро или 34,2% от БВП и 49</w:t>
      </w:r>
      <w:r w:rsidR="005C58FE">
        <w:rPr>
          <w:rFonts w:eastAsia="Calibri"/>
          <w:bCs/>
          <w:szCs w:val="24"/>
        </w:rPr>
        <w:t>,0 млрд. евро или 36,6% от БВП.</w:t>
      </w:r>
    </w:p>
    <w:p w14:paraId="0E398541" w14:textId="77777777" w:rsidR="0083153B" w:rsidRPr="0083153B" w:rsidRDefault="0083153B" w:rsidP="0083153B">
      <w:pPr>
        <w:rPr>
          <w:rFonts w:eastAsia="Calibri"/>
          <w:bCs/>
          <w:szCs w:val="24"/>
        </w:rPr>
      </w:pPr>
      <w:r w:rsidRPr="0083153B">
        <w:rPr>
          <w:rFonts w:eastAsia="Calibri"/>
          <w:bCs/>
          <w:szCs w:val="24"/>
        </w:rPr>
        <w:t xml:space="preserve">Пред реализирането на дълговото финансиране както през 2026 г., така и през целия прогнозен период се запазват рисковете, породени от външни фактори, които емитентът не би могъл да управлява, като волатилност на финансовите пазари, геополитическа несигурност и др. Преобладаващият дял на пазарните източници за дългово финансиране </w:t>
      </w:r>
      <w:r w:rsidRPr="0083153B">
        <w:rPr>
          <w:rFonts w:eastAsia="Calibri"/>
          <w:bCs/>
          <w:szCs w:val="24"/>
        </w:rPr>
        <w:lastRenderedPageBreak/>
        <w:t xml:space="preserve">предполага привнасяне на всички външни рискове, както при изпълнение на финансирането на бюджета, така и при вътрешния дългов пазар, който е със сравнително ограничен капацитет и пазарни участници. От друга страна предстоящото присъединяване към еврозоната от 1 януари 2026 г. се очаква да окаже благоприятно въздействие при емитирането на държавен дълг, изразяващо се в намаляване на </w:t>
      </w:r>
      <w:proofErr w:type="spellStart"/>
      <w:r w:rsidRPr="0083153B">
        <w:rPr>
          <w:rFonts w:eastAsia="Calibri"/>
          <w:bCs/>
          <w:szCs w:val="24"/>
        </w:rPr>
        <w:t>доходностите</w:t>
      </w:r>
      <w:proofErr w:type="spellEnd"/>
      <w:r w:rsidRPr="0083153B">
        <w:rPr>
          <w:rFonts w:eastAsia="Calibri"/>
          <w:bCs/>
          <w:szCs w:val="24"/>
        </w:rPr>
        <w:t xml:space="preserve"> по държавните ни облигации, респективно стесняване на спредовете спрямо </w:t>
      </w:r>
      <w:proofErr w:type="spellStart"/>
      <w:r w:rsidRPr="0083153B">
        <w:rPr>
          <w:rFonts w:eastAsia="Calibri"/>
          <w:bCs/>
          <w:szCs w:val="24"/>
        </w:rPr>
        <w:t>бенчмарковите</w:t>
      </w:r>
      <w:proofErr w:type="spellEnd"/>
      <w:r w:rsidRPr="0083153B">
        <w:rPr>
          <w:rFonts w:eastAsia="Calibri"/>
          <w:bCs/>
          <w:szCs w:val="24"/>
        </w:rPr>
        <w:t xml:space="preserve"> книжа. Повишените рейтинги от водещите агенции за кредитен рейтинг и всяко потенциално повишаване на кредитния рейтинг също ще има позитивно влияние върху цената на дълговото финансиране. </w:t>
      </w:r>
    </w:p>
    <w:p w14:paraId="4FB9C396" w14:textId="77777777" w:rsidR="00FF132B" w:rsidRDefault="0083153B" w:rsidP="00AA4B48">
      <w:pPr>
        <w:rPr>
          <w:rFonts w:eastAsia="Calibri"/>
          <w:bCs/>
          <w:szCs w:val="24"/>
        </w:rPr>
      </w:pPr>
      <w:r w:rsidRPr="0083153B">
        <w:rPr>
          <w:rFonts w:eastAsia="Calibri"/>
          <w:bCs/>
          <w:szCs w:val="24"/>
        </w:rPr>
        <w:t>Направените допускания за новото дългово финансиране на бюджета в средносрочен аспект и индикативното разпределение между външни и вътрешни източници на финансиране, валута, матуритет и лихвени условия на планирания нов дълг, както и извършените дългови операции имат пряко отражение върху структурата на държавния дълг през разглеждания период от 2024-2028 г.</w:t>
      </w:r>
    </w:p>
    <w:p w14:paraId="24913B71" w14:textId="77777777" w:rsidR="00EC33E2" w:rsidRPr="00EC33E2" w:rsidRDefault="00AA4B48" w:rsidP="00EC33E2">
      <w:pPr>
        <w:pStyle w:val="Caption"/>
        <w:ind w:left="1440" w:hanging="1440"/>
        <w:rPr>
          <w:rFonts w:cs="Calibri"/>
          <w:color w:val="000000"/>
          <w:szCs w:val="24"/>
        </w:rPr>
      </w:pPr>
      <w:bookmarkStart w:id="441" w:name="_Toc213229069"/>
      <w:r w:rsidRPr="00AA3F66">
        <w:t xml:space="preserve">Табл. </w:t>
      </w:r>
      <w:r w:rsidR="00974F02">
        <w:fldChar w:fldCharType="begin"/>
      </w:r>
      <w:r w:rsidR="00974F02">
        <w:instrText xml:space="preserve"> STYLEREF 1 \s </w:instrText>
      </w:r>
      <w:r w:rsidR="00974F02">
        <w:fldChar w:fldCharType="separate"/>
      </w:r>
      <w:r w:rsidR="00841DFA">
        <w:rPr>
          <w:noProof/>
        </w:rPr>
        <w:t>VI</w:t>
      </w:r>
      <w:r w:rsidR="00974F02">
        <w:rPr>
          <w:noProof/>
        </w:rPr>
        <w:fldChar w:fldCharType="end"/>
      </w:r>
      <w:r w:rsidRPr="00AA3F66">
        <w:noBreakHyphen/>
      </w:r>
      <w:r w:rsidR="00974F02">
        <w:fldChar w:fldCharType="begin"/>
      </w:r>
      <w:r w:rsidR="00974F02">
        <w:instrText xml:space="preserve"> SEQ Табл. \* ARABIC \s 1 </w:instrText>
      </w:r>
      <w:r w:rsidR="00974F02">
        <w:fldChar w:fldCharType="separate"/>
      </w:r>
      <w:r w:rsidR="00841DFA">
        <w:rPr>
          <w:noProof/>
        </w:rPr>
        <w:t>1</w:t>
      </w:r>
      <w:r w:rsidR="00974F02">
        <w:rPr>
          <w:noProof/>
        </w:rPr>
        <w:fldChar w:fldCharType="end"/>
      </w:r>
      <w:r w:rsidRPr="00AA3F66">
        <w:t>:</w:t>
      </w:r>
      <w:r w:rsidRPr="00AA3F66">
        <w:tab/>
      </w:r>
      <w:r w:rsidRPr="00AA3F66">
        <w:rPr>
          <w:rFonts w:cs="Calibri"/>
          <w:color w:val="000000"/>
          <w:szCs w:val="24"/>
        </w:rPr>
        <w:t>Държавен дълг – вътрешен и външен</w:t>
      </w:r>
      <w:r w:rsidRPr="006A7BE6">
        <w:rPr>
          <w:rFonts w:cs="Calibri"/>
          <w:color w:val="000000"/>
          <w:szCs w:val="24"/>
        </w:rPr>
        <w:t xml:space="preserve"> и съотношение спрямо БВП</w:t>
      </w:r>
      <w:bookmarkEnd w:id="441"/>
    </w:p>
    <w:tbl>
      <w:tblPr>
        <w:tblW w:w="9120" w:type="dxa"/>
        <w:tblCellMar>
          <w:left w:w="70" w:type="dxa"/>
          <w:right w:w="70" w:type="dxa"/>
        </w:tblCellMar>
        <w:tblLook w:val="04A0" w:firstRow="1" w:lastRow="0" w:firstColumn="1" w:lastColumn="0" w:noHBand="0" w:noVBand="1"/>
      </w:tblPr>
      <w:tblGrid>
        <w:gridCol w:w="2825"/>
        <w:gridCol w:w="1134"/>
        <w:gridCol w:w="1276"/>
        <w:gridCol w:w="1335"/>
        <w:gridCol w:w="1260"/>
        <w:gridCol w:w="1290"/>
      </w:tblGrid>
      <w:tr w:rsidR="00EC33E2" w:rsidRPr="00DD7A72" w14:paraId="546F1021" w14:textId="77777777" w:rsidTr="00207936">
        <w:trPr>
          <w:trHeight w:val="330"/>
        </w:trPr>
        <w:tc>
          <w:tcPr>
            <w:tcW w:w="2825" w:type="dxa"/>
            <w:tcBorders>
              <w:top w:val="single" w:sz="4" w:space="0" w:color="auto"/>
            </w:tcBorders>
            <w:shd w:val="clear" w:color="auto" w:fill="E3E4E6" w:themeFill="accent6" w:themeFillTint="33"/>
            <w:vAlign w:val="center"/>
            <w:hideMark/>
          </w:tcPr>
          <w:p w14:paraId="72A231BE"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Показатели</w:t>
            </w:r>
          </w:p>
        </w:tc>
        <w:tc>
          <w:tcPr>
            <w:tcW w:w="1134" w:type="dxa"/>
            <w:tcBorders>
              <w:top w:val="single" w:sz="4" w:space="0" w:color="auto"/>
            </w:tcBorders>
            <w:shd w:val="clear" w:color="auto" w:fill="E3E4E6" w:themeFill="accent6" w:themeFillTint="33"/>
            <w:noWrap/>
            <w:vAlign w:val="center"/>
            <w:hideMark/>
          </w:tcPr>
          <w:p w14:paraId="535B421B"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2024</w:t>
            </w:r>
          </w:p>
        </w:tc>
        <w:tc>
          <w:tcPr>
            <w:tcW w:w="1276" w:type="dxa"/>
            <w:tcBorders>
              <w:top w:val="single" w:sz="4" w:space="0" w:color="auto"/>
            </w:tcBorders>
            <w:shd w:val="clear" w:color="auto" w:fill="E3E4E6" w:themeFill="accent6" w:themeFillTint="33"/>
            <w:noWrap/>
            <w:vAlign w:val="center"/>
            <w:hideMark/>
          </w:tcPr>
          <w:p w14:paraId="6F03D7DA"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2025</w:t>
            </w:r>
          </w:p>
        </w:tc>
        <w:tc>
          <w:tcPr>
            <w:tcW w:w="1335" w:type="dxa"/>
            <w:tcBorders>
              <w:top w:val="single" w:sz="4" w:space="0" w:color="auto"/>
            </w:tcBorders>
            <w:shd w:val="clear" w:color="auto" w:fill="E3E4E6" w:themeFill="accent6" w:themeFillTint="33"/>
            <w:noWrap/>
            <w:vAlign w:val="center"/>
            <w:hideMark/>
          </w:tcPr>
          <w:p w14:paraId="017CC26E"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2026</w:t>
            </w:r>
          </w:p>
        </w:tc>
        <w:tc>
          <w:tcPr>
            <w:tcW w:w="1260" w:type="dxa"/>
            <w:tcBorders>
              <w:top w:val="single" w:sz="4" w:space="0" w:color="auto"/>
            </w:tcBorders>
            <w:shd w:val="clear" w:color="auto" w:fill="E3E4E6" w:themeFill="accent6" w:themeFillTint="33"/>
            <w:noWrap/>
            <w:vAlign w:val="center"/>
            <w:hideMark/>
          </w:tcPr>
          <w:p w14:paraId="2A3BAFBB"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2027</w:t>
            </w:r>
          </w:p>
        </w:tc>
        <w:tc>
          <w:tcPr>
            <w:tcW w:w="1290" w:type="dxa"/>
            <w:tcBorders>
              <w:top w:val="single" w:sz="4" w:space="0" w:color="auto"/>
            </w:tcBorders>
            <w:shd w:val="clear" w:color="auto" w:fill="E3E4E6" w:themeFill="accent6" w:themeFillTint="33"/>
            <w:noWrap/>
            <w:vAlign w:val="center"/>
            <w:hideMark/>
          </w:tcPr>
          <w:p w14:paraId="4ED1747F"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2028</w:t>
            </w:r>
          </w:p>
        </w:tc>
      </w:tr>
      <w:tr w:rsidR="00EC33E2" w:rsidRPr="00DD7A72" w14:paraId="493A3825" w14:textId="77777777" w:rsidTr="00207936">
        <w:trPr>
          <w:trHeight w:val="330"/>
        </w:trPr>
        <w:tc>
          <w:tcPr>
            <w:tcW w:w="2825" w:type="dxa"/>
            <w:tcBorders>
              <w:bottom w:val="single" w:sz="4" w:space="0" w:color="auto"/>
            </w:tcBorders>
            <w:shd w:val="clear" w:color="auto" w:fill="E3E4E6" w:themeFill="accent6" w:themeFillTint="33"/>
            <w:vAlign w:val="center"/>
            <w:hideMark/>
          </w:tcPr>
          <w:p w14:paraId="43CA9802" w14:textId="77777777" w:rsidR="00EC33E2" w:rsidRPr="00DD7A72" w:rsidRDefault="00EC33E2" w:rsidP="003E5C09">
            <w:pPr>
              <w:spacing w:after="0"/>
              <w:jc w:val="center"/>
              <w:rPr>
                <w:rFonts w:eastAsia="Times New Roman" w:cs="Times New Roman"/>
                <w:b/>
                <w:bCs/>
                <w:sz w:val="20"/>
                <w:szCs w:val="20"/>
              </w:rPr>
            </w:pPr>
            <w:r w:rsidRPr="00DD7A72">
              <w:rPr>
                <w:rFonts w:eastAsia="Times New Roman" w:cs="Times New Roman"/>
                <w:b/>
                <w:bCs/>
                <w:sz w:val="20"/>
                <w:szCs w:val="20"/>
              </w:rPr>
              <w:t> </w:t>
            </w:r>
          </w:p>
        </w:tc>
        <w:tc>
          <w:tcPr>
            <w:tcW w:w="1134" w:type="dxa"/>
            <w:tcBorders>
              <w:bottom w:val="single" w:sz="4" w:space="0" w:color="auto"/>
            </w:tcBorders>
            <w:shd w:val="clear" w:color="auto" w:fill="E3E4E6" w:themeFill="accent6" w:themeFillTint="33"/>
            <w:vAlign w:val="center"/>
            <w:hideMark/>
          </w:tcPr>
          <w:p w14:paraId="4E364C48"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О</w:t>
            </w:r>
            <w:r w:rsidR="00EC33E2" w:rsidRPr="00DD7A72">
              <w:rPr>
                <w:rFonts w:eastAsia="Times New Roman" w:cs="Times New Roman"/>
                <w:b/>
                <w:bCs/>
                <w:sz w:val="20"/>
                <w:szCs w:val="20"/>
              </w:rPr>
              <w:t>тчет</w:t>
            </w:r>
          </w:p>
        </w:tc>
        <w:tc>
          <w:tcPr>
            <w:tcW w:w="1276" w:type="dxa"/>
            <w:tcBorders>
              <w:bottom w:val="single" w:sz="4" w:space="0" w:color="auto"/>
            </w:tcBorders>
            <w:shd w:val="clear" w:color="auto" w:fill="E3E4E6" w:themeFill="accent6" w:themeFillTint="33"/>
            <w:vAlign w:val="center"/>
            <w:hideMark/>
          </w:tcPr>
          <w:p w14:paraId="141951E8"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О</w:t>
            </w:r>
            <w:r w:rsidR="00EC33E2" w:rsidRPr="00DD7A72">
              <w:rPr>
                <w:rFonts w:eastAsia="Times New Roman" w:cs="Times New Roman"/>
                <w:b/>
                <w:bCs/>
                <w:sz w:val="20"/>
                <w:szCs w:val="20"/>
              </w:rPr>
              <w:t>чаквано</w:t>
            </w:r>
          </w:p>
        </w:tc>
        <w:tc>
          <w:tcPr>
            <w:tcW w:w="1335" w:type="dxa"/>
            <w:tcBorders>
              <w:bottom w:val="single" w:sz="4" w:space="0" w:color="auto"/>
            </w:tcBorders>
            <w:shd w:val="clear" w:color="auto" w:fill="E3E4E6" w:themeFill="accent6" w:themeFillTint="33"/>
            <w:vAlign w:val="center"/>
            <w:hideMark/>
          </w:tcPr>
          <w:p w14:paraId="2A67EC67"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П</w:t>
            </w:r>
            <w:r w:rsidR="00EC33E2" w:rsidRPr="00DD7A72">
              <w:rPr>
                <w:rFonts w:eastAsia="Times New Roman" w:cs="Times New Roman"/>
                <w:b/>
                <w:bCs/>
                <w:sz w:val="20"/>
                <w:szCs w:val="20"/>
              </w:rPr>
              <w:t>роект</w:t>
            </w:r>
          </w:p>
        </w:tc>
        <w:tc>
          <w:tcPr>
            <w:tcW w:w="1260" w:type="dxa"/>
            <w:tcBorders>
              <w:bottom w:val="single" w:sz="4" w:space="0" w:color="auto"/>
            </w:tcBorders>
            <w:shd w:val="clear" w:color="auto" w:fill="E3E4E6" w:themeFill="accent6" w:themeFillTint="33"/>
            <w:vAlign w:val="center"/>
            <w:hideMark/>
          </w:tcPr>
          <w:p w14:paraId="6FE4EAF4"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П</w:t>
            </w:r>
            <w:r w:rsidR="00EC33E2" w:rsidRPr="00DD7A72">
              <w:rPr>
                <w:rFonts w:eastAsia="Times New Roman" w:cs="Times New Roman"/>
                <w:b/>
                <w:bCs/>
                <w:sz w:val="20"/>
                <w:szCs w:val="20"/>
              </w:rPr>
              <w:t>рогноза</w:t>
            </w:r>
          </w:p>
        </w:tc>
        <w:tc>
          <w:tcPr>
            <w:tcW w:w="1290" w:type="dxa"/>
            <w:tcBorders>
              <w:bottom w:val="single" w:sz="4" w:space="0" w:color="auto"/>
            </w:tcBorders>
            <w:shd w:val="clear" w:color="auto" w:fill="E3E4E6" w:themeFill="accent6" w:themeFillTint="33"/>
            <w:vAlign w:val="center"/>
            <w:hideMark/>
          </w:tcPr>
          <w:p w14:paraId="3C16940B" w14:textId="77777777" w:rsidR="00EC33E2" w:rsidRPr="00DD7A72" w:rsidRDefault="00B32219" w:rsidP="003E5C09">
            <w:pPr>
              <w:spacing w:after="0"/>
              <w:jc w:val="center"/>
              <w:rPr>
                <w:rFonts w:eastAsia="Times New Roman" w:cs="Times New Roman"/>
                <w:b/>
                <w:bCs/>
                <w:sz w:val="20"/>
                <w:szCs w:val="20"/>
              </w:rPr>
            </w:pPr>
            <w:r>
              <w:rPr>
                <w:rFonts w:eastAsia="Times New Roman" w:cs="Times New Roman"/>
                <w:b/>
                <w:bCs/>
                <w:sz w:val="20"/>
                <w:szCs w:val="20"/>
              </w:rPr>
              <w:t>П</w:t>
            </w:r>
            <w:r w:rsidR="00EC33E2" w:rsidRPr="00DD7A72">
              <w:rPr>
                <w:rFonts w:eastAsia="Times New Roman" w:cs="Times New Roman"/>
                <w:b/>
                <w:bCs/>
                <w:sz w:val="20"/>
                <w:szCs w:val="20"/>
              </w:rPr>
              <w:t>рогноза</w:t>
            </w:r>
          </w:p>
        </w:tc>
      </w:tr>
      <w:tr w:rsidR="003E5C09" w:rsidRPr="00DD7A72" w14:paraId="4A1967F5" w14:textId="77777777" w:rsidTr="003E5C09">
        <w:trPr>
          <w:trHeight w:val="300"/>
        </w:trPr>
        <w:tc>
          <w:tcPr>
            <w:tcW w:w="2825" w:type="dxa"/>
            <w:tcBorders>
              <w:top w:val="single" w:sz="4" w:space="0" w:color="auto"/>
            </w:tcBorders>
            <w:shd w:val="clear" w:color="000000" w:fill="FFFFFF"/>
            <w:noWrap/>
            <w:vAlign w:val="center"/>
            <w:hideMark/>
          </w:tcPr>
          <w:p w14:paraId="5988CE96" w14:textId="77777777" w:rsidR="00EC33E2" w:rsidRPr="00DD7A72" w:rsidRDefault="00EC33E2" w:rsidP="003E5C09">
            <w:pPr>
              <w:spacing w:after="0"/>
              <w:jc w:val="left"/>
              <w:rPr>
                <w:rFonts w:eastAsia="Times New Roman" w:cs="Times New Roman"/>
                <w:b/>
                <w:bCs/>
                <w:sz w:val="20"/>
                <w:szCs w:val="20"/>
              </w:rPr>
            </w:pPr>
            <w:r w:rsidRPr="00DD7A72">
              <w:rPr>
                <w:rFonts w:eastAsia="Times New Roman" w:cs="Times New Roman"/>
                <w:b/>
                <w:bCs/>
                <w:sz w:val="20"/>
                <w:szCs w:val="20"/>
              </w:rPr>
              <w:t xml:space="preserve"> Държавен дълг, млн. евро</w:t>
            </w:r>
          </w:p>
        </w:tc>
        <w:tc>
          <w:tcPr>
            <w:tcW w:w="1134" w:type="dxa"/>
            <w:tcBorders>
              <w:top w:val="single" w:sz="4" w:space="0" w:color="auto"/>
            </w:tcBorders>
            <w:shd w:val="clear" w:color="auto" w:fill="auto"/>
            <w:noWrap/>
            <w:vAlign w:val="bottom"/>
            <w:hideMark/>
          </w:tcPr>
          <w:p w14:paraId="706A46F4"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24 227,0 </w:t>
            </w:r>
          </w:p>
        </w:tc>
        <w:tc>
          <w:tcPr>
            <w:tcW w:w="1276" w:type="dxa"/>
            <w:tcBorders>
              <w:top w:val="single" w:sz="4" w:space="0" w:color="auto"/>
            </w:tcBorders>
            <w:shd w:val="clear" w:color="auto" w:fill="auto"/>
            <w:noWrap/>
            <w:vAlign w:val="bottom"/>
            <w:hideMark/>
          </w:tcPr>
          <w:p w14:paraId="3830DF26"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31 335,5 </w:t>
            </w:r>
          </w:p>
        </w:tc>
        <w:tc>
          <w:tcPr>
            <w:tcW w:w="1335" w:type="dxa"/>
            <w:tcBorders>
              <w:top w:val="single" w:sz="4" w:space="0" w:color="auto"/>
            </w:tcBorders>
            <w:shd w:val="clear" w:color="auto" w:fill="auto"/>
            <w:noWrap/>
            <w:vAlign w:val="bottom"/>
            <w:hideMark/>
          </w:tcPr>
          <w:p w14:paraId="45ED8CD8"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37 587,7 </w:t>
            </w:r>
          </w:p>
        </w:tc>
        <w:tc>
          <w:tcPr>
            <w:tcW w:w="1260" w:type="dxa"/>
            <w:tcBorders>
              <w:top w:val="single" w:sz="4" w:space="0" w:color="auto"/>
            </w:tcBorders>
            <w:shd w:val="clear" w:color="auto" w:fill="auto"/>
            <w:noWrap/>
            <w:vAlign w:val="bottom"/>
            <w:hideMark/>
          </w:tcPr>
          <w:p w14:paraId="454124B8"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43 462,6 </w:t>
            </w:r>
          </w:p>
        </w:tc>
        <w:tc>
          <w:tcPr>
            <w:tcW w:w="1290" w:type="dxa"/>
            <w:tcBorders>
              <w:top w:val="single" w:sz="4" w:space="0" w:color="auto"/>
            </w:tcBorders>
            <w:shd w:val="clear" w:color="auto" w:fill="auto"/>
            <w:noWrap/>
            <w:vAlign w:val="bottom"/>
            <w:hideMark/>
          </w:tcPr>
          <w:p w14:paraId="6F2A700C"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48 976,3 </w:t>
            </w:r>
          </w:p>
        </w:tc>
      </w:tr>
      <w:tr w:rsidR="00EC33E2" w:rsidRPr="00DD7A72" w14:paraId="01A1135E" w14:textId="77777777" w:rsidTr="003E5C09">
        <w:trPr>
          <w:trHeight w:val="315"/>
        </w:trPr>
        <w:tc>
          <w:tcPr>
            <w:tcW w:w="2825" w:type="dxa"/>
            <w:shd w:val="clear" w:color="000000" w:fill="FFFFFF"/>
            <w:noWrap/>
            <w:vAlign w:val="center"/>
            <w:hideMark/>
          </w:tcPr>
          <w:p w14:paraId="4BB5F58C"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xml:space="preserve"> Държавен дълг/БВП (%)*</w:t>
            </w:r>
          </w:p>
        </w:tc>
        <w:tc>
          <w:tcPr>
            <w:tcW w:w="1134" w:type="dxa"/>
            <w:shd w:val="clear" w:color="000000" w:fill="FFFFFF"/>
            <w:noWrap/>
            <w:vAlign w:val="center"/>
            <w:hideMark/>
          </w:tcPr>
          <w:p w14:paraId="1E99EA02"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23,1%</w:t>
            </w:r>
          </w:p>
        </w:tc>
        <w:tc>
          <w:tcPr>
            <w:tcW w:w="1276" w:type="dxa"/>
            <w:shd w:val="clear" w:color="000000" w:fill="FFFFFF"/>
            <w:noWrap/>
            <w:vAlign w:val="center"/>
            <w:hideMark/>
          </w:tcPr>
          <w:p w14:paraId="11B302A8"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27,8%</w:t>
            </w:r>
          </w:p>
        </w:tc>
        <w:tc>
          <w:tcPr>
            <w:tcW w:w="1335" w:type="dxa"/>
            <w:shd w:val="clear" w:color="000000" w:fill="FFFFFF"/>
            <w:noWrap/>
            <w:vAlign w:val="center"/>
            <w:hideMark/>
          </w:tcPr>
          <w:p w14:paraId="1B7995CA"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31,3%</w:t>
            </w:r>
          </w:p>
        </w:tc>
        <w:tc>
          <w:tcPr>
            <w:tcW w:w="1260" w:type="dxa"/>
            <w:shd w:val="clear" w:color="000000" w:fill="FFFFFF"/>
            <w:noWrap/>
            <w:vAlign w:val="center"/>
            <w:hideMark/>
          </w:tcPr>
          <w:p w14:paraId="2274270C"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34,2%</w:t>
            </w:r>
          </w:p>
        </w:tc>
        <w:tc>
          <w:tcPr>
            <w:tcW w:w="1290" w:type="dxa"/>
            <w:shd w:val="clear" w:color="000000" w:fill="FFFFFF"/>
            <w:noWrap/>
            <w:vAlign w:val="center"/>
            <w:hideMark/>
          </w:tcPr>
          <w:p w14:paraId="5D0AC7D5"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36,6%</w:t>
            </w:r>
          </w:p>
        </w:tc>
      </w:tr>
      <w:tr w:rsidR="003E5C09" w:rsidRPr="00DD7A72" w14:paraId="4C8523CF" w14:textId="77777777" w:rsidTr="003E5C09">
        <w:trPr>
          <w:trHeight w:val="112"/>
        </w:trPr>
        <w:tc>
          <w:tcPr>
            <w:tcW w:w="2825" w:type="dxa"/>
            <w:shd w:val="clear" w:color="auto" w:fill="auto"/>
            <w:noWrap/>
            <w:vAlign w:val="center"/>
            <w:hideMark/>
          </w:tcPr>
          <w:p w14:paraId="1B70C096"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w:t>
            </w:r>
          </w:p>
        </w:tc>
        <w:tc>
          <w:tcPr>
            <w:tcW w:w="1134" w:type="dxa"/>
            <w:shd w:val="clear" w:color="auto" w:fill="auto"/>
            <w:noWrap/>
            <w:vAlign w:val="bottom"/>
            <w:hideMark/>
          </w:tcPr>
          <w:p w14:paraId="4F990040"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76" w:type="dxa"/>
            <w:shd w:val="clear" w:color="auto" w:fill="auto"/>
            <w:noWrap/>
            <w:vAlign w:val="bottom"/>
            <w:hideMark/>
          </w:tcPr>
          <w:p w14:paraId="3BAB80B6"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335" w:type="dxa"/>
            <w:shd w:val="clear" w:color="auto" w:fill="auto"/>
            <w:noWrap/>
            <w:vAlign w:val="bottom"/>
            <w:hideMark/>
          </w:tcPr>
          <w:p w14:paraId="3D75A607"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60" w:type="dxa"/>
            <w:shd w:val="clear" w:color="auto" w:fill="auto"/>
            <w:noWrap/>
            <w:vAlign w:val="bottom"/>
            <w:hideMark/>
          </w:tcPr>
          <w:p w14:paraId="656F2133"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90" w:type="dxa"/>
            <w:shd w:val="clear" w:color="auto" w:fill="auto"/>
            <w:noWrap/>
            <w:vAlign w:val="bottom"/>
            <w:hideMark/>
          </w:tcPr>
          <w:p w14:paraId="73598661"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r>
      <w:tr w:rsidR="003E5C09" w:rsidRPr="00DD7A72" w14:paraId="29161912" w14:textId="77777777" w:rsidTr="003E5C09">
        <w:trPr>
          <w:trHeight w:val="300"/>
        </w:trPr>
        <w:tc>
          <w:tcPr>
            <w:tcW w:w="2825" w:type="dxa"/>
            <w:shd w:val="clear" w:color="000000" w:fill="FFFFFF"/>
            <w:noWrap/>
            <w:vAlign w:val="center"/>
            <w:hideMark/>
          </w:tcPr>
          <w:p w14:paraId="2ABB9DAF" w14:textId="77777777" w:rsidR="00EC33E2" w:rsidRPr="00DD7A72" w:rsidRDefault="00EC33E2" w:rsidP="003E5C09">
            <w:pPr>
              <w:spacing w:after="0"/>
              <w:jc w:val="left"/>
              <w:rPr>
                <w:rFonts w:eastAsia="Times New Roman" w:cs="Times New Roman"/>
                <w:b/>
                <w:bCs/>
                <w:sz w:val="20"/>
                <w:szCs w:val="20"/>
              </w:rPr>
            </w:pPr>
            <w:r w:rsidRPr="00DD7A72">
              <w:rPr>
                <w:rFonts w:eastAsia="Times New Roman" w:cs="Times New Roman"/>
                <w:b/>
                <w:bCs/>
                <w:sz w:val="20"/>
                <w:szCs w:val="20"/>
              </w:rPr>
              <w:t xml:space="preserve"> Външен дълг, млн. евро</w:t>
            </w:r>
          </w:p>
        </w:tc>
        <w:tc>
          <w:tcPr>
            <w:tcW w:w="1134" w:type="dxa"/>
            <w:shd w:val="clear" w:color="auto" w:fill="auto"/>
            <w:noWrap/>
            <w:vAlign w:val="bottom"/>
            <w:hideMark/>
          </w:tcPr>
          <w:p w14:paraId="7A9D021C"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18 124,5 </w:t>
            </w:r>
          </w:p>
        </w:tc>
        <w:tc>
          <w:tcPr>
            <w:tcW w:w="1276" w:type="dxa"/>
            <w:shd w:val="clear" w:color="auto" w:fill="auto"/>
            <w:noWrap/>
            <w:vAlign w:val="bottom"/>
            <w:hideMark/>
          </w:tcPr>
          <w:p w14:paraId="7466ED92"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25 280,5 </w:t>
            </w:r>
          </w:p>
        </w:tc>
        <w:tc>
          <w:tcPr>
            <w:tcW w:w="1335" w:type="dxa"/>
            <w:shd w:val="clear" w:color="auto" w:fill="auto"/>
            <w:noWrap/>
            <w:vAlign w:val="bottom"/>
            <w:hideMark/>
          </w:tcPr>
          <w:p w14:paraId="2BB4EE8E"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31 789,7 </w:t>
            </w:r>
          </w:p>
        </w:tc>
        <w:tc>
          <w:tcPr>
            <w:tcW w:w="1260" w:type="dxa"/>
            <w:shd w:val="clear" w:color="auto" w:fill="auto"/>
            <w:noWrap/>
            <w:vAlign w:val="bottom"/>
            <w:hideMark/>
          </w:tcPr>
          <w:p w14:paraId="57308272"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36 713,4 </w:t>
            </w:r>
          </w:p>
        </w:tc>
        <w:tc>
          <w:tcPr>
            <w:tcW w:w="1290" w:type="dxa"/>
            <w:shd w:val="clear" w:color="auto" w:fill="auto"/>
            <w:noWrap/>
            <w:vAlign w:val="bottom"/>
            <w:hideMark/>
          </w:tcPr>
          <w:p w14:paraId="7B09267A"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42 677,3 </w:t>
            </w:r>
          </w:p>
        </w:tc>
      </w:tr>
      <w:tr w:rsidR="00EC33E2" w:rsidRPr="00DD7A72" w14:paraId="39296824" w14:textId="77777777" w:rsidTr="003E5C09">
        <w:trPr>
          <w:trHeight w:val="315"/>
        </w:trPr>
        <w:tc>
          <w:tcPr>
            <w:tcW w:w="2825" w:type="dxa"/>
            <w:shd w:val="clear" w:color="000000" w:fill="FFFFFF"/>
            <w:noWrap/>
            <w:vAlign w:val="center"/>
            <w:hideMark/>
          </w:tcPr>
          <w:p w14:paraId="4FCCA007"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xml:space="preserve"> Външен дълг/БВП (%)</w:t>
            </w:r>
          </w:p>
        </w:tc>
        <w:tc>
          <w:tcPr>
            <w:tcW w:w="1134" w:type="dxa"/>
            <w:shd w:val="clear" w:color="000000" w:fill="FFFFFF"/>
            <w:noWrap/>
            <w:vAlign w:val="center"/>
            <w:hideMark/>
          </w:tcPr>
          <w:p w14:paraId="78241A3C"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17,3%</w:t>
            </w:r>
          </w:p>
        </w:tc>
        <w:tc>
          <w:tcPr>
            <w:tcW w:w="1276" w:type="dxa"/>
            <w:shd w:val="clear" w:color="000000" w:fill="FFFFFF"/>
            <w:noWrap/>
            <w:vAlign w:val="center"/>
            <w:hideMark/>
          </w:tcPr>
          <w:p w14:paraId="1C0F6D01"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22,4%</w:t>
            </w:r>
          </w:p>
        </w:tc>
        <w:tc>
          <w:tcPr>
            <w:tcW w:w="1335" w:type="dxa"/>
            <w:shd w:val="clear" w:color="000000" w:fill="FFFFFF"/>
            <w:noWrap/>
            <w:vAlign w:val="center"/>
            <w:hideMark/>
          </w:tcPr>
          <w:p w14:paraId="16D586EC"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26,5%</w:t>
            </w:r>
          </w:p>
        </w:tc>
        <w:tc>
          <w:tcPr>
            <w:tcW w:w="1260" w:type="dxa"/>
            <w:shd w:val="clear" w:color="000000" w:fill="FFFFFF"/>
            <w:noWrap/>
            <w:vAlign w:val="center"/>
            <w:hideMark/>
          </w:tcPr>
          <w:p w14:paraId="18A5D11F"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28,9%</w:t>
            </w:r>
          </w:p>
        </w:tc>
        <w:tc>
          <w:tcPr>
            <w:tcW w:w="1290" w:type="dxa"/>
            <w:shd w:val="clear" w:color="000000" w:fill="FFFFFF"/>
            <w:noWrap/>
            <w:vAlign w:val="center"/>
            <w:hideMark/>
          </w:tcPr>
          <w:p w14:paraId="2C544D62"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31,9%</w:t>
            </w:r>
          </w:p>
        </w:tc>
      </w:tr>
      <w:tr w:rsidR="003E5C09" w:rsidRPr="00DD7A72" w14:paraId="409AA7AB" w14:textId="77777777" w:rsidTr="003E5C09">
        <w:trPr>
          <w:trHeight w:val="50"/>
        </w:trPr>
        <w:tc>
          <w:tcPr>
            <w:tcW w:w="2825" w:type="dxa"/>
            <w:shd w:val="clear" w:color="auto" w:fill="auto"/>
            <w:noWrap/>
            <w:vAlign w:val="center"/>
            <w:hideMark/>
          </w:tcPr>
          <w:p w14:paraId="048D081F"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w:t>
            </w:r>
          </w:p>
        </w:tc>
        <w:tc>
          <w:tcPr>
            <w:tcW w:w="1134" w:type="dxa"/>
            <w:shd w:val="clear" w:color="auto" w:fill="auto"/>
            <w:noWrap/>
            <w:vAlign w:val="bottom"/>
            <w:hideMark/>
          </w:tcPr>
          <w:p w14:paraId="317D34FA"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76" w:type="dxa"/>
            <w:shd w:val="clear" w:color="auto" w:fill="auto"/>
            <w:noWrap/>
            <w:vAlign w:val="bottom"/>
            <w:hideMark/>
          </w:tcPr>
          <w:p w14:paraId="2B6618A3"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335" w:type="dxa"/>
            <w:shd w:val="clear" w:color="auto" w:fill="auto"/>
            <w:noWrap/>
            <w:vAlign w:val="bottom"/>
            <w:hideMark/>
          </w:tcPr>
          <w:p w14:paraId="06CBF970"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60" w:type="dxa"/>
            <w:shd w:val="clear" w:color="auto" w:fill="auto"/>
            <w:noWrap/>
            <w:vAlign w:val="bottom"/>
            <w:hideMark/>
          </w:tcPr>
          <w:p w14:paraId="5A2CF775"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90" w:type="dxa"/>
            <w:shd w:val="clear" w:color="auto" w:fill="auto"/>
            <w:noWrap/>
            <w:vAlign w:val="bottom"/>
            <w:hideMark/>
          </w:tcPr>
          <w:p w14:paraId="0A1E1F12"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r>
      <w:tr w:rsidR="003E5C09" w:rsidRPr="00DD7A72" w14:paraId="3FAE1E1E" w14:textId="77777777" w:rsidTr="003E5C09">
        <w:trPr>
          <w:trHeight w:val="300"/>
        </w:trPr>
        <w:tc>
          <w:tcPr>
            <w:tcW w:w="2825" w:type="dxa"/>
            <w:shd w:val="clear" w:color="000000" w:fill="FFFFFF"/>
            <w:noWrap/>
            <w:vAlign w:val="center"/>
            <w:hideMark/>
          </w:tcPr>
          <w:p w14:paraId="081F1275" w14:textId="77777777" w:rsidR="00EC33E2" w:rsidRPr="00DD7A72" w:rsidRDefault="00EC33E2" w:rsidP="003E5C09">
            <w:pPr>
              <w:spacing w:after="0"/>
              <w:jc w:val="left"/>
              <w:rPr>
                <w:rFonts w:eastAsia="Times New Roman" w:cs="Times New Roman"/>
                <w:b/>
                <w:bCs/>
                <w:sz w:val="20"/>
                <w:szCs w:val="20"/>
              </w:rPr>
            </w:pPr>
            <w:r w:rsidRPr="00DD7A72">
              <w:rPr>
                <w:rFonts w:eastAsia="Times New Roman" w:cs="Times New Roman"/>
                <w:b/>
                <w:bCs/>
                <w:sz w:val="20"/>
                <w:szCs w:val="20"/>
              </w:rPr>
              <w:t xml:space="preserve"> Вътрешен дълг, млн. евро</w:t>
            </w:r>
          </w:p>
        </w:tc>
        <w:tc>
          <w:tcPr>
            <w:tcW w:w="1134" w:type="dxa"/>
            <w:shd w:val="clear" w:color="auto" w:fill="auto"/>
            <w:noWrap/>
            <w:vAlign w:val="bottom"/>
            <w:hideMark/>
          </w:tcPr>
          <w:p w14:paraId="2B13C2FC"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6 102,5 </w:t>
            </w:r>
          </w:p>
        </w:tc>
        <w:tc>
          <w:tcPr>
            <w:tcW w:w="1276" w:type="dxa"/>
            <w:shd w:val="clear" w:color="auto" w:fill="auto"/>
            <w:noWrap/>
            <w:vAlign w:val="bottom"/>
            <w:hideMark/>
          </w:tcPr>
          <w:p w14:paraId="302C0508"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6 055,0 </w:t>
            </w:r>
          </w:p>
        </w:tc>
        <w:tc>
          <w:tcPr>
            <w:tcW w:w="1335" w:type="dxa"/>
            <w:shd w:val="clear" w:color="auto" w:fill="auto"/>
            <w:noWrap/>
            <w:vAlign w:val="bottom"/>
            <w:hideMark/>
          </w:tcPr>
          <w:p w14:paraId="23C9C253"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5 797,9 </w:t>
            </w:r>
          </w:p>
        </w:tc>
        <w:tc>
          <w:tcPr>
            <w:tcW w:w="1260" w:type="dxa"/>
            <w:shd w:val="clear" w:color="auto" w:fill="auto"/>
            <w:noWrap/>
            <w:vAlign w:val="bottom"/>
            <w:hideMark/>
          </w:tcPr>
          <w:p w14:paraId="0E30A965"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6 749,2 </w:t>
            </w:r>
          </w:p>
        </w:tc>
        <w:tc>
          <w:tcPr>
            <w:tcW w:w="1290" w:type="dxa"/>
            <w:shd w:val="clear" w:color="auto" w:fill="auto"/>
            <w:noWrap/>
            <w:vAlign w:val="bottom"/>
            <w:hideMark/>
          </w:tcPr>
          <w:p w14:paraId="7BDF46DA" w14:textId="77777777" w:rsidR="00EC33E2" w:rsidRPr="00DD7A72" w:rsidRDefault="00EC33E2" w:rsidP="003E5C09">
            <w:pPr>
              <w:spacing w:after="0"/>
              <w:jc w:val="right"/>
              <w:rPr>
                <w:rFonts w:eastAsia="Times New Roman" w:cs="Times New Roman"/>
                <w:b/>
                <w:bCs/>
                <w:sz w:val="20"/>
                <w:szCs w:val="20"/>
              </w:rPr>
            </w:pPr>
            <w:r w:rsidRPr="00DD7A72">
              <w:rPr>
                <w:rFonts w:eastAsia="Times New Roman" w:cs="Times New Roman"/>
                <w:b/>
                <w:bCs/>
                <w:sz w:val="20"/>
                <w:szCs w:val="20"/>
              </w:rPr>
              <w:t xml:space="preserve">     6 299,0 </w:t>
            </w:r>
          </w:p>
        </w:tc>
      </w:tr>
      <w:tr w:rsidR="00EC33E2" w:rsidRPr="00DD7A72" w14:paraId="36A68555" w14:textId="77777777" w:rsidTr="003E5C09">
        <w:trPr>
          <w:trHeight w:val="315"/>
        </w:trPr>
        <w:tc>
          <w:tcPr>
            <w:tcW w:w="2825" w:type="dxa"/>
            <w:shd w:val="clear" w:color="000000" w:fill="FFFFFF"/>
            <w:noWrap/>
            <w:vAlign w:val="center"/>
            <w:hideMark/>
          </w:tcPr>
          <w:p w14:paraId="15C647BB"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xml:space="preserve"> Вътрешен дълг/БВП (%)</w:t>
            </w:r>
          </w:p>
        </w:tc>
        <w:tc>
          <w:tcPr>
            <w:tcW w:w="1134" w:type="dxa"/>
            <w:shd w:val="clear" w:color="000000" w:fill="FFFFFF"/>
            <w:noWrap/>
            <w:vAlign w:val="center"/>
            <w:hideMark/>
          </w:tcPr>
          <w:p w14:paraId="72BA9ACF"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5,8%</w:t>
            </w:r>
          </w:p>
        </w:tc>
        <w:tc>
          <w:tcPr>
            <w:tcW w:w="1276" w:type="dxa"/>
            <w:shd w:val="clear" w:color="000000" w:fill="FFFFFF"/>
            <w:noWrap/>
            <w:vAlign w:val="center"/>
            <w:hideMark/>
          </w:tcPr>
          <w:p w14:paraId="7BD1FB25"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5,4%</w:t>
            </w:r>
          </w:p>
        </w:tc>
        <w:tc>
          <w:tcPr>
            <w:tcW w:w="1335" w:type="dxa"/>
            <w:shd w:val="clear" w:color="000000" w:fill="FFFFFF"/>
            <w:noWrap/>
            <w:vAlign w:val="center"/>
            <w:hideMark/>
          </w:tcPr>
          <w:p w14:paraId="419CB5B3"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4,8%</w:t>
            </w:r>
          </w:p>
        </w:tc>
        <w:tc>
          <w:tcPr>
            <w:tcW w:w="1260" w:type="dxa"/>
            <w:shd w:val="clear" w:color="000000" w:fill="FFFFFF"/>
            <w:noWrap/>
            <w:vAlign w:val="center"/>
            <w:hideMark/>
          </w:tcPr>
          <w:p w14:paraId="33F3663A"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5,3%</w:t>
            </w:r>
          </w:p>
        </w:tc>
        <w:tc>
          <w:tcPr>
            <w:tcW w:w="1290" w:type="dxa"/>
            <w:shd w:val="clear" w:color="000000" w:fill="FFFFFF"/>
            <w:noWrap/>
            <w:vAlign w:val="center"/>
            <w:hideMark/>
          </w:tcPr>
          <w:p w14:paraId="1BA57C84"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4,7%</w:t>
            </w:r>
          </w:p>
        </w:tc>
      </w:tr>
      <w:tr w:rsidR="003E5C09" w:rsidRPr="00DD7A72" w14:paraId="46F69B58" w14:textId="77777777" w:rsidTr="003E5C09">
        <w:trPr>
          <w:trHeight w:val="60"/>
        </w:trPr>
        <w:tc>
          <w:tcPr>
            <w:tcW w:w="2825" w:type="dxa"/>
            <w:shd w:val="clear" w:color="auto" w:fill="auto"/>
            <w:noWrap/>
            <w:vAlign w:val="bottom"/>
            <w:hideMark/>
          </w:tcPr>
          <w:p w14:paraId="2D55DC41" w14:textId="77777777" w:rsidR="00EC33E2" w:rsidRPr="00DD7A72" w:rsidRDefault="00EC33E2" w:rsidP="003E5C09">
            <w:pPr>
              <w:spacing w:after="0"/>
              <w:jc w:val="left"/>
              <w:rPr>
                <w:rFonts w:eastAsia="Times New Roman" w:cs="Times New Roman"/>
                <w:sz w:val="20"/>
                <w:szCs w:val="20"/>
              </w:rPr>
            </w:pPr>
            <w:r w:rsidRPr="00DD7A72">
              <w:rPr>
                <w:rFonts w:eastAsia="Times New Roman" w:cs="Times New Roman"/>
                <w:sz w:val="20"/>
                <w:szCs w:val="20"/>
              </w:rPr>
              <w:t> </w:t>
            </w:r>
          </w:p>
        </w:tc>
        <w:tc>
          <w:tcPr>
            <w:tcW w:w="1134" w:type="dxa"/>
            <w:shd w:val="clear" w:color="auto" w:fill="auto"/>
            <w:noWrap/>
            <w:vAlign w:val="bottom"/>
            <w:hideMark/>
          </w:tcPr>
          <w:p w14:paraId="51EF834D"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76" w:type="dxa"/>
            <w:shd w:val="clear" w:color="auto" w:fill="auto"/>
            <w:noWrap/>
            <w:vAlign w:val="bottom"/>
            <w:hideMark/>
          </w:tcPr>
          <w:p w14:paraId="6C8D0B12"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335" w:type="dxa"/>
            <w:shd w:val="clear" w:color="auto" w:fill="auto"/>
            <w:noWrap/>
            <w:vAlign w:val="bottom"/>
            <w:hideMark/>
          </w:tcPr>
          <w:p w14:paraId="79EE932B"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60" w:type="dxa"/>
            <w:shd w:val="clear" w:color="auto" w:fill="auto"/>
            <w:noWrap/>
            <w:vAlign w:val="bottom"/>
            <w:hideMark/>
          </w:tcPr>
          <w:p w14:paraId="5090CC89"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c>
          <w:tcPr>
            <w:tcW w:w="1290" w:type="dxa"/>
            <w:shd w:val="clear" w:color="auto" w:fill="auto"/>
            <w:noWrap/>
            <w:vAlign w:val="bottom"/>
            <w:hideMark/>
          </w:tcPr>
          <w:p w14:paraId="5E037D9B" w14:textId="77777777" w:rsidR="00EC33E2" w:rsidRPr="00DD7A72" w:rsidRDefault="00EC33E2" w:rsidP="003E5C09">
            <w:pPr>
              <w:spacing w:after="0"/>
              <w:jc w:val="right"/>
              <w:rPr>
                <w:rFonts w:eastAsia="Times New Roman" w:cs="Times New Roman"/>
                <w:sz w:val="20"/>
                <w:szCs w:val="20"/>
              </w:rPr>
            </w:pPr>
            <w:r w:rsidRPr="00DD7A72">
              <w:rPr>
                <w:rFonts w:eastAsia="Times New Roman" w:cs="Times New Roman"/>
                <w:sz w:val="20"/>
                <w:szCs w:val="20"/>
              </w:rPr>
              <w:t> </w:t>
            </w:r>
          </w:p>
        </w:tc>
      </w:tr>
      <w:tr w:rsidR="00EC33E2" w:rsidRPr="00DD7A72" w14:paraId="0F774368" w14:textId="77777777" w:rsidTr="00207936">
        <w:trPr>
          <w:trHeight w:val="315"/>
        </w:trPr>
        <w:tc>
          <w:tcPr>
            <w:tcW w:w="2825" w:type="dxa"/>
            <w:tcBorders>
              <w:bottom w:val="single" w:sz="4" w:space="0" w:color="auto"/>
            </w:tcBorders>
            <w:shd w:val="clear" w:color="auto" w:fill="FEE6D6" w:themeFill="accent1" w:themeFillTint="33"/>
            <w:noWrap/>
            <w:vAlign w:val="bottom"/>
            <w:hideMark/>
          </w:tcPr>
          <w:p w14:paraId="7DB2585B" w14:textId="77777777" w:rsidR="00EC33E2" w:rsidRPr="00DD7A72" w:rsidRDefault="00EC33E2" w:rsidP="003E5C09">
            <w:pPr>
              <w:spacing w:after="0"/>
              <w:jc w:val="left"/>
              <w:rPr>
                <w:rFonts w:eastAsia="Times New Roman" w:cs="Times New Roman"/>
                <w:b/>
                <w:bCs/>
                <w:i/>
                <w:iCs/>
                <w:sz w:val="20"/>
                <w:szCs w:val="20"/>
              </w:rPr>
            </w:pPr>
            <w:r w:rsidRPr="00DD7A72">
              <w:rPr>
                <w:rFonts w:eastAsia="Times New Roman" w:cs="Times New Roman"/>
                <w:b/>
                <w:bCs/>
                <w:i/>
                <w:iCs/>
                <w:sz w:val="20"/>
                <w:szCs w:val="20"/>
              </w:rPr>
              <w:t xml:space="preserve">   БВП, млн. евро  </w:t>
            </w:r>
          </w:p>
        </w:tc>
        <w:tc>
          <w:tcPr>
            <w:tcW w:w="1134" w:type="dxa"/>
            <w:tcBorders>
              <w:bottom w:val="single" w:sz="4" w:space="0" w:color="auto"/>
            </w:tcBorders>
            <w:shd w:val="clear" w:color="auto" w:fill="FEE6D6" w:themeFill="accent1" w:themeFillTint="33"/>
            <w:noWrap/>
            <w:vAlign w:val="bottom"/>
            <w:hideMark/>
          </w:tcPr>
          <w:p w14:paraId="3DF48FA6" w14:textId="77777777" w:rsidR="00EC33E2" w:rsidRPr="00DD7A72" w:rsidRDefault="00EC33E2" w:rsidP="003E5C09">
            <w:pPr>
              <w:spacing w:after="0"/>
              <w:ind w:right="-75"/>
              <w:jc w:val="right"/>
              <w:rPr>
                <w:rFonts w:eastAsia="Times New Roman" w:cs="Times New Roman"/>
                <w:b/>
                <w:bCs/>
                <w:i/>
                <w:iCs/>
                <w:sz w:val="20"/>
                <w:szCs w:val="20"/>
              </w:rPr>
            </w:pPr>
            <w:r w:rsidRPr="00DD7A72">
              <w:rPr>
                <w:rFonts w:eastAsia="Times New Roman" w:cs="Times New Roman"/>
                <w:b/>
                <w:bCs/>
                <w:i/>
                <w:iCs/>
                <w:sz w:val="20"/>
                <w:szCs w:val="20"/>
              </w:rPr>
              <w:t xml:space="preserve">     104 767,2 </w:t>
            </w:r>
          </w:p>
        </w:tc>
        <w:tc>
          <w:tcPr>
            <w:tcW w:w="1276" w:type="dxa"/>
            <w:tcBorders>
              <w:bottom w:val="single" w:sz="4" w:space="0" w:color="auto"/>
            </w:tcBorders>
            <w:shd w:val="clear" w:color="auto" w:fill="FEE6D6" w:themeFill="accent1" w:themeFillTint="33"/>
            <w:noWrap/>
            <w:vAlign w:val="bottom"/>
            <w:hideMark/>
          </w:tcPr>
          <w:p w14:paraId="6A379F0E"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112 902,9 </w:t>
            </w:r>
          </w:p>
        </w:tc>
        <w:tc>
          <w:tcPr>
            <w:tcW w:w="1335" w:type="dxa"/>
            <w:tcBorders>
              <w:bottom w:val="single" w:sz="4" w:space="0" w:color="auto"/>
            </w:tcBorders>
            <w:shd w:val="clear" w:color="auto" w:fill="FEE6D6" w:themeFill="accent1" w:themeFillTint="33"/>
            <w:noWrap/>
            <w:vAlign w:val="bottom"/>
            <w:hideMark/>
          </w:tcPr>
          <w:p w14:paraId="72DDCE6C"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120 163,3 </w:t>
            </w:r>
          </w:p>
        </w:tc>
        <w:tc>
          <w:tcPr>
            <w:tcW w:w="1260" w:type="dxa"/>
            <w:tcBorders>
              <w:bottom w:val="single" w:sz="4" w:space="0" w:color="auto"/>
            </w:tcBorders>
            <w:shd w:val="clear" w:color="auto" w:fill="FEE6D6" w:themeFill="accent1" w:themeFillTint="33"/>
            <w:noWrap/>
            <w:vAlign w:val="bottom"/>
            <w:hideMark/>
          </w:tcPr>
          <w:p w14:paraId="42450C7B"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127 053,4 </w:t>
            </w:r>
          </w:p>
        </w:tc>
        <w:tc>
          <w:tcPr>
            <w:tcW w:w="1290" w:type="dxa"/>
            <w:tcBorders>
              <w:bottom w:val="single" w:sz="4" w:space="0" w:color="auto"/>
            </w:tcBorders>
            <w:shd w:val="clear" w:color="auto" w:fill="FEE6D6" w:themeFill="accent1" w:themeFillTint="33"/>
            <w:noWrap/>
            <w:vAlign w:val="bottom"/>
            <w:hideMark/>
          </w:tcPr>
          <w:p w14:paraId="6DFC9F46" w14:textId="77777777" w:rsidR="00EC33E2" w:rsidRPr="00DD7A72" w:rsidRDefault="00EC33E2" w:rsidP="003E5C09">
            <w:pPr>
              <w:spacing w:after="0"/>
              <w:jc w:val="right"/>
              <w:rPr>
                <w:rFonts w:eastAsia="Times New Roman" w:cs="Times New Roman"/>
                <w:b/>
                <w:bCs/>
                <w:i/>
                <w:iCs/>
                <w:sz w:val="20"/>
                <w:szCs w:val="20"/>
              </w:rPr>
            </w:pPr>
            <w:r w:rsidRPr="00DD7A72">
              <w:rPr>
                <w:rFonts w:eastAsia="Times New Roman" w:cs="Times New Roman"/>
                <w:b/>
                <w:bCs/>
                <w:i/>
                <w:iCs/>
                <w:sz w:val="20"/>
                <w:szCs w:val="20"/>
              </w:rPr>
              <w:t xml:space="preserve">      133 739,1 </w:t>
            </w:r>
          </w:p>
        </w:tc>
      </w:tr>
    </w:tbl>
    <w:p w14:paraId="6D61B3BC" w14:textId="77777777" w:rsidR="00AA4B48" w:rsidRPr="00AA4B48" w:rsidRDefault="00AA4B48" w:rsidP="00AA4B48">
      <w:pPr>
        <w:rPr>
          <w:rFonts w:eastAsia="Calibri"/>
          <w:szCs w:val="24"/>
          <w:highlight w:val="yellow"/>
        </w:rPr>
      </w:pPr>
      <w:proofErr w:type="spellStart"/>
      <w:r>
        <w:rPr>
          <w:rFonts w:eastAsia="Times New Roman" w:cs="Times New Roman"/>
          <w:i/>
          <w:iCs/>
          <w:color w:val="000000"/>
          <w:sz w:val="18"/>
          <w:szCs w:val="20"/>
        </w:rPr>
        <w:t>Забележка:</w:t>
      </w:r>
      <w:r w:rsidRPr="00AA3F66">
        <w:rPr>
          <w:rFonts w:eastAsia="Times New Roman" w:cs="Times New Roman"/>
          <w:i/>
          <w:iCs/>
          <w:color w:val="000000"/>
          <w:sz w:val="18"/>
          <w:szCs w:val="20"/>
        </w:rPr>
        <w:t>Поради</w:t>
      </w:r>
      <w:proofErr w:type="spellEnd"/>
      <w:r w:rsidRPr="00AA3F66">
        <w:rPr>
          <w:rFonts w:eastAsia="Times New Roman" w:cs="Times New Roman"/>
          <w:i/>
          <w:iCs/>
          <w:color w:val="000000"/>
          <w:sz w:val="18"/>
          <w:szCs w:val="20"/>
        </w:rPr>
        <w:t xml:space="preserve"> закръгления </w:t>
      </w:r>
      <w:r>
        <w:rPr>
          <w:rFonts w:eastAsia="Times New Roman" w:cs="Times New Roman"/>
          <w:i/>
          <w:iCs/>
          <w:color w:val="000000"/>
          <w:sz w:val="18"/>
          <w:szCs w:val="20"/>
        </w:rPr>
        <w:t xml:space="preserve">някои от </w:t>
      </w:r>
      <w:r w:rsidRPr="00AA3F66">
        <w:rPr>
          <w:rFonts w:eastAsia="Times New Roman" w:cs="Times New Roman"/>
          <w:i/>
          <w:iCs/>
          <w:color w:val="000000"/>
          <w:sz w:val="18"/>
          <w:szCs w:val="20"/>
        </w:rPr>
        <w:t>сумарн</w:t>
      </w:r>
      <w:r>
        <w:rPr>
          <w:rFonts w:eastAsia="Times New Roman" w:cs="Times New Roman"/>
          <w:i/>
          <w:iCs/>
          <w:color w:val="000000"/>
          <w:sz w:val="18"/>
          <w:szCs w:val="20"/>
        </w:rPr>
        <w:t>ите</w:t>
      </w:r>
      <w:r w:rsidRPr="00AA3F66">
        <w:rPr>
          <w:rFonts w:eastAsia="Times New Roman" w:cs="Times New Roman"/>
          <w:i/>
          <w:iCs/>
          <w:color w:val="000000"/>
          <w:sz w:val="18"/>
          <w:szCs w:val="20"/>
        </w:rPr>
        <w:t xml:space="preserve"> позици</w:t>
      </w:r>
      <w:r>
        <w:rPr>
          <w:rFonts w:eastAsia="Times New Roman" w:cs="Times New Roman"/>
          <w:i/>
          <w:iCs/>
          <w:color w:val="000000"/>
          <w:sz w:val="18"/>
          <w:szCs w:val="20"/>
        </w:rPr>
        <w:t>и</w:t>
      </w:r>
      <w:r w:rsidRPr="00AA3F66">
        <w:rPr>
          <w:rFonts w:eastAsia="Times New Roman" w:cs="Times New Roman"/>
          <w:i/>
          <w:iCs/>
          <w:color w:val="000000"/>
          <w:sz w:val="18"/>
          <w:szCs w:val="20"/>
        </w:rPr>
        <w:t xml:space="preserve"> </w:t>
      </w:r>
      <w:r>
        <w:rPr>
          <w:rFonts w:eastAsia="Times New Roman" w:cs="Times New Roman"/>
          <w:i/>
          <w:iCs/>
          <w:color w:val="000000"/>
          <w:sz w:val="18"/>
          <w:szCs w:val="20"/>
        </w:rPr>
        <w:t xml:space="preserve">е възможно да </w:t>
      </w:r>
      <w:r w:rsidRPr="00AA3F66">
        <w:rPr>
          <w:rFonts w:eastAsia="Times New Roman" w:cs="Times New Roman"/>
          <w:i/>
          <w:iCs/>
          <w:color w:val="000000"/>
          <w:sz w:val="18"/>
          <w:szCs w:val="20"/>
        </w:rPr>
        <w:t>не се изчерпва</w:t>
      </w:r>
      <w:r>
        <w:rPr>
          <w:rFonts w:eastAsia="Times New Roman" w:cs="Times New Roman"/>
          <w:i/>
          <w:iCs/>
          <w:color w:val="000000"/>
          <w:sz w:val="18"/>
          <w:szCs w:val="20"/>
        </w:rPr>
        <w:t>т</w:t>
      </w:r>
      <w:r w:rsidRPr="00AA3F66">
        <w:rPr>
          <w:rFonts w:eastAsia="Times New Roman" w:cs="Times New Roman"/>
          <w:i/>
          <w:iCs/>
          <w:color w:val="000000"/>
          <w:sz w:val="18"/>
          <w:szCs w:val="20"/>
        </w:rPr>
        <w:t xml:space="preserve"> от съставните </w:t>
      </w:r>
      <w:r>
        <w:rPr>
          <w:rFonts w:eastAsia="Times New Roman" w:cs="Times New Roman"/>
          <w:i/>
          <w:iCs/>
          <w:color w:val="000000"/>
          <w:sz w:val="18"/>
          <w:szCs w:val="20"/>
        </w:rPr>
        <w:t>им</w:t>
      </w:r>
      <w:r w:rsidRPr="00AA3F66">
        <w:rPr>
          <w:rFonts w:eastAsia="Times New Roman" w:cs="Times New Roman"/>
          <w:i/>
          <w:iCs/>
          <w:color w:val="000000"/>
          <w:sz w:val="18"/>
          <w:szCs w:val="20"/>
        </w:rPr>
        <w:t xml:space="preserve"> числа.</w:t>
      </w:r>
    </w:p>
    <w:p w14:paraId="58393406" w14:textId="77777777" w:rsidR="00AA4B48" w:rsidRPr="00AA3F66" w:rsidRDefault="00AA4B48" w:rsidP="00AA4B48">
      <w:pPr>
        <w:jc w:val="right"/>
        <w:rPr>
          <w:rFonts w:eastAsia="Times New Roman" w:cs="Times New Roman"/>
          <w:sz w:val="18"/>
          <w:szCs w:val="18"/>
        </w:rPr>
      </w:pPr>
      <w:r w:rsidRPr="00AA3F66">
        <w:rPr>
          <w:rFonts w:eastAsia="Times New Roman" w:cs="Times New Roman"/>
          <w:sz w:val="18"/>
          <w:szCs w:val="18"/>
        </w:rPr>
        <w:t>Източник: МФ</w:t>
      </w:r>
    </w:p>
    <w:p w14:paraId="258DA66B" w14:textId="77777777" w:rsidR="00FF132B" w:rsidRPr="00FF132B" w:rsidRDefault="00FF132B" w:rsidP="00FF132B">
      <w:pPr>
        <w:rPr>
          <w:rFonts w:eastAsia="Batang"/>
        </w:rPr>
      </w:pPr>
      <w:r w:rsidRPr="00FF132B">
        <w:rPr>
          <w:rFonts w:eastAsia="Batang"/>
        </w:rPr>
        <w:t>В сравнение с нивата през 2025 г.</w:t>
      </w:r>
      <w:r w:rsidR="00333D34">
        <w:rPr>
          <w:rFonts w:eastAsia="Batang"/>
        </w:rPr>
        <w:t>,</w:t>
      </w:r>
      <w:r w:rsidRPr="00FF132B">
        <w:rPr>
          <w:rFonts w:eastAsia="Batang"/>
        </w:rPr>
        <w:t xml:space="preserve"> към края на 2026 г. се очаква увеличение при външния дълг от 25,3 млрд. евро до 31,8 млрд. евро и намаление при вътрешния дълг от 6,1 млрд. евро до 5,8 млрд. евро. За периода 2027-2028 г. при външния държавен дълг</w:t>
      </w:r>
      <w:r w:rsidRPr="00FF132B" w:rsidDel="005F2385">
        <w:rPr>
          <w:rFonts w:eastAsia="Batang"/>
        </w:rPr>
        <w:t xml:space="preserve"> </w:t>
      </w:r>
      <w:r w:rsidRPr="00FF132B">
        <w:rPr>
          <w:rFonts w:eastAsia="Batang"/>
        </w:rPr>
        <w:t>тенденцията на нарастване се запазва, докато при вътрешния се наблюдава увеличение на нивата през 2027 г. и намаление през 2028 г.</w:t>
      </w:r>
    </w:p>
    <w:p w14:paraId="4636215A" w14:textId="77777777" w:rsidR="00AA4B48" w:rsidRPr="00AA3F66" w:rsidRDefault="00AA4B48" w:rsidP="003F1DDE">
      <w:pPr>
        <w:rPr>
          <w:rFonts w:eastAsia="Times New Roman" w:cs="Times New Roman"/>
          <w:b/>
          <w:i/>
          <w:iCs/>
          <w:color w:val="000000"/>
          <w:sz w:val="20"/>
          <w:szCs w:val="20"/>
          <w:u w:val="single"/>
        </w:rPr>
      </w:pPr>
    </w:p>
    <w:p w14:paraId="25AA424E" w14:textId="77777777" w:rsidR="00F94D09" w:rsidRDefault="009139BD" w:rsidP="0064339F">
      <w:pPr>
        <w:pStyle w:val="Caption"/>
        <w:keepNext/>
        <w:spacing w:after="240"/>
        <w:ind w:left="0" w:firstLine="0"/>
      </w:pPr>
      <w:r w:rsidRPr="00AA3F66">
        <w:lastRenderedPageBreak/>
        <w:t xml:space="preserve">Граф. </w:t>
      </w:r>
      <w:r w:rsidR="00974F02">
        <w:fldChar w:fldCharType="begin"/>
      </w:r>
      <w:r w:rsidR="00974F02">
        <w:instrText xml:space="preserve"> STYLEREF 1 \s </w:instrText>
      </w:r>
      <w:r w:rsidR="00974F02">
        <w:fldChar w:fldCharType="separate"/>
      </w:r>
      <w:r w:rsidR="00841DFA">
        <w:rPr>
          <w:noProof/>
        </w:rPr>
        <w:t>VI</w:t>
      </w:r>
      <w:r w:rsidR="00974F02">
        <w:rPr>
          <w:noProof/>
        </w:rPr>
        <w:fldChar w:fldCharType="end"/>
      </w:r>
      <w:r w:rsidRPr="00AA3F66">
        <w:noBreakHyphen/>
      </w:r>
      <w:r w:rsidR="00974F02">
        <w:fldChar w:fldCharType="begin"/>
      </w:r>
      <w:r w:rsidR="00974F02">
        <w:instrText xml:space="preserve"> SEQ Граф. \* ARABIC \s 1 </w:instrText>
      </w:r>
      <w:r w:rsidR="00974F02">
        <w:fldChar w:fldCharType="separate"/>
      </w:r>
      <w:r w:rsidR="00841DFA">
        <w:rPr>
          <w:noProof/>
        </w:rPr>
        <w:t>1</w:t>
      </w:r>
      <w:r w:rsidR="00974F02">
        <w:rPr>
          <w:noProof/>
        </w:rPr>
        <w:fldChar w:fldCharType="end"/>
      </w:r>
      <w:r w:rsidRPr="00AA3F66">
        <w:t xml:space="preserve">: </w:t>
      </w:r>
      <w:r w:rsidRPr="00AA3F66">
        <w:tab/>
        <w:t xml:space="preserve"> Държавен дълг и съотношение на държавния дълг към БВП</w:t>
      </w:r>
    </w:p>
    <w:p w14:paraId="0FBE5E31" w14:textId="77777777" w:rsidR="00EC33E2" w:rsidRDefault="00EC33E2" w:rsidP="00EC33E2">
      <w:r>
        <w:rPr>
          <w:noProof/>
        </w:rPr>
        <w:drawing>
          <wp:inline distT="0" distB="0" distL="0" distR="0" wp14:anchorId="780C8035" wp14:editId="129F798D">
            <wp:extent cx="5688330" cy="29019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330" cy="2901950"/>
                    </a:xfrm>
                    <a:prstGeom prst="rect">
                      <a:avLst/>
                    </a:prstGeom>
                    <a:noFill/>
                  </pic:spPr>
                </pic:pic>
              </a:graphicData>
            </a:graphic>
          </wp:inline>
        </w:drawing>
      </w:r>
    </w:p>
    <w:p w14:paraId="15302597" w14:textId="77777777" w:rsidR="009139BD" w:rsidRPr="00AA3F66" w:rsidRDefault="009139BD" w:rsidP="00AA4B48">
      <w:pPr>
        <w:jc w:val="right"/>
        <w:rPr>
          <w:rFonts w:eastAsia="Times New Roman" w:cs="Times New Roman"/>
          <w:sz w:val="18"/>
          <w:szCs w:val="18"/>
        </w:rPr>
      </w:pPr>
      <w:r w:rsidRPr="00AA3F66">
        <w:rPr>
          <w:rFonts w:eastAsia="Times New Roman" w:cs="Times New Roman"/>
          <w:sz w:val="18"/>
          <w:szCs w:val="18"/>
        </w:rPr>
        <w:t>Източник: МФ</w:t>
      </w:r>
    </w:p>
    <w:p w14:paraId="731ED6A3" w14:textId="77777777" w:rsidR="00A30D8C" w:rsidRDefault="00A30D8C" w:rsidP="00897CDB">
      <w:pPr>
        <w:rPr>
          <w:rFonts w:eastAsia="Batang"/>
          <w:szCs w:val="24"/>
          <w:highlight w:val="yellow"/>
        </w:rPr>
      </w:pPr>
    </w:p>
    <w:p w14:paraId="011D21AE" w14:textId="77777777" w:rsidR="00AD24DC" w:rsidRDefault="009139BD" w:rsidP="008137C7">
      <w:pPr>
        <w:pStyle w:val="Caption"/>
        <w:keepNext/>
        <w:ind w:left="0" w:firstLine="0"/>
      </w:pPr>
      <w:bookmarkStart w:id="442" w:name="_Toc213229070"/>
      <w:r w:rsidRPr="00AA3F66">
        <w:t xml:space="preserve">Табл. </w:t>
      </w:r>
      <w:r w:rsidR="00974F02">
        <w:fldChar w:fldCharType="begin"/>
      </w:r>
      <w:r w:rsidR="00974F02">
        <w:instrText xml:space="preserve"> STYLEREF 1 \s </w:instrText>
      </w:r>
      <w:r w:rsidR="00974F02">
        <w:fldChar w:fldCharType="separate"/>
      </w:r>
      <w:r w:rsidR="00841DFA">
        <w:rPr>
          <w:noProof/>
        </w:rPr>
        <w:t>VI</w:t>
      </w:r>
      <w:r w:rsidR="00974F02">
        <w:rPr>
          <w:noProof/>
        </w:rPr>
        <w:fldChar w:fldCharType="end"/>
      </w:r>
      <w:r w:rsidRPr="00AA3F66">
        <w:noBreakHyphen/>
      </w:r>
      <w:r w:rsidR="00974F02">
        <w:fldChar w:fldCharType="begin"/>
      </w:r>
      <w:r w:rsidR="00974F02">
        <w:instrText xml:space="preserve"> SEQ Табл. \* ARABIC \s 1 </w:instrText>
      </w:r>
      <w:r w:rsidR="00974F02">
        <w:fldChar w:fldCharType="separate"/>
      </w:r>
      <w:r w:rsidR="00841DFA">
        <w:rPr>
          <w:noProof/>
        </w:rPr>
        <w:t>2</w:t>
      </w:r>
      <w:r w:rsidR="00974F02">
        <w:rPr>
          <w:noProof/>
        </w:rPr>
        <w:fldChar w:fldCharType="end"/>
      </w:r>
      <w:r w:rsidRPr="00AA3F66">
        <w:t>:</w:t>
      </w:r>
      <w:r w:rsidRPr="00AA3F66">
        <w:tab/>
      </w:r>
      <w:r w:rsidRPr="00C76111">
        <w:t xml:space="preserve">Структура на държавния дълг за периода </w:t>
      </w:r>
      <w:r w:rsidR="00C76111" w:rsidRPr="00C76111">
        <w:t>2024</w:t>
      </w:r>
      <w:r w:rsidR="00486151" w:rsidRPr="00C76111">
        <w:t>-2028</w:t>
      </w:r>
      <w:r w:rsidRPr="00C76111">
        <w:t xml:space="preserve"> г.</w:t>
      </w:r>
      <w:bookmarkEnd w:id="442"/>
    </w:p>
    <w:tbl>
      <w:tblPr>
        <w:tblW w:w="5000" w:type="pct"/>
        <w:tblCellMar>
          <w:left w:w="70" w:type="dxa"/>
          <w:right w:w="70" w:type="dxa"/>
        </w:tblCellMar>
        <w:tblLook w:val="04A0" w:firstRow="1" w:lastRow="0" w:firstColumn="1" w:lastColumn="0" w:noHBand="0" w:noVBand="1"/>
      </w:tblPr>
      <w:tblGrid>
        <w:gridCol w:w="3069"/>
        <w:gridCol w:w="834"/>
        <w:gridCol w:w="140"/>
        <w:gridCol w:w="706"/>
        <w:gridCol w:w="140"/>
        <w:gridCol w:w="970"/>
        <w:gridCol w:w="140"/>
        <w:gridCol w:w="907"/>
        <w:gridCol w:w="143"/>
        <w:gridCol w:w="905"/>
        <w:gridCol w:w="136"/>
        <w:gridCol w:w="980"/>
      </w:tblGrid>
      <w:tr w:rsidR="00EC33E2" w:rsidRPr="00FF132B" w14:paraId="7C39529B" w14:textId="77777777" w:rsidTr="00207936">
        <w:trPr>
          <w:trHeight w:val="317"/>
          <w:tblHeader/>
        </w:trPr>
        <w:tc>
          <w:tcPr>
            <w:tcW w:w="1692" w:type="pct"/>
            <w:tcBorders>
              <w:top w:val="single" w:sz="4" w:space="0" w:color="auto"/>
            </w:tcBorders>
            <w:shd w:val="clear" w:color="auto" w:fill="E3E4E6" w:themeFill="accent6" w:themeFillTint="33"/>
            <w:vAlign w:val="center"/>
            <w:hideMark/>
          </w:tcPr>
          <w:p w14:paraId="55A1CA6E"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Показатели</w:t>
            </w:r>
          </w:p>
        </w:tc>
        <w:tc>
          <w:tcPr>
            <w:tcW w:w="460" w:type="pct"/>
            <w:tcBorders>
              <w:top w:val="single" w:sz="4" w:space="0" w:color="auto"/>
            </w:tcBorders>
            <w:shd w:val="clear" w:color="auto" w:fill="E3E4E6" w:themeFill="accent6" w:themeFillTint="33"/>
            <w:noWrap/>
            <w:vAlign w:val="center"/>
          </w:tcPr>
          <w:p w14:paraId="3ADFBCF9" w14:textId="77777777" w:rsidR="00EC33E2" w:rsidRPr="00FF132B" w:rsidRDefault="00EC33E2" w:rsidP="003E5C09">
            <w:pPr>
              <w:spacing w:after="0"/>
              <w:jc w:val="center"/>
              <w:rPr>
                <w:rFonts w:asciiTheme="majorHAnsi" w:eastAsia="Times New Roman" w:hAnsiTheme="majorHAnsi" w:cstheme="majorHAnsi"/>
                <w:b/>
                <w:bCs/>
                <w:sz w:val="20"/>
                <w:szCs w:val="20"/>
              </w:rPr>
            </w:pPr>
          </w:p>
        </w:tc>
        <w:tc>
          <w:tcPr>
            <w:tcW w:w="466" w:type="pct"/>
            <w:gridSpan w:val="2"/>
            <w:tcBorders>
              <w:top w:val="single" w:sz="4" w:space="0" w:color="auto"/>
            </w:tcBorders>
            <w:shd w:val="clear" w:color="auto" w:fill="E3E4E6" w:themeFill="accent6" w:themeFillTint="33"/>
            <w:noWrap/>
            <w:vAlign w:val="center"/>
            <w:hideMark/>
          </w:tcPr>
          <w:p w14:paraId="346167B0"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2024</w:t>
            </w:r>
          </w:p>
        </w:tc>
        <w:tc>
          <w:tcPr>
            <w:tcW w:w="612" w:type="pct"/>
            <w:gridSpan w:val="2"/>
            <w:tcBorders>
              <w:top w:val="single" w:sz="4" w:space="0" w:color="auto"/>
            </w:tcBorders>
            <w:shd w:val="clear" w:color="auto" w:fill="E3E4E6" w:themeFill="accent6" w:themeFillTint="33"/>
            <w:noWrap/>
            <w:vAlign w:val="center"/>
            <w:hideMark/>
          </w:tcPr>
          <w:p w14:paraId="17D38C81"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2025</w:t>
            </w:r>
          </w:p>
        </w:tc>
        <w:tc>
          <w:tcPr>
            <w:tcW w:w="577" w:type="pct"/>
            <w:gridSpan w:val="2"/>
            <w:tcBorders>
              <w:top w:val="single" w:sz="4" w:space="0" w:color="auto"/>
            </w:tcBorders>
            <w:shd w:val="clear" w:color="auto" w:fill="E3E4E6" w:themeFill="accent6" w:themeFillTint="33"/>
            <w:noWrap/>
            <w:vAlign w:val="center"/>
            <w:hideMark/>
          </w:tcPr>
          <w:p w14:paraId="29C1E1DE"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2026</w:t>
            </w:r>
          </w:p>
        </w:tc>
        <w:tc>
          <w:tcPr>
            <w:tcW w:w="578" w:type="pct"/>
            <w:gridSpan w:val="2"/>
            <w:tcBorders>
              <w:top w:val="single" w:sz="4" w:space="0" w:color="auto"/>
            </w:tcBorders>
            <w:shd w:val="clear" w:color="auto" w:fill="E3E4E6" w:themeFill="accent6" w:themeFillTint="33"/>
            <w:noWrap/>
            <w:vAlign w:val="center"/>
            <w:hideMark/>
          </w:tcPr>
          <w:p w14:paraId="0E02D38C"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2027</w:t>
            </w:r>
          </w:p>
        </w:tc>
        <w:tc>
          <w:tcPr>
            <w:tcW w:w="616" w:type="pct"/>
            <w:gridSpan w:val="2"/>
            <w:tcBorders>
              <w:top w:val="single" w:sz="4" w:space="0" w:color="auto"/>
            </w:tcBorders>
            <w:shd w:val="clear" w:color="auto" w:fill="E3E4E6" w:themeFill="accent6" w:themeFillTint="33"/>
            <w:noWrap/>
            <w:vAlign w:val="center"/>
            <w:hideMark/>
          </w:tcPr>
          <w:p w14:paraId="1D7A69CB"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2028</w:t>
            </w:r>
          </w:p>
        </w:tc>
      </w:tr>
      <w:tr w:rsidR="00EC33E2" w:rsidRPr="00FF132B" w14:paraId="3A459DC4" w14:textId="77777777" w:rsidTr="00207936">
        <w:trPr>
          <w:trHeight w:val="202"/>
          <w:tblHeader/>
        </w:trPr>
        <w:tc>
          <w:tcPr>
            <w:tcW w:w="1692" w:type="pct"/>
            <w:tcBorders>
              <w:bottom w:val="single" w:sz="4" w:space="0" w:color="auto"/>
            </w:tcBorders>
            <w:shd w:val="clear" w:color="auto" w:fill="E3E4E6" w:themeFill="accent6" w:themeFillTint="33"/>
            <w:vAlign w:val="center"/>
            <w:hideMark/>
          </w:tcPr>
          <w:p w14:paraId="3E22F78C"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460" w:type="pct"/>
            <w:tcBorders>
              <w:bottom w:val="single" w:sz="4" w:space="0" w:color="auto"/>
            </w:tcBorders>
            <w:shd w:val="clear" w:color="auto" w:fill="E3E4E6" w:themeFill="accent6" w:themeFillTint="33"/>
            <w:vAlign w:val="center"/>
          </w:tcPr>
          <w:p w14:paraId="5E7F9DC9" w14:textId="77777777" w:rsidR="00EC33E2" w:rsidRPr="00FF132B" w:rsidRDefault="00EC33E2" w:rsidP="003E5C09">
            <w:pPr>
              <w:spacing w:after="0"/>
              <w:jc w:val="center"/>
              <w:rPr>
                <w:rFonts w:asciiTheme="majorHAnsi" w:eastAsia="Times New Roman" w:hAnsiTheme="majorHAnsi" w:cstheme="majorHAnsi"/>
                <w:b/>
                <w:bCs/>
                <w:sz w:val="20"/>
                <w:szCs w:val="20"/>
              </w:rPr>
            </w:pPr>
          </w:p>
        </w:tc>
        <w:tc>
          <w:tcPr>
            <w:tcW w:w="466" w:type="pct"/>
            <w:gridSpan w:val="2"/>
            <w:tcBorders>
              <w:bottom w:val="single" w:sz="4" w:space="0" w:color="auto"/>
            </w:tcBorders>
            <w:shd w:val="clear" w:color="auto" w:fill="E3E4E6" w:themeFill="accent6" w:themeFillTint="33"/>
            <w:vAlign w:val="center"/>
            <w:hideMark/>
          </w:tcPr>
          <w:p w14:paraId="60D4FF62"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О</w:t>
            </w:r>
            <w:r w:rsidR="00EC33E2" w:rsidRPr="00FF132B">
              <w:rPr>
                <w:rFonts w:asciiTheme="majorHAnsi" w:eastAsia="Times New Roman" w:hAnsiTheme="majorHAnsi" w:cstheme="majorHAnsi"/>
                <w:b/>
                <w:bCs/>
                <w:sz w:val="20"/>
                <w:szCs w:val="20"/>
              </w:rPr>
              <w:t>тчет</w:t>
            </w:r>
          </w:p>
        </w:tc>
        <w:tc>
          <w:tcPr>
            <w:tcW w:w="612" w:type="pct"/>
            <w:gridSpan w:val="2"/>
            <w:tcBorders>
              <w:bottom w:val="single" w:sz="4" w:space="0" w:color="auto"/>
            </w:tcBorders>
            <w:shd w:val="clear" w:color="auto" w:fill="E3E4E6" w:themeFill="accent6" w:themeFillTint="33"/>
            <w:vAlign w:val="center"/>
            <w:hideMark/>
          </w:tcPr>
          <w:p w14:paraId="66564ADC"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О</w:t>
            </w:r>
            <w:r w:rsidR="00EC33E2" w:rsidRPr="00FF132B">
              <w:rPr>
                <w:rFonts w:asciiTheme="majorHAnsi" w:eastAsia="Times New Roman" w:hAnsiTheme="majorHAnsi" w:cstheme="majorHAnsi"/>
                <w:b/>
                <w:bCs/>
                <w:sz w:val="20"/>
                <w:szCs w:val="20"/>
              </w:rPr>
              <w:t>чаквано</w:t>
            </w:r>
          </w:p>
        </w:tc>
        <w:tc>
          <w:tcPr>
            <w:tcW w:w="577" w:type="pct"/>
            <w:gridSpan w:val="2"/>
            <w:tcBorders>
              <w:bottom w:val="single" w:sz="4" w:space="0" w:color="auto"/>
            </w:tcBorders>
            <w:shd w:val="clear" w:color="auto" w:fill="E3E4E6" w:themeFill="accent6" w:themeFillTint="33"/>
            <w:vAlign w:val="center"/>
            <w:hideMark/>
          </w:tcPr>
          <w:p w14:paraId="1782C838"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П</w:t>
            </w:r>
            <w:r w:rsidR="00EC33E2" w:rsidRPr="00FF132B">
              <w:rPr>
                <w:rFonts w:asciiTheme="majorHAnsi" w:eastAsia="Times New Roman" w:hAnsiTheme="majorHAnsi" w:cstheme="majorHAnsi"/>
                <w:b/>
                <w:bCs/>
                <w:sz w:val="20"/>
                <w:szCs w:val="20"/>
              </w:rPr>
              <w:t>роект</w:t>
            </w:r>
          </w:p>
        </w:tc>
        <w:tc>
          <w:tcPr>
            <w:tcW w:w="578" w:type="pct"/>
            <w:gridSpan w:val="2"/>
            <w:tcBorders>
              <w:bottom w:val="single" w:sz="4" w:space="0" w:color="auto"/>
            </w:tcBorders>
            <w:shd w:val="clear" w:color="auto" w:fill="E3E4E6" w:themeFill="accent6" w:themeFillTint="33"/>
            <w:vAlign w:val="center"/>
            <w:hideMark/>
          </w:tcPr>
          <w:p w14:paraId="0F47CE36"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П</w:t>
            </w:r>
            <w:r w:rsidR="00EC33E2" w:rsidRPr="00FF132B">
              <w:rPr>
                <w:rFonts w:asciiTheme="majorHAnsi" w:eastAsia="Times New Roman" w:hAnsiTheme="majorHAnsi" w:cstheme="majorHAnsi"/>
                <w:b/>
                <w:bCs/>
                <w:sz w:val="20"/>
                <w:szCs w:val="20"/>
              </w:rPr>
              <w:t>рогноза</w:t>
            </w:r>
          </w:p>
        </w:tc>
        <w:tc>
          <w:tcPr>
            <w:tcW w:w="616" w:type="pct"/>
            <w:gridSpan w:val="2"/>
            <w:tcBorders>
              <w:bottom w:val="single" w:sz="4" w:space="0" w:color="auto"/>
            </w:tcBorders>
            <w:shd w:val="clear" w:color="auto" w:fill="E3E4E6" w:themeFill="accent6" w:themeFillTint="33"/>
            <w:vAlign w:val="center"/>
            <w:hideMark/>
          </w:tcPr>
          <w:p w14:paraId="50BE9421" w14:textId="77777777" w:rsidR="00EC33E2" w:rsidRPr="00FF132B" w:rsidRDefault="00B32219" w:rsidP="003E5C09">
            <w:pPr>
              <w:spacing w:after="0"/>
              <w:jc w:val="center"/>
              <w:rPr>
                <w:rFonts w:asciiTheme="majorHAnsi" w:eastAsia="Times New Roman" w:hAnsiTheme="majorHAnsi" w:cstheme="majorHAnsi"/>
                <w:b/>
                <w:bCs/>
                <w:sz w:val="20"/>
                <w:szCs w:val="20"/>
              </w:rPr>
            </w:pPr>
            <w:r>
              <w:rPr>
                <w:rFonts w:asciiTheme="majorHAnsi" w:eastAsia="Times New Roman" w:hAnsiTheme="majorHAnsi" w:cstheme="majorHAnsi"/>
                <w:b/>
                <w:bCs/>
                <w:sz w:val="20"/>
                <w:szCs w:val="20"/>
              </w:rPr>
              <w:t>П</w:t>
            </w:r>
            <w:r w:rsidR="00EC33E2" w:rsidRPr="00FF132B">
              <w:rPr>
                <w:rFonts w:asciiTheme="majorHAnsi" w:eastAsia="Times New Roman" w:hAnsiTheme="majorHAnsi" w:cstheme="majorHAnsi"/>
                <w:b/>
                <w:bCs/>
                <w:sz w:val="20"/>
                <w:szCs w:val="20"/>
              </w:rPr>
              <w:t>рогноза</w:t>
            </w:r>
          </w:p>
        </w:tc>
      </w:tr>
      <w:tr w:rsidR="00EC33E2" w:rsidRPr="00FF132B" w14:paraId="77B1F0AD" w14:textId="77777777" w:rsidTr="00207936">
        <w:trPr>
          <w:trHeight w:val="333"/>
        </w:trPr>
        <w:tc>
          <w:tcPr>
            <w:tcW w:w="3230" w:type="pct"/>
            <w:gridSpan w:val="6"/>
            <w:tcBorders>
              <w:bottom w:val="single" w:sz="4" w:space="0" w:color="auto"/>
            </w:tcBorders>
            <w:shd w:val="clear" w:color="auto" w:fill="EEF1F6" w:themeFill="accent5" w:themeFillTint="33"/>
            <w:noWrap/>
            <w:vAlign w:val="center"/>
          </w:tcPr>
          <w:p w14:paraId="1BC231A3" w14:textId="77777777" w:rsidR="0076441A" w:rsidRPr="00FF132B" w:rsidRDefault="00EC33E2" w:rsidP="003E5C09">
            <w:pPr>
              <w:spacing w:after="0"/>
              <w:jc w:val="left"/>
              <w:rPr>
                <w:rFonts w:asciiTheme="majorHAnsi" w:eastAsia="Times New Roman" w:hAnsiTheme="majorHAnsi" w:cstheme="majorHAnsi"/>
                <w:b/>
                <w:bCs/>
                <w:sz w:val="20"/>
                <w:szCs w:val="20"/>
              </w:rPr>
            </w:pPr>
            <w:proofErr w:type="spellStart"/>
            <w:r w:rsidRPr="00FF132B">
              <w:rPr>
                <w:rFonts w:asciiTheme="majorHAnsi" w:eastAsia="Times New Roman" w:hAnsiTheme="majorHAnsi" w:cstheme="majorHAnsi"/>
                <w:b/>
                <w:bCs/>
                <w:sz w:val="20"/>
                <w:szCs w:val="20"/>
              </w:rPr>
              <w:t>Mатуритетна</w:t>
            </w:r>
            <w:proofErr w:type="spellEnd"/>
            <w:r w:rsidRPr="00FF132B">
              <w:rPr>
                <w:rFonts w:asciiTheme="majorHAnsi" w:eastAsia="Times New Roman" w:hAnsiTheme="majorHAnsi" w:cstheme="majorHAnsi"/>
                <w:b/>
                <w:bCs/>
                <w:sz w:val="20"/>
                <w:szCs w:val="20"/>
              </w:rPr>
              <w:t xml:space="preserve"> структура на дълга </w:t>
            </w:r>
          </w:p>
          <w:p w14:paraId="03F6EDFF" w14:textId="77777777" w:rsidR="00EC33E2" w:rsidRPr="00F53D6C"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по остатъчен матуритет</w:t>
            </w:r>
            <w:r w:rsidRPr="00FF132B" w:rsidDel="004F5723">
              <w:rPr>
                <w:rFonts w:asciiTheme="majorHAnsi" w:eastAsia="Times New Roman" w:hAnsiTheme="majorHAnsi" w:cstheme="majorHAnsi"/>
                <w:b/>
                <w:bCs/>
                <w:sz w:val="20"/>
                <w:szCs w:val="20"/>
              </w:rPr>
              <w:t xml:space="preserve"> </w:t>
            </w:r>
          </w:p>
        </w:tc>
        <w:tc>
          <w:tcPr>
            <w:tcW w:w="577" w:type="pct"/>
            <w:gridSpan w:val="2"/>
            <w:tcBorders>
              <w:bottom w:val="single" w:sz="4" w:space="0" w:color="auto"/>
            </w:tcBorders>
            <w:shd w:val="clear" w:color="auto" w:fill="EEF1F6" w:themeFill="accent5" w:themeFillTint="33"/>
            <w:noWrap/>
            <w:vAlign w:val="center"/>
            <w:hideMark/>
          </w:tcPr>
          <w:p w14:paraId="3314F075"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bottom w:val="single" w:sz="4" w:space="0" w:color="auto"/>
            </w:tcBorders>
            <w:shd w:val="clear" w:color="auto" w:fill="EEF1F6" w:themeFill="accent5" w:themeFillTint="33"/>
            <w:noWrap/>
            <w:vAlign w:val="center"/>
            <w:hideMark/>
          </w:tcPr>
          <w:p w14:paraId="45598169"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bottom w:val="single" w:sz="4" w:space="0" w:color="auto"/>
            </w:tcBorders>
            <w:shd w:val="clear" w:color="auto" w:fill="EEF1F6" w:themeFill="accent5" w:themeFillTint="33"/>
            <w:noWrap/>
            <w:vAlign w:val="center"/>
            <w:hideMark/>
          </w:tcPr>
          <w:p w14:paraId="15C668DF"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36761118" w14:textId="77777777" w:rsidTr="008137C7">
        <w:trPr>
          <w:trHeight w:val="302"/>
        </w:trPr>
        <w:tc>
          <w:tcPr>
            <w:tcW w:w="1692" w:type="pct"/>
            <w:tcBorders>
              <w:top w:val="single" w:sz="4" w:space="0" w:color="auto"/>
            </w:tcBorders>
            <w:shd w:val="clear" w:color="auto" w:fill="auto"/>
            <w:noWrap/>
            <w:vAlign w:val="center"/>
            <w:hideMark/>
          </w:tcPr>
          <w:p w14:paraId="006B097F"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до 1 г.</w:t>
            </w:r>
          </w:p>
        </w:tc>
        <w:tc>
          <w:tcPr>
            <w:tcW w:w="460" w:type="pct"/>
            <w:tcBorders>
              <w:top w:val="single" w:sz="4" w:space="0" w:color="auto"/>
            </w:tcBorders>
            <w:shd w:val="clear" w:color="auto" w:fill="auto"/>
            <w:noWrap/>
            <w:vAlign w:val="bottom"/>
          </w:tcPr>
          <w:p w14:paraId="25580F4D"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3E4FBF5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7,2%</w:t>
            </w:r>
          </w:p>
        </w:tc>
        <w:tc>
          <w:tcPr>
            <w:tcW w:w="612" w:type="pct"/>
            <w:gridSpan w:val="2"/>
            <w:tcBorders>
              <w:top w:val="nil"/>
              <w:left w:val="nil"/>
              <w:bottom w:val="nil"/>
              <w:right w:val="nil"/>
            </w:tcBorders>
            <w:shd w:val="clear" w:color="auto" w:fill="auto"/>
            <w:noWrap/>
            <w:vAlign w:val="bottom"/>
          </w:tcPr>
          <w:p w14:paraId="146D0F3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4,1%</w:t>
            </w:r>
          </w:p>
        </w:tc>
        <w:tc>
          <w:tcPr>
            <w:tcW w:w="577" w:type="pct"/>
            <w:gridSpan w:val="2"/>
            <w:tcBorders>
              <w:top w:val="single" w:sz="4" w:space="0" w:color="auto"/>
            </w:tcBorders>
            <w:shd w:val="clear" w:color="auto" w:fill="auto"/>
            <w:noWrap/>
            <w:vAlign w:val="bottom"/>
          </w:tcPr>
          <w:p w14:paraId="36ED8A9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4,4%</w:t>
            </w:r>
          </w:p>
        </w:tc>
        <w:tc>
          <w:tcPr>
            <w:tcW w:w="578" w:type="pct"/>
            <w:gridSpan w:val="2"/>
            <w:tcBorders>
              <w:top w:val="single" w:sz="4" w:space="0" w:color="auto"/>
            </w:tcBorders>
            <w:shd w:val="clear" w:color="auto" w:fill="auto"/>
            <w:noWrap/>
            <w:vAlign w:val="bottom"/>
          </w:tcPr>
          <w:p w14:paraId="51EACC59"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4,6%</w:t>
            </w:r>
          </w:p>
        </w:tc>
        <w:tc>
          <w:tcPr>
            <w:tcW w:w="616" w:type="pct"/>
            <w:gridSpan w:val="2"/>
            <w:tcBorders>
              <w:top w:val="single" w:sz="4" w:space="0" w:color="auto"/>
            </w:tcBorders>
            <w:shd w:val="clear" w:color="auto" w:fill="auto"/>
            <w:noWrap/>
            <w:vAlign w:val="bottom"/>
          </w:tcPr>
          <w:p w14:paraId="37AE581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5,8%</w:t>
            </w:r>
          </w:p>
        </w:tc>
      </w:tr>
      <w:tr w:rsidR="00EC33E2" w:rsidRPr="00FF132B" w14:paraId="611D547D" w14:textId="77777777" w:rsidTr="008137C7">
        <w:trPr>
          <w:trHeight w:val="302"/>
        </w:trPr>
        <w:tc>
          <w:tcPr>
            <w:tcW w:w="1692" w:type="pct"/>
            <w:shd w:val="clear" w:color="auto" w:fill="auto"/>
            <w:noWrap/>
            <w:vAlign w:val="center"/>
            <w:hideMark/>
          </w:tcPr>
          <w:p w14:paraId="6A7A9C09"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от 1 до 5 г.</w:t>
            </w:r>
          </w:p>
        </w:tc>
        <w:tc>
          <w:tcPr>
            <w:tcW w:w="460" w:type="pct"/>
            <w:shd w:val="clear" w:color="auto" w:fill="auto"/>
            <w:noWrap/>
            <w:vAlign w:val="bottom"/>
          </w:tcPr>
          <w:p w14:paraId="7CC0E8B2"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0FABF64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29,1%</w:t>
            </w:r>
          </w:p>
        </w:tc>
        <w:tc>
          <w:tcPr>
            <w:tcW w:w="612" w:type="pct"/>
            <w:gridSpan w:val="2"/>
            <w:tcBorders>
              <w:top w:val="nil"/>
              <w:left w:val="nil"/>
              <w:bottom w:val="nil"/>
              <w:right w:val="nil"/>
            </w:tcBorders>
            <w:shd w:val="clear" w:color="auto" w:fill="auto"/>
            <w:noWrap/>
            <w:vAlign w:val="bottom"/>
          </w:tcPr>
          <w:p w14:paraId="5314580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26,2%</w:t>
            </w:r>
          </w:p>
        </w:tc>
        <w:tc>
          <w:tcPr>
            <w:tcW w:w="577" w:type="pct"/>
            <w:gridSpan w:val="2"/>
            <w:shd w:val="clear" w:color="auto" w:fill="auto"/>
            <w:noWrap/>
            <w:vAlign w:val="bottom"/>
          </w:tcPr>
          <w:p w14:paraId="4E8150D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23,7%</w:t>
            </w:r>
          </w:p>
        </w:tc>
        <w:tc>
          <w:tcPr>
            <w:tcW w:w="578" w:type="pct"/>
            <w:gridSpan w:val="2"/>
            <w:shd w:val="clear" w:color="auto" w:fill="auto"/>
            <w:noWrap/>
            <w:vAlign w:val="bottom"/>
          </w:tcPr>
          <w:p w14:paraId="52073B9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21,8%</w:t>
            </w:r>
          </w:p>
        </w:tc>
        <w:tc>
          <w:tcPr>
            <w:tcW w:w="616" w:type="pct"/>
            <w:gridSpan w:val="2"/>
            <w:shd w:val="clear" w:color="auto" w:fill="auto"/>
            <w:noWrap/>
            <w:vAlign w:val="bottom"/>
          </w:tcPr>
          <w:p w14:paraId="7A85265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17,7%</w:t>
            </w:r>
          </w:p>
        </w:tc>
      </w:tr>
      <w:tr w:rsidR="00EC33E2" w:rsidRPr="00FF132B" w14:paraId="16218232" w14:textId="77777777" w:rsidTr="008137C7">
        <w:trPr>
          <w:trHeight w:val="302"/>
        </w:trPr>
        <w:tc>
          <w:tcPr>
            <w:tcW w:w="1692" w:type="pct"/>
            <w:shd w:val="clear" w:color="auto" w:fill="auto"/>
            <w:noWrap/>
            <w:vAlign w:val="center"/>
            <w:hideMark/>
          </w:tcPr>
          <w:p w14:paraId="3D3F1AC0"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от 5 до 10 г.</w:t>
            </w:r>
          </w:p>
        </w:tc>
        <w:tc>
          <w:tcPr>
            <w:tcW w:w="460" w:type="pct"/>
            <w:shd w:val="clear" w:color="auto" w:fill="auto"/>
            <w:noWrap/>
            <w:vAlign w:val="bottom"/>
          </w:tcPr>
          <w:p w14:paraId="38F1FB56"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3643E5F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31,4%</w:t>
            </w:r>
          </w:p>
        </w:tc>
        <w:tc>
          <w:tcPr>
            <w:tcW w:w="612" w:type="pct"/>
            <w:gridSpan w:val="2"/>
            <w:tcBorders>
              <w:top w:val="nil"/>
              <w:left w:val="nil"/>
              <w:bottom w:val="nil"/>
              <w:right w:val="nil"/>
            </w:tcBorders>
            <w:shd w:val="clear" w:color="auto" w:fill="auto"/>
            <w:noWrap/>
            <w:vAlign w:val="bottom"/>
          </w:tcPr>
          <w:p w14:paraId="65D8FDE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39,5%</w:t>
            </w:r>
          </w:p>
        </w:tc>
        <w:tc>
          <w:tcPr>
            <w:tcW w:w="577" w:type="pct"/>
            <w:gridSpan w:val="2"/>
            <w:shd w:val="clear" w:color="auto" w:fill="auto"/>
            <w:noWrap/>
            <w:vAlign w:val="bottom"/>
          </w:tcPr>
          <w:p w14:paraId="50917F5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35,0%</w:t>
            </w:r>
          </w:p>
        </w:tc>
        <w:tc>
          <w:tcPr>
            <w:tcW w:w="578" w:type="pct"/>
            <w:gridSpan w:val="2"/>
            <w:shd w:val="clear" w:color="auto" w:fill="auto"/>
            <w:noWrap/>
            <w:vAlign w:val="bottom"/>
          </w:tcPr>
          <w:p w14:paraId="78CE8F6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29,5%</w:t>
            </w:r>
          </w:p>
        </w:tc>
        <w:tc>
          <w:tcPr>
            <w:tcW w:w="616" w:type="pct"/>
            <w:gridSpan w:val="2"/>
            <w:shd w:val="clear" w:color="auto" w:fill="auto"/>
            <w:noWrap/>
            <w:vAlign w:val="bottom"/>
          </w:tcPr>
          <w:p w14:paraId="275F829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32,3%</w:t>
            </w:r>
          </w:p>
        </w:tc>
      </w:tr>
      <w:tr w:rsidR="00EC33E2" w:rsidRPr="00FF132B" w14:paraId="0500A01A" w14:textId="77777777" w:rsidTr="008137C7">
        <w:trPr>
          <w:trHeight w:val="317"/>
        </w:trPr>
        <w:tc>
          <w:tcPr>
            <w:tcW w:w="1692" w:type="pct"/>
            <w:shd w:val="clear" w:color="auto" w:fill="auto"/>
            <w:noWrap/>
            <w:vAlign w:val="center"/>
            <w:hideMark/>
          </w:tcPr>
          <w:p w14:paraId="1E8C7981"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с матуритет над 10 г.</w:t>
            </w:r>
          </w:p>
        </w:tc>
        <w:tc>
          <w:tcPr>
            <w:tcW w:w="460" w:type="pct"/>
            <w:shd w:val="clear" w:color="auto" w:fill="auto"/>
            <w:noWrap/>
            <w:vAlign w:val="bottom"/>
          </w:tcPr>
          <w:p w14:paraId="0E1E0C54"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31CBAA6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32,4%</w:t>
            </w:r>
          </w:p>
        </w:tc>
        <w:tc>
          <w:tcPr>
            <w:tcW w:w="612" w:type="pct"/>
            <w:gridSpan w:val="2"/>
            <w:tcBorders>
              <w:top w:val="nil"/>
              <w:left w:val="nil"/>
              <w:bottom w:val="nil"/>
              <w:right w:val="nil"/>
            </w:tcBorders>
            <w:shd w:val="clear" w:color="auto" w:fill="auto"/>
            <w:noWrap/>
            <w:vAlign w:val="bottom"/>
          </w:tcPr>
          <w:p w14:paraId="6D556B5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30,2%</w:t>
            </w:r>
          </w:p>
        </w:tc>
        <w:tc>
          <w:tcPr>
            <w:tcW w:w="577" w:type="pct"/>
            <w:gridSpan w:val="2"/>
            <w:shd w:val="clear" w:color="auto" w:fill="auto"/>
            <w:noWrap/>
            <w:vAlign w:val="bottom"/>
          </w:tcPr>
          <w:p w14:paraId="0102CED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37,0%</w:t>
            </w:r>
          </w:p>
        </w:tc>
        <w:tc>
          <w:tcPr>
            <w:tcW w:w="578" w:type="pct"/>
            <w:gridSpan w:val="2"/>
            <w:shd w:val="clear" w:color="auto" w:fill="auto"/>
            <w:noWrap/>
            <w:vAlign w:val="bottom"/>
          </w:tcPr>
          <w:p w14:paraId="63C6658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44,1%</w:t>
            </w:r>
          </w:p>
        </w:tc>
        <w:tc>
          <w:tcPr>
            <w:tcW w:w="616" w:type="pct"/>
            <w:gridSpan w:val="2"/>
            <w:shd w:val="clear" w:color="auto" w:fill="auto"/>
            <w:noWrap/>
            <w:vAlign w:val="bottom"/>
          </w:tcPr>
          <w:p w14:paraId="4D31A7D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44,2%</w:t>
            </w:r>
          </w:p>
        </w:tc>
      </w:tr>
      <w:tr w:rsidR="00EC33E2" w:rsidRPr="00FF132B" w14:paraId="55BB4BDD" w14:textId="77777777" w:rsidTr="00207936">
        <w:trPr>
          <w:trHeight w:val="333"/>
        </w:trPr>
        <w:tc>
          <w:tcPr>
            <w:tcW w:w="2229" w:type="pct"/>
            <w:gridSpan w:val="3"/>
            <w:tcBorders>
              <w:top w:val="single" w:sz="4" w:space="0" w:color="auto"/>
              <w:bottom w:val="single" w:sz="4" w:space="0" w:color="auto"/>
            </w:tcBorders>
            <w:shd w:val="clear" w:color="auto" w:fill="EEF1F6" w:themeFill="accent5" w:themeFillTint="33"/>
            <w:noWrap/>
            <w:vAlign w:val="center"/>
            <w:hideMark/>
          </w:tcPr>
          <w:p w14:paraId="040AB361"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xml:space="preserve">Структура на дълга по видове </w:t>
            </w:r>
            <w:proofErr w:type="spellStart"/>
            <w:r w:rsidRPr="00FF132B">
              <w:rPr>
                <w:rFonts w:asciiTheme="majorHAnsi" w:eastAsia="Times New Roman" w:hAnsiTheme="majorHAnsi" w:cstheme="majorHAnsi"/>
                <w:b/>
                <w:bCs/>
                <w:sz w:val="20"/>
                <w:szCs w:val="20"/>
              </w:rPr>
              <w:t>иструменти</w:t>
            </w:r>
            <w:proofErr w:type="spellEnd"/>
            <w:r w:rsidRPr="00FF132B">
              <w:rPr>
                <w:rFonts w:asciiTheme="majorHAnsi" w:eastAsia="Times New Roman" w:hAnsiTheme="majorHAnsi" w:cstheme="majorHAnsi"/>
                <w:b/>
                <w:bCs/>
                <w:sz w:val="20"/>
                <w:szCs w:val="20"/>
              </w:rPr>
              <w:t xml:space="preserve"> </w:t>
            </w:r>
          </w:p>
        </w:tc>
        <w:tc>
          <w:tcPr>
            <w:tcW w:w="466" w:type="pct"/>
            <w:gridSpan w:val="2"/>
            <w:tcBorders>
              <w:top w:val="single" w:sz="4" w:space="0" w:color="auto"/>
              <w:bottom w:val="single" w:sz="4" w:space="0" w:color="auto"/>
            </w:tcBorders>
            <w:shd w:val="clear" w:color="auto" w:fill="EEF1F6" w:themeFill="accent5" w:themeFillTint="33"/>
            <w:noWrap/>
            <w:vAlign w:val="center"/>
            <w:hideMark/>
          </w:tcPr>
          <w:p w14:paraId="299050FA"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2" w:type="pct"/>
            <w:gridSpan w:val="2"/>
            <w:tcBorders>
              <w:top w:val="single" w:sz="4" w:space="0" w:color="auto"/>
              <w:bottom w:val="single" w:sz="4" w:space="0" w:color="auto"/>
            </w:tcBorders>
            <w:shd w:val="clear" w:color="auto" w:fill="EEF1F6" w:themeFill="accent5" w:themeFillTint="33"/>
            <w:noWrap/>
            <w:vAlign w:val="center"/>
            <w:hideMark/>
          </w:tcPr>
          <w:p w14:paraId="207F5E44"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9" w:type="pct"/>
            <w:gridSpan w:val="2"/>
            <w:tcBorders>
              <w:top w:val="single" w:sz="4" w:space="0" w:color="auto"/>
              <w:bottom w:val="single" w:sz="4" w:space="0" w:color="auto"/>
            </w:tcBorders>
            <w:shd w:val="clear" w:color="auto" w:fill="EEF1F6" w:themeFill="accent5" w:themeFillTint="33"/>
            <w:noWrap/>
            <w:vAlign w:val="center"/>
            <w:hideMark/>
          </w:tcPr>
          <w:p w14:paraId="51500934"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4" w:type="pct"/>
            <w:gridSpan w:val="2"/>
            <w:tcBorders>
              <w:top w:val="single" w:sz="4" w:space="0" w:color="auto"/>
              <w:bottom w:val="single" w:sz="4" w:space="0" w:color="auto"/>
            </w:tcBorders>
            <w:shd w:val="clear" w:color="auto" w:fill="EEF1F6" w:themeFill="accent5" w:themeFillTint="33"/>
            <w:noWrap/>
            <w:vAlign w:val="center"/>
            <w:hideMark/>
          </w:tcPr>
          <w:p w14:paraId="067DFA11"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41" w:type="pct"/>
            <w:tcBorders>
              <w:top w:val="single" w:sz="4" w:space="0" w:color="auto"/>
              <w:bottom w:val="single" w:sz="4" w:space="0" w:color="auto"/>
            </w:tcBorders>
            <w:shd w:val="clear" w:color="auto" w:fill="EEF1F6" w:themeFill="accent5" w:themeFillTint="33"/>
            <w:noWrap/>
            <w:vAlign w:val="center"/>
            <w:hideMark/>
          </w:tcPr>
          <w:p w14:paraId="29EF206A"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60E954BE" w14:textId="77777777" w:rsidTr="008137C7">
        <w:trPr>
          <w:trHeight w:val="302"/>
        </w:trPr>
        <w:tc>
          <w:tcPr>
            <w:tcW w:w="1692" w:type="pct"/>
            <w:tcBorders>
              <w:top w:val="single" w:sz="4" w:space="0" w:color="auto"/>
            </w:tcBorders>
            <w:shd w:val="clear" w:color="auto" w:fill="auto"/>
            <w:noWrap/>
            <w:vAlign w:val="center"/>
            <w:hideMark/>
          </w:tcPr>
          <w:p w14:paraId="0D5A3075"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Облигации, емитирани на МКП</w:t>
            </w:r>
          </w:p>
        </w:tc>
        <w:tc>
          <w:tcPr>
            <w:tcW w:w="460" w:type="pct"/>
            <w:tcBorders>
              <w:top w:val="single" w:sz="4" w:space="0" w:color="auto"/>
            </w:tcBorders>
            <w:shd w:val="clear" w:color="auto" w:fill="auto"/>
            <w:noWrap/>
            <w:vAlign w:val="bottom"/>
          </w:tcPr>
          <w:p w14:paraId="5801C3CE"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56C1A4B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65,0%</w:t>
            </w:r>
          </w:p>
        </w:tc>
        <w:tc>
          <w:tcPr>
            <w:tcW w:w="612" w:type="pct"/>
            <w:gridSpan w:val="2"/>
            <w:tcBorders>
              <w:top w:val="nil"/>
              <w:left w:val="nil"/>
              <w:bottom w:val="nil"/>
              <w:right w:val="nil"/>
            </w:tcBorders>
            <w:shd w:val="clear" w:color="auto" w:fill="auto"/>
            <w:noWrap/>
            <w:vAlign w:val="bottom"/>
          </w:tcPr>
          <w:p w14:paraId="5DD96D2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72,7%</w:t>
            </w:r>
          </w:p>
        </w:tc>
        <w:tc>
          <w:tcPr>
            <w:tcW w:w="577" w:type="pct"/>
            <w:gridSpan w:val="2"/>
            <w:tcBorders>
              <w:top w:val="single" w:sz="4" w:space="0" w:color="auto"/>
            </w:tcBorders>
            <w:shd w:val="clear" w:color="auto" w:fill="auto"/>
            <w:noWrap/>
            <w:vAlign w:val="bottom"/>
          </w:tcPr>
          <w:p w14:paraId="793E4FF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75,6%</w:t>
            </w:r>
          </w:p>
        </w:tc>
        <w:tc>
          <w:tcPr>
            <w:tcW w:w="578" w:type="pct"/>
            <w:gridSpan w:val="2"/>
            <w:tcBorders>
              <w:top w:val="single" w:sz="4" w:space="0" w:color="auto"/>
            </w:tcBorders>
            <w:shd w:val="clear" w:color="auto" w:fill="auto"/>
            <w:noWrap/>
            <w:vAlign w:val="bottom"/>
          </w:tcPr>
          <w:p w14:paraId="668F3AF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77,0%</w:t>
            </w:r>
          </w:p>
        </w:tc>
        <w:tc>
          <w:tcPr>
            <w:tcW w:w="616" w:type="pct"/>
            <w:gridSpan w:val="2"/>
            <w:tcBorders>
              <w:top w:val="single" w:sz="4" w:space="0" w:color="auto"/>
            </w:tcBorders>
            <w:shd w:val="clear" w:color="auto" w:fill="auto"/>
            <w:noWrap/>
            <w:vAlign w:val="bottom"/>
          </w:tcPr>
          <w:p w14:paraId="1FD59CB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81,1%</w:t>
            </w:r>
          </w:p>
        </w:tc>
      </w:tr>
      <w:tr w:rsidR="00EC33E2" w:rsidRPr="00FF132B" w14:paraId="6664BF61" w14:textId="77777777" w:rsidTr="008137C7">
        <w:trPr>
          <w:trHeight w:val="302"/>
        </w:trPr>
        <w:tc>
          <w:tcPr>
            <w:tcW w:w="1692" w:type="pct"/>
            <w:shd w:val="clear" w:color="auto" w:fill="auto"/>
            <w:noWrap/>
            <w:vAlign w:val="center"/>
            <w:hideMark/>
          </w:tcPr>
          <w:p w14:paraId="7264F56E"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ДЦК, емитирани на вътр. пазар</w:t>
            </w:r>
          </w:p>
        </w:tc>
        <w:tc>
          <w:tcPr>
            <w:tcW w:w="460" w:type="pct"/>
            <w:shd w:val="clear" w:color="auto" w:fill="auto"/>
            <w:noWrap/>
            <w:vAlign w:val="bottom"/>
          </w:tcPr>
          <w:p w14:paraId="26287932"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79BE2CE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25,2%</w:t>
            </w:r>
          </w:p>
        </w:tc>
        <w:tc>
          <w:tcPr>
            <w:tcW w:w="612" w:type="pct"/>
            <w:gridSpan w:val="2"/>
            <w:tcBorders>
              <w:top w:val="nil"/>
              <w:left w:val="nil"/>
              <w:bottom w:val="nil"/>
              <w:right w:val="nil"/>
            </w:tcBorders>
            <w:shd w:val="clear" w:color="auto" w:fill="auto"/>
            <w:noWrap/>
            <w:vAlign w:val="bottom"/>
          </w:tcPr>
          <w:p w14:paraId="0FCEA86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19,3%</w:t>
            </w:r>
          </w:p>
        </w:tc>
        <w:tc>
          <w:tcPr>
            <w:tcW w:w="577" w:type="pct"/>
            <w:gridSpan w:val="2"/>
            <w:shd w:val="clear" w:color="auto" w:fill="auto"/>
            <w:noWrap/>
            <w:vAlign w:val="bottom"/>
          </w:tcPr>
          <w:p w14:paraId="061EB69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15,4%</w:t>
            </w:r>
          </w:p>
        </w:tc>
        <w:tc>
          <w:tcPr>
            <w:tcW w:w="578" w:type="pct"/>
            <w:gridSpan w:val="2"/>
            <w:shd w:val="clear" w:color="auto" w:fill="auto"/>
            <w:noWrap/>
            <w:vAlign w:val="bottom"/>
          </w:tcPr>
          <w:p w14:paraId="63502D9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15,5%</w:t>
            </w:r>
          </w:p>
        </w:tc>
        <w:tc>
          <w:tcPr>
            <w:tcW w:w="616" w:type="pct"/>
            <w:gridSpan w:val="2"/>
            <w:shd w:val="clear" w:color="auto" w:fill="auto"/>
            <w:noWrap/>
            <w:vAlign w:val="bottom"/>
          </w:tcPr>
          <w:p w14:paraId="15F1555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12,9%</w:t>
            </w:r>
          </w:p>
        </w:tc>
      </w:tr>
      <w:tr w:rsidR="00EC33E2" w:rsidRPr="00FF132B" w14:paraId="5175B90C" w14:textId="77777777" w:rsidTr="008137C7">
        <w:trPr>
          <w:trHeight w:val="302"/>
        </w:trPr>
        <w:tc>
          <w:tcPr>
            <w:tcW w:w="1692" w:type="pct"/>
            <w:shd w:val="clear" w:color="auto" w:fill="auto"/>
            <w:noWrap/>
            <w:vAlign w:val="center"/>
            <w:hideMark/>
          </w:tcPr>
          <w:p w14:paraId="420EC9F9"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Държавни заеми</w:t>
            </w:r>
          </w:p>
        </w:tc>
        <w:tc>
          <w:tcPr>
            <w:tcW w:w="460" w:type="pct"/>
            <w:shd w:val="clear" w:color="auto" w:fill="auto"/>
            <w:noWrap/>
            <w:vAlign w:val="bottom"/>
          </w:tcPr>
          <w:p w14:paraId="4C673836"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2EE458E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8,8%</w:t>
            </w:r>
          </w:p>
        </w:tc>
        <w:tc>
          <w:tcPr>
            <w:tcW w:w="612" w:type="pct"/>
            <w:gridSpan w:val="2"/>
            <w:tcBorders>
              <w:top w:val="nil"/>
              <w:left w:val="nil"/>
              <w:bottom w:val="nil"/>
              <w:right w:val="nil"/>
            </w:tcBorders>
            <w:shd w:val="clear" w:color="auto" w:fill="auto"/>
            <w:noWrap/>
            <w:vAlign w:val="bottom"/>
          </w:tcPr>
          <w:p w14:paraId="0933048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7,3%</w:t>
            </w:r>
          </w:p>
        </w:tc>
        <w:tc>
          <w:tcPr>
            <w:tcW w:w="577" w:type="pct"/>
            <w:gridSpan w:val="2"/>
            <w:shd w:val="clear" w:color="auto" w:fill="auto"/>
            <w:noWrap/>
            <w:vAlign w:val="bottom"/>
          </w:tcPr>
          <w:p w14:paraId="0541D03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8,5%</w:t>
            </w:r>
          </w:p>
        </w:tc>
        <w:tc>
          <w:tcPr>
            <w:tcW w:w="578" w:type="pct"/>
            <w:gridSpan w:val="2"/>
            <w:shd w:val="clear" w:color="auto" w:fill="auto"/>
            <w:noWrap/>
            <w:vAlign w:val="bottom"/>
          </w:tcPr>
          <w:p w14:paraId="48DD9CA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7,1%</w:t>
            </w:r>
          </w:p>
        </w:tc>
        <w:tc>
          <w:tcPr>
            <w:tcW w:w="616" w:type="pct"/>
            <w:gridSpan w:val="2"/>
            <w:shd w:val="clear" w:color="auto" w:fill="auto"/>
            <w:noWrap/>
            <w:vAlign w:val="bottom"/>
          </w:tcPr>
          <w:p w14:paraId="78CFA83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5,8%</w:t>
            </w:r>
          </w:p>
        </w:tc>
      </w:tr>
      <w:tr w:rsidR="00EC33E2" w:rsidRPr="00FF132B" w14:paraId="17A6A80F" w14:textId="77777777" w:rsidTr="008137C7">
        <w:trPr>
          <w:trHeight w:val="317"/>
        </w:trPr>
        <w:tc>
          <w:tcPr>
            <w:tcW w:w="1692" w:type="pct"/>
            <w:shd w:val="clear" w:color="auto" w:fill="auto"/>
            <w:noWrap/>
            <w:vAlign w:val="center"/>
            <w:hideMark/>
          </w:tcPr>
          <w:p w14:paraId="2C48E47E"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Държавни инвестиционни заеми</w:t>
            </w:r>
          </w:p>
        </w:tc>
        <w:tc>
          <w:tcPr>
            <w:tcW w:w="460" w:type="pct"/>
            <w:shd w:val="clear" w:color="auto" w:fill="auto"/>
            <w:noWrap/>
            <w:vAlign w:val="bottom"/>
          </w:tcPr>
          <w:p w14:paraId="0372752B"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5905995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1,0%</w:t>
            </w:r>
          </w:p>
        </w:tc>
        <w:tc>
          <w:tcPr>
            <w:tcW w:w="612" w:type="pct"/>
            <w:gridSpan w:val="2"/>
            <w:tcBorders>
              <w:top w:val="nil"/>
              <w:left w:val="nil"/>
              <w:bottom w:val="nil"/>
              <w:right w:val="nil"/>
            </w:tcBorders>
            <w:shd w:val="clear" w:color="auto" w:fill="auto"/>
            <w:noWrap/>
            <w:vAlign w:val="bottom"/>
          </w:tcPr>
          <w:p w14:paraId="46D934B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0,7%</w:t>
            </w:r>
          </w:p>
        </w:tc>
        <w:tc>
          <w:tcPr>
            <w:tcW w:w="577" w:type="pct"/>
            <w:gridSpan w:val="2"/>
            <w:shd w:val="clear" w:color="auto" w:fill="auto"/>
            <w:noWrap/>
            <w:vAlign w:val="bottom"/>
          </w:tcPr>
          <w:p w14:paraId="15C91A1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0,5%</w:t>
            </w:r>
          </w:p>
        </w:tc>
        <w:tc>
          <w:tcPr>
            <w:tcW w:w="578" w:type="pct"/>
            <w:gridSpan w:val="2"/>
            <w:shd w:val="clear" w:color="auto" w:fill="auto"/>
            <w:noWrap/>
            <w:vAlign w:val="bottom"/>
          </w:tcPr>
          <w:p w14:paraId="5EFABF9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0,3%</w:t>
            </w:r>
          </w:p>
        </w:tc>
        <w:tc>
          <w:tcPr>
            <w:tcW w:w="616" w:type="pct"/>
            <w:gridSpan w:val="2"/>
            <w:shd w:val="clear" w:color="auto" w:fill="auto"/>
            <w:noWrap/>
            <w:vAlign w:val="bottom"/>
          </w:tcPr>
          <w:p w14:paraId="5495F36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0,2%</w:t>
            </w:r>
          </w:p>
        </w:tc>
      </w:tr>
      <w:tr w:rsidR="00EC33E2" w:rsidRPr="00FF132B" w14:paraId="67974E2A" w14:textId="77777777" w:rsidTr="00207936">
        <w:trPr>
          <w:trHeight w:val="333"/>
        </w:trPr>
        <w:tc>
          <w:tcPr>
            <w:tcW w:w="1692" w:type="pct"/>
            <w:tcBorders>
              <w:top w:val="single" w:sz="4" w:space="0" w:color="auto"/>
              <w:bottom w:val="single" w:sz="4" w:space="0" w:color="auto"/>
            </w:tcBorders>
            <w:shd w:val="clear" w:color="auto" w:fill="EEF1F6" w:themeFill="accent5" w:themeFillTint="33"/>
            <w:noWrap/>
            <w:vAlign w:val="center"/>
            <w:hideMark/>
          </w:tcPr>
          <w:p w14:paraId="6F89F66D"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Лихвена структура</w:t>
            </w:r>
          </w:p>
        </w:tc>
        <w:tc>
          <w:tcPr>
            <w:tcW w:w="460" w:type="pct"/>
            <w:tcBorders>
              <w:top w:val="single" w:sz="4" w:space="0" w:color="auto"/>
              <w:bottom w:val="single" w:sz="4" w:space="0" w:color="auto"/>
            </w:tcBorders>
            <w:shd w:val="clear" w:color="auto" w:fill="EEF1F6" w:themeFill="accent5" w:themeFillTint="33"/>
            <w:noWrap/>
            <w:vAlign w:val="center"/>
          </w:tcPr>
          <w:p w14:paraId="1ABFAF88" w14:textId="77777777" w:rsidR="00EC33E2" w:rsidRPr="00FF132B" w:rsidRDefault="00EC33E2" w:rsidP="003E5C09">
            <w:pPr>
              <w:spacing w:after="0"/>
              <w:jc w:val="left"/>
              <w:rPr>
                <w:rFonts w:asciiTheme="majorHAnsi" w:eastAsia="Times New Roman" w:hAnsiTheme="majorHAnsi" w:cstheme="majorHAnsi"/>
                <w:b/>
                <w:bCs/>
                <w:sz w:val="20"/>
                <w:szCs w:val="20"/>
              </w:rPr>
            </w:pPr>
          </w:p>
        </w:tc>
        <w:tc>
          <w:tcPr>
            <w:tcW w:w="466" w:type="pct"/>
            <w:gridSpan w:val="2"/>
            <w:tcBorders>
              <w:top w:val="single" w:sz="4" w:space="0" w:color="auto"/>
              <w:bottom w:val="single" w:sz="4" w:space="0" w:color="auto"/>
            </w:tcBorders>
            <w:shd w:val="clear" w:color="auto" w:fill="EEF1F6" w:themeFill="accent5" w:themeFillTint="33"/>
            <w:noWrap/>
            <w:vAlign w:val="center"/>
            <w:hideMark/>
          </w:tcPr>
          <w:p w14:paraId="46BDB8AA"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2" w:type="pct"/>
            <w:gridSpan w:val="2"/>
            <w:tcBorders>
              <w:top w:val="single" w:sz="4" w:space="0" w:color="auto"/>
              <w:bottom w:val="single" w:sz="4" w:space="0" w:color="auto"/>
            </w:tcBorders>
            <w:shd w:val="clear" w:color="auto" w:fill="EEF1F6" w:themeFill="accent5" w:themeFillTint="33"/>
            <w:noWrap/>
            <w:vAlign w:val="center"/>
            <w:hideMark/>
          </w:tcPr>
          <w:p w14:paraId="77623DCD"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7" w:type="pct"/>
            <w:gridSpan w:val="2"/>
            <w:tcBorders>
              <w:top w:val="single" w:sz="4" w:space="0" w:color="auto"/>
              <w:bottom w:val="single" w:sz="4" w:space="0" w:color="auto"/>
            </w:tcBorders>
            <w:shd w:val="clear" w:color="auto" w:fill="EEF1F6" w:themeFill="accent5" w:themeFillTint="33"/>
            <w:noWrap/>
            <w:vAlign w:val="center"/>
            <w:hideMark/>
          </w:tcPr>
          <w:p w14:paraId="0EE9DED5"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top w:val="single" w:sz="4" w:space="0" w:color="auto"/>
              <w:bottom w:val="single" w:sz="4" w:space="0" w:color="auto"/>
            </w:tcBorders>
            <w:shd w:val="clear" w:color="auto" w:fill="EEF1F6" w:themeFill="accent5" w:themeFillTint="33"/>
            <w:noWrap/>
            <w:vAlign w:val="center"/>
            <w:hideMark/>
          </w:tcPr>
          <w:p w14:paraId="3D164082"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top w:val="single" w:sz="4" w:space="0" w:color="auto"/>
              <w:bottom w:val="single" w:sz="4" w:space="0" w:color="auto"/>
            </w:tcBorders>
            <w:shd w:val="clear" w:color="auto" w:fill="EEF1F6" w:themeFill="accent5" w:themeFillTint="33"/>
            <w:noWrap/>
            <w:vAlign w:val="center"/>
            <w:hideMark/>
          </w:tcPr>
          <w:p w14:paraId="19B59EBC"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1B873F4F" w14:textId="77777777" w:rsidTr="008137C7">
        <w:trPr>
          <w:trHeight w:val="317"/>
        </w:trPr>
        <w:tc>
          <w:tcPr>
            <w:tcW w:w="1692" w:type="pct"/>
            <w:tcBorders>
              <w:top w:val="single" w:sz="4" w:space="0" w:color="auto"/>
            </w:tcBorders>
            <w:shd w:val="clear" w:color="auto" w:fill="auto"/>
            <w:noWrap/>
            <w:vAlign w:val="center"/>
            <w:hideMark/>
          </w:tcPr>
          <w:p w14:paraId="329E801E"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с фиксирани лихви</w:t>
            </w:r>
          </w:p>
        </w:tc>
        <w:tc>
          <w:tcPr>
            <w:tcW w:w="460" w:type="pct"/>
            <w:tcBorders>
              <w:top w:val="single" w:sz="4" w:space="0" w:color="auto"/>
            </w:tcBorders>
            <w:shd w:val="clear" w:color="auto" w:fill="auto"/>
            <w:noWrap/>
            <w:vAlign w:val="bottom"/>
          </w:tcPr>
          <w:p w14:paraId="05A5D718"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46395F2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99,7%</w:t>
            </w:r>
          </w:p>
        </w:tc>
        <w:tc>
          <w:tcPr>
            <w:tcW w:w="612" w:type="pct"/>
            <w:gridSpan w:val="2"/>
            <w:tcBorders>
              <w:top w:val="nil"/>
              <w:left w:val="nil"/>
              <w:bottom w:val="nil"/>
              <w:right w:val="nil"/>
            </w:tcBorders>
            <w:shd w:val="clear" w:color="auto" w:fill="auto"/>
            <w:noWrap/>
            <w:vAlign w:val="bottom"/>
          </w:tcPr>
          <w:p w14:paraId="220528A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99,9%</w:t>
            </w:r>
          </w:p>
        </w:tc>
        <w:tc>
          <w:tcPr>
            <w:tcW w:w="577" w:type="pct"/>
            <w:gridSpan w:val="2"/>
            <w:tcBorders>
              <w:top w:val="single" w:sz="4" w:space="0" w:color="auto"/>
            </w:tcBorders>
            <w:shd w:val="clear" w:color="auto" w:fill="auto"/>
            <w:noWrap/>
            <w:vAlign w:val="bottom"/>
          </w:tcPr>
          <w:p w14:paraId="3AF63AD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99,9%</w:t>
            </w:r>
          </w:p>
        </w:tc>
        <w:tc>
          <w:tcPr>
            <w:tcW w:w="578" w:type="pct"/>
            <w:gridSpan w:val="2"/>
            <w:tcBorders>
              <w:top w:val="single" w:sz="4" w:space="0" w:color="auto"/>
            </w:tcBorders>
            <w:shd w:val="clear" w:color="auto" w:fill="auto"/>
            <w:noWrap/>
            <w:vAlign w:val="bottom"/>
          </w:tcPr>
          <w:p w14:paraId="133BC9E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100,0%</w:t>
            </w:r>
          </w:p>
        </w:tc>
        <w:tc>
          <w:tcPr>
            <w:tcW w:w="616" w:type="pct"/>
            <w:gridSpan w:val="2"/>
            <w:tcBorders>
              <w:top w:val="single" w:sz="4" w:space="0" w:color="auto"/>
            </w:tcBorders>
            <w:shd w:val="clear" w:color="auto" w:fill="auto"/>
            <w:noWrap/>
            <w:vAlign w:val="bottom"/>
          </w:tcPr>
          <w:p w14:paraId="77BCA80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100,0%</w:t>
            </w:r>
          </w:p>
        </w:tc>
      </w:tr>
      <w:tr w:rsidR="00EC33E2" w:rsidRPr="00FF132B" w14:paraId="681482B5" w14:textId="77777777" w:rsidTr="008137C7">
        <w:trPr>
          <w:trHeight w:val="317"/>
        </w:trPr>
        <w:tc>
          <w:tcPr>
            <w:tcW w:w="1692" w:type="pct"/>
            <w:shd w:val="clear" w:color="auto" w:fill="auto"/>
            <w:noWrap/>
            <w:vAlign w:val="center"/>
            <w:hideMark/>
          </w:tcPr>
          <w:p w14:paraId="2E946BAE"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с плаващи лихви</w:t>
            </w:r>
          </w:p>
        </w:tc>
        <w:tc>
          <w:tcPr>
            <w:tcW w:w="460" w:type="pct"/>
            <w:shd w:val="clear" w:color="auto" w:fill="auto"/>
            <w:noWrap/>
            <w:vAlign w:val="bottom"/>
          </w:tcPr>
          <w:p w14:paraId="0EF3AB9C"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350B386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0,3%</w:t>
            </w:r>
          </w:p>
        </w:tc>
        <w:tc>
          <w:tcPr>
            <w:tcW w:w="612" w:type="pct"/>
            <w:gridSpan w:val="2"/>
            <w:tcBorders>
              <w:top w:val="nil"/>
              <w:left w:val="nil"/>
              <w:bottom w:val="nil"/>
              <w:right w:val="nil"/>
            </w:tcBorders>
            <w:shd w:val="clear" w:color="auto" w:fill="auto"/>
            <w:noWrap/>
            <w:vAlign w:val="bottom"/>
          </w:tcPr>
          <w:p w14:paraId="0A7F416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577" w:type="pct"/>
            <w:gridSpan w:val="2"/>
            <w:shd w:val="clear" w:color="auto" w:fill="auto"/>
            <w:noWrap/>
            <w:vAlign w:val="bottom"/>
          </w:tcPr>
          <w:p w14:paraId="4EFDB80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578" w:type="pct"/>
            <w:gridSpan w:val="2"/>
            <w:shd w:val="clear" w:color="auto" w:fill="auto"/>
            <w:noWrap/>
            <w:vAlign w:val="bottom"/>
          </w:tcPr>
          <w:p w14:paraId="768AD98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c>
          <w:tcPr>
            <w:tcW w:w="616" w:type="pct"/>
            <w:gridSpan w:val="2"/>
            <w:shd w:val="clear" w:color="auto" w:fill="auto"/>
            <w:noWrap/>
            <w:vAlign w:val="bottom"/>
          </w:tcPr>
          <w:p w14:paraId="47C83E8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r>
      <w:tr w:rsidR="00EC33E2" w:rsidRPr="00FF132B" w14:paraId="5EC771F2" w14:textId="77777777" w:rsidTr="00207936">
        <w:trPr>
          <w:trHeight w:val="333"/>
        </w:trPr>
        <w:tc>
          <w:tcPr>
            <w:tcW w:w="1692" w:type="pct"/>
            <w:tcBorders>
              <w:top w:val="single" w:sz="4" w:space="0" w:color="auto"/>
              <w:bottom w:val="single" w:sz="4" w:space="0" w:color="auto"/>
            </w:tcBorders>
            <w:shd w:val="clear" w:color="auto" w:fill="EEF1F6" w:themeFill="accent5" w:themeFillTint="33"/>
            <w:noWrap/>
            <w:vAlign w:val="center"/>
            <w:hideMark/>
          </w:tcPr>
          <w:p w14:paraId="75E751A3"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Валутна структура</w:t>
            </w:r>
          </w:p>
        </w:tc>
        <w:tc>
          <w:tcPr>
            <w:tcW w:w="460" w:type="pct"/>
            <w:tcBorders>
              <w:top w:val="single" w:sz="4" w:space="0" w:color="auto"/>
              <w:bottom w:val="single" w:sz="4" w:space="0" w:color="auto"/>
            </w:tcBorders>
            <w:shd w:val="clear" w:color="auto" w:fill="EEF1F6" w:themeFill="accent5" w:themeFillTint="33"/>
            <w:noWrap/>
            <w:vAlign w:val="center"/>
          </w:tcPr>
          <w:p w14:paraId="4633CC08" w14:textId="77777777" w:rsidR="00EC33E2" w:rsidRPr="00FF132B" w:rsidRDefault="00EC33E2" w:rsidP="003E5C09">
            <w:pPr>
              <w:spacing w:after="0"/>
              <w:jc w:val="left"/>
              <w:rPr>
                <w:rFonts w:asciiTheme="majorHAnsi" w:eastAsia="Times New Roman" w:hAnsiTheme="majorHAnsi" w:cstheme="majorHAnsi"/>
                <w:b/>
                <w:bCs/>
                <w:sz w:val="20"/>
                <w:szCs w:val="20"/>
              </w:rPr>
            </w:pPr>
          </w:p>
        </w:tc>
        <w:tc>
          <w:tcPr>
            <w:tcW w:w="466" w:type="pct"/>
            <w:gridSpan w:val="2"/>
            <w:tcBorders>
              <w:top w:val="single" w:sz="4" w:space="0" w:color="auto"/>
              <w:bottom w:val="single" w:sz="4" w:space="0" w:color="auto"/>
            </w:tcBorders>
            <w:shd w:val="clear" w:color="auto" w:fill="EEF1F6" w:themeFill="accent5" w:themeFillTint="33"/>
            <w:noWrap/>
            <w:vAlign w:val="center"/>
            <w:hideMark/>
          </w:tcPr>
          <w:p w14:paraId="4C272573"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2" w:type="pct"/>
            <w:gridSpan w:val="2"/>
            <w:tcBorders>
              <w:top w:val="single" w:sz="4" w:space="0" w:color="auto"/>
              <w:bottom w:val="single" w:sz="4" w:space="0" w:color="auto"/>
            </w:tcBorders>
            <w:shd w:val="clear" w:color="auto" w:fill="EEF1F6" w:themeFill="accent5" w:themeFillTint="33"/>
            <w:noWrap/>
            <w:vAlign w:val="center"/>
            <w:hideMark/>
          </w:tcPr>
          <w:p w14:paraId="14D47EC0"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7" w:type="pct"/>
            <w:gridSpan w:val="2"/>
            <w:tcBorders>
              <w:top w:val="single" w:sz="4" w:space="0" w:color="auto"/>
              <w:bottom w:val="single" w:sz="4" w:space="0" w:color="auto"/>
            </w:tcBorders>
            <w:shd w:val="clear" w:color="auto" w:fill="EEF1F6" w:themeFill="accent5" w:themeFillTint="33"/>
            <w:noWrap/>
            <w:vAlign w:val="center"/>
            <w:hideMark/>
          </w:tcPr>
          <w:p w14:paraId="370F5AA6"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top w:val="single" w:sz="4" w:space="0" w:color="auto"/>
              <w:bottom w:val="single" w:sz="4" w:space="0" w:color="auto"/>
            </w:tcBorders>
            <w:shd w:val="clear" w:color="auto" w:fill="EEF1F6" w:themeFill="accent5" w:themeFillTint="33"/>
            <w:noWrap/>
            <w:vAlign w:val="center"/>
            <w:hideMark/>
          </w:tcPr>
          <w:p w14:paraId="63157668"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top w:val="single" w:sz="4" w:space="0" w:color="auto"/>
              <w:bottom w:val="single" w:sz="4" w:space="0" w:color="auto"/>
            </w:tcBorders>
            <w:shd w:val="clear" w:color="auto" w:fill="EEF1F6" w:themeFill="accent5" w:themeFillTint="33"/>
            <w:noWrap/>
            <w:vAlign w:val="center"/>
            <w:hideMark/>
          </w:tcPr>
          <w:p w14:paraId="496C6765"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001F0757" w14:textId="77777777" w:rsidTr="008137C7">
        <w:trPr>
          <w:trHeight w:val="317"/>
        </w:trPr>
        <w:tc>
          <w:tcPr>
            <w:tcW w:w="1692" w:type="pct"/>
            <w:tcBorders>
              <w:top w:val="single" w:sz="4" w:space="0" w:color="auto"/>
            </w:tcBorders>
            <w:shd w:val="clear" w:color="auto" w:fill="auto"/>
            <w:noWrap/>
            <w:vAlign w:val="center"/>
            <w:hideMark/>
          </w:tcPr>
          <w:p w14:paraId="246B2C1B"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лева</w:t>
            </w:r>
          </w:p>
        </w:tc>
        <w:tc>
          <w:tcPr>
            <w:tcW w:w="460" w:type="pct"/>
            <w:tcBorders>
              <w:top w:val="single" w:sz="4" w:space="0" w:color="auto"/>
            </w:tcBorders>
            <w:shd w:val="clear" w:color="auto" w:fill="auto"/>
            <w:noWrap/>
            <w:vAlign w:val="bottom"/>
          </w:tcPr>
          <w:p w14:paraId="3E87BD75"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787C0D7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24,2%</w:t>
            </w:r>
          </w:p>
        </w:tc>
        <w:tc>
          <w:tcPr>
            <w:tcW w:w="612" w:type="pct"/>
            <w:gridSpan w:val="2"/>
            <w:tcBorders>
              <w:top w:val="nil"/>
              <w:left w:val="nil"/>
              <w:bottom w:val="nil"/>
              <w:right w:val="nil"/>
            </w:tcBorders>
            <w:shd w:val="clear" w:color="auto" w:fill="auto"/>
            <w:noWrap/>
            <w:vAlign w:val="bottom"/>
          </w:tcPr>
          <w:p w14:paraId="4A1C7D0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19,3%</w:t>
            </w:r>
          </w:p>
        </w:tc>
        <w:tc>
          <w:tcPr>
            <w:tcW w:w="577" w:type="pct"/>
            <w:gridSpan w:val="2"/>
            <w:tcBorders>
              <w:top w:val="single" w:sz="4" w:space="0" w:color="auto"/>
            </w:tcBorders>
            <w:shd w:val="clear" w:color="auto" w:fill="auto"/>
            <w:noWrap/>
            <w:vAlign w:val="bottom"/>
          </w:tcPr>
          <w:p w14:paraId="41F5020E"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w:t>
            </w:r>
          </w:p>
        </w:tc>
        <w:tc>
          <w:tcPr>
            <w:tcW w:w="578" w:type="pct"/>
            <w:gridSpan w:val="2"/>
            <w:tcBorders>
              <w:top w:val="single" w:sz="4" w:space="0" w:color="auto"/>
            </w:tcBorders>
            <w:shd w:val="clear" w:color="auto" w:fill="auto"/>
            <w:noWrap/>
            <w:vAlign w:val="bottom"/>
          </w:tcPr>
          <w:p w14:paraId="6F5CB9B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w:t>
            </w:r>
          </w:p>
        </w:tc>
        <w:tc>
          <w:tcPr>
            <w:tcW w:w="616" w:type="pct"/>
            <w:gridSpan w:val="2"/>
            <w:tcBorders>
              <w:top w:val="single" w:sz="4" w:space="0" w:color="auto"/>
            </w:tcBorders>
            <w:shd w:val="clear" w:color="auto" w:fill="auto"/>
            <w:noWrap/>
            <w:vAlign w:val="bottom"/>
          </w:tcPr>
          <w:p w14:paraId="534E5BA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w:t>
            </w:r>
          </w:p>
        </w:tc>
      </w:tr>
      <w:tr w:rsidR="00EC33E2" w:rsidRPr="00FF132B" w14:paraId="3B2065AB" w14:textId="77777777" w:rsidTr="008137C7">
        <w:trPr>
          <w:trHeight w:val="317"/>
        </w:trPr>
        <w:tc>
          <w:tcPr>
            <w:tcW w:w="1692" w:type="pct"/>
            <w:shd w:val="clear" w:color="auto" w:fill="auto"/>
            <w:noWrap/>
            <w:vAlign w:val="center"/>
            <w:hideMark/>
          </w:tcPr>
          <w:p w14:paraId="416936C6"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щатски долари</w:t>
            </w:r>
          </w:p>
        </w:tc>
        <w:tc>
          <w:tcPr>
            <w:tcW w:w="460" w:type="pct"/>
            <w:shd w:val="clear" w:color="auto" w:fill="auto"/>
            <w:noWrap/>
            <w:vAlign w:val="bottom"/>
          </w:tcPr>
          <w:p w14:paraId="7C671D2C"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1AD7280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6,0%</w:t>
            </w:r>
          </w:p>
        </w:tc>
        <w:tc>
          <w:tcPr>
            <w:tcW w:w="612" w:type="pct"/>
            <w:gridSpan w:val="2"/>
            <w:tcBorders>
              <w:top w:val="nil"/>
              <w:left w:val="nil"/>
              <w:bottom w:val="nil"/>
              <w:right w:val="nil"/>
            </w:tcBorders>
            <w:shd w:val="clear" w:color="auto" w:fill="auto"/>
            <w:noWrap/>
            <w:vAlign w:val="bottom"/>
          </w:tcPr>
          <w:p w14:paraId="4B26947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4,1%</w:t>
            </w:r>
          </w:p>
        </w:tc>
        <w:tc>
          <w:tcPr>
            <w:tcW w:w="577" w:type="pct"/>
            <w:gridSpan w:val="2"/>
            <w:shd w:val="clear" w:color="auto" w:fill="auto"/>
            <w:noWrap/>
            <w:vAlign w:val="bottom"/>
          </w:tcPr>
          <w:p w14:paraId="221B6F5B"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3,4%</w:t>
            </w:r>
          </w:p>
        </w:tc>
        <w:tc>
          <w:tcPr>
            <w:tcW w:w="578" w:type="pct"/>
            <w:gridSpan w:val="2"/>
            <w:shd w:val="clear" w:color="auto" w:fill="auto"/>
            <w:noWrap/>
            <w:vAlign w:val="bottom"/>
          </w:tcPr>
          <w:p w14:paraId="118BB7C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2,9%</w:t>
            </w:r>
          </w:p>
        </w:tc>
        <w:tc>
          <w:tcPr>
            <w:tcW w:w="616" w:type="pct"/>
            <w:gridSpan w:val="2"/>
            <w:shd w:val="clear" w:color="auto" w:fill="auto"/>
            <w:noWrap/>
            <w:vAlign w:val="bottom"/>
          </w:tcPr>
          <w:p w14:paraId="3815E5DF"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2,6%</w:t>
            </w:r>
          </w:p>
        </w:tc>
      </w:tr>
      <w:tr w:rsidR="00EC33E2" w:rsidRPr="00FF132B" w14:paraId="42DFA84A" w14:textId="77777777" w:rsidTr="008137C7">
        <w:trPr>
          <w:trHeight w:val="302"/>
        </w:trPr>
        <w:tc>
          <w:tcPr>
            <w:tcW w:w="1692" w:type="pct"/>
            <w:shd w:val="clear" w:color="auto" w:fill="auto"/>
            <w:noWrap/>
            <w:vAlign w:val="center"/>
            <w:hideMark/>
          </w:tcPr>
          <w:p w14:paraId="64E919CD"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евро</w:t>
            </w:r>
          </w:p>
        </w:tc>
        <w:tc>
          <w:tcPr>
            <w:tcW w:w="460" w:type="pct"/>
            <w:shd w:val="clear" w:color="auto" w:fill="auto"/>
            <w:noWrap/>
            <w:vAlign w:val="bottom"/>
          </w:tcPr>
          <w:p w14:paraId="5D8FAEA7"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6C2C2D0F"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69,7%</w:t>
            </w:r>
          </w:p>
        </w:tc>
        <w:tc>
          <w:tcPr>
            <w:tcW w:w="612" w:type="pct"/>
            <w:gridSpan w:val="2"/>
            <w:tcBorders>
              <w:top w:val="nil"/>
              <w:left w:val="nil"/>
              <w:bottom w:val="nil"/>
              <w:right w:val="nil"/>
            </w:tcBorders>
            <w:shd w:val="clear" w:color="auto" w:fill="auto"/>
            <w:noWrap/>
            <w:vAlign w:val="bottom"/>
          </w:tcPr>
          <w:p w14:paraId="75C983F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76,5%</w:t>
            </w:r>
          </w:p>
        </w:tc>
        <w:tc>
          <w:tcPr>
            <w:tcW w:w="577" w:type="pct"/>
            <w:gridSpan w:val="2"/>
            <w:shd w:val="clear" w:color="auto" w:fill="auto"/>
            <w:noWrap/>
            <w:vAlign w:val="bottom"/>
          </w:tcPr>
          <w:p w14:paraId="4ED8B41C"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96,6%</w:t>
            </w:r>
          </w:p>
        </w:tc>
        <w:tc>
          <w:tcPr>
            <w:tcW w:w="578" w:type="pct"/>
            <w:gridSpan w:val="2"/>
            <w:shd w:val="clear" w:color="auto" w:fill="auto"/>
            <w:noWrap/>
            <w:vAlign w:val="bottom"/>
          </w:tcPr>
          <w:p w14:paraId="6A82691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97,1%</w:t>
            </w:r>
          </w:p>
        </w:tc>
        <w:tc>
          <w:tcPr>
            <w:tcW w:w="616" w:type="pct"/>
            <w:gridSpan w:val="2"/>
            <w:shd w:val="clear" w:color="auto" w:fill="auto"/>
            <w:noWrap/>
            <w:vAlign w:val="bottom"/>
          </w:tcPr>
          <w:p w14:paraId="280780A9"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97,4%</w:t>
            </w:r>
          </w:p>
        </w:tc>
      </w:tr>
      <w:tr w:rsidR="00EC33E2" w:rsidRPr="00FF132B" w14:paraId="7A0BC73D" w14:textId="77777777" w:rsidTr="008137C7">
        <w:trPr>
          <w:trHeight w:val="317"/>
        </w:trPr>
        <w:tc>
          <w:tcPr>
            <w:tcW w:w="1692" w:type="pct"/>
            <w:shd w:val="clear" w:color="auto" w:fill="auto"/>
            <w:noWrap/>
            <w:vAlign w:val="center"/>
            <w:hideMark/>
          </w:tcPr>
          <w:p w14:paraId="1947F102"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Дълг в други валути (яп. йени)</w:t>
            </w:r>
          </w:p>
        </w:tc>
        <w:tc>
          <w:tcPr>
            <w:tcW w:w="460" w:type="pct"/>
            <w:shd w:val="clear" w:color="auto" w:fill="auto"/>
            <w:noWrap/>
            <w:vAlign w:val="bottom"/>
          </w:tcPr>
          <w:p w14:paraId="77F59032"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22A9D06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612" w:type="pct"/>
            <w:gridSpan w:val="2"/>
            <w:tcBorders>
              <w:top w:val="nil"/>
              <w:left w:val="nil"/>
              <w:bottom w:val="nil"/>
              <w:right w:val="nil"/>
            </w:tcBorders>
            <w:shd w:val="clear" w:color="auto" w:fill="auto"/>
            <w:noWrap/>
            <w:vAlign w:val="bottom"/>
          </w:tcPr>
          <w:p w14:paraId="67AC5A7A"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0,1%</w:t>
            </w:r>
          </w:p>
        </w:tc>
        <w:tc>
          <w:tcPr>
            <w:tcW w:w="577" w:type="pct"/>
            <w:gridSpan w:val="2"/>
            <w:shd w:val="clear" w:color="auto" w:fill="auto"/>
            <w:noWrap/>
            <w:vAlign w:val="bottom"/>
          </w:tcPr>
          <w:p w14:paraId="5A17E57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c>
          <w:tcPr>
            <w:tcW w:w="578" w:type="pct"/>
            <w:gridSpan w:val="2"/>
            <w:shd w:val="clear" w:color="auto" w:fill="auto"/>
            <w:noWrap/>
            <w:vAlign w:val="bottom"/>
          </w:tcPr>
          <w:p w14:paraId="61CAFCB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c>
          <w:tcPr>
            <w:tcW w:w="616" w:type="pct"/>
            <w:gridSpan w:val="2"/>
            <w:shd w:val="clear" w:color="auto" w:fill="auto"/>
            <w:noWrap/>
            <w:vAlign w:val="bottom"/>
          </w:tcPr>
          <w:p w14:paraId="434CF2CF"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0,0%</w:t>
            </w:r>
          </w:p>
        </w:tc>
      </w:tr>
      <w:tr w:rsidR="00EC33E2" w:rsidRPr="00FF132B" w14:paraId="17D37542" w14:textId="77777777" w:rsidTr="00207936">
        <w:trPr>
          <w:trHeight w:val="317"/>
        </w:trPr>
        <w:tc>
          <w:tcPr>
            <w:tcW w:w="2618" w:type="pct"/>
            <w:gridSpan w:val="4"/>
            <w:tcBorders>
              <w:top w:val="single" w:sz="4" w:space="0" w:color="auto"/>
              <w:bottom w:val="single" w:sz="4" w:space="0" w:color="auto"/>
            </w:tcBorders>
            <w:shd w:val="clear" w:color="auto" w:fill="EEF1F6" w:themeFill="accent5" w:themeFillTint="33"/>
            <w:noWrap/>
            <w:vAlign w:val="center"/>
            <w:hideMark/>
          </w:tcPr>
          <w:p w14:paraId="30E75969"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Структура на държавните заеми по кредитори</w:t>
            </w:r>
          </w:p>
        </w:tc>
        <w:tc>
          <w:tcPr>
            <w:tcW w:w="612" w:type="pct"/>
            <w:gridSpan w:val="2"/>
            <w:tcBorders>
              <w:top w:val="single" w:sz="4" w:space="0" w:color="auto"/>
              <w:bottom w:val="single" w:sz="4" w:space="0" w:color="auto"/>
            </w:tcBorders>
            <w:shd w:val="clear" w:color="auto" w:fill="EEF1F6" w:themeFill="accent5" w:themeFillTint="33"/>
            <w:vAlign w:val="center"/>
            <w:hideMark/>
          </w:tcPr>
          <w:p w14:paraId="365DDA80"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7" w:type="pct"/>
            <w:gridSpan w:val="2"/>
            <w:tcBorders>
              <w:top w:val="single" w:sz="4" w:space="0" w:color="auto"/>
              <w:bottom w:val="single" w:sz="4" w:space="0" w:color="auto"/>
            </w:tcBorders>
            <w:shd w:val="clear" w:color="auto" w:fill="EEF1F6" w:themeFill="accent5" w:themeFillTint="33"/>
            <w:vAlign w:val="center"/>
            <w:hideMark/>
          </w:tcPr>
          <w:p w14:paraId="499433AC"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578" w:type="pct"/>
            <w:gridSpan w:val="2"/>
            <w:tcBorders>
              <w:top w:val="single" w:sz="4" w:space="0" w:color="auto"/>
              <w:bottom w:val="single" w:sz="4" w:space="0" w:color="auto"/>
            </w:tcBorders>
            <w:shd w:val="clear" w:color="auto" w:fill="EEF1F6" w:themeFill="accent5" w:themeFillTint="33"/>
            <w:vAlign w:val="center"/>
            <w:hideMark/>
          </w:tcPr>
          <w:p w14:paraId="558F18C9"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c>
          <w:tcPr>
            <w:tcW w:w="616" w:type="pct"/>
            <w:gridSpan w:val="2"/>
            <w:tcBorders>
              <w:top w:val="single" w:sz="4" w:space="0" w:color="auto"/>
              <w:bottom w:val="single" w:sz="4" w:space="0" w:color="auto"/>
            </w:tcBorders>
            <w:shd w:val="clear" w:color="auto" w:fill="EEF1F6" w:themeFill="accent5" w:themeFillTint="33"/>
            <w:vAlign w:val="center"/>
            <w:hideMark/>
          </w:tcPr>
          <w:p w14:paraId="6DB6C5E9"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 </w:t>
            </w:r>
          </w:p>
        </w:tc>
      </w:tr>
      <w:tr w:rsidR="00EC33E2" w:rsidRPr="00FF132B" w14:paraId="1B1C6E9D" w14:textId="77777777" w:rsidTr="008137C7">
        <w:trPr>
          <w:trHeight w:val="317"/>
        </w:trPr>
        <w:tc>
          <w:tcPr>
            <w:tcW w:w="1692" w:type="pct"/>
            <w:tcBorders>
              <w:top w:val="single" w:sz="4" w:space="0" w:color="auto"/>
            </w:tcBorders>
            <w:shd w:val="clear" w:color="auto" w:fill="auto"/>
            <w:noWrap/>
            <w:vAlign w:val="center"/>
            <w:hideMark/>
          </w:tcPr>
          <w:p w14:paraId="264610F6"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от ЕС /в т.ч. ЕИБ и ЕК/</w:t>
            </w:r>
          </w:p>
        </w:tc>
        <w:tc>
          <w:tcPr>
            <w:tcW w:w="460" w:type="pct"/>
            <w:tcBorders>
              <w:top w:val="single" w:sz="4" w:space="0" w:color="auto"/>
            </w:tcBorders>
            <w:shd w:val="clear" w:color="auto" w:fill="auto"/>
            <w:noWrap/>
            <w:vAlign w:val="bottom"/>
          </w:tcPr>
          <w:p w14:paraId="690578BE"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tcBorders>
              <w:top w:val="single" w:sz="4" w:space="0" w:color="auto"/>
            </w:tcBorders>
            <w:shd w:val="clear" w:color="auto" w:fill="auto"/>
            <w:noWrap/>
            <w:vAlign w:val="bottom"/>
            <w:hideMark/>
          </w:tcPr>
          <w:p w14:paraId="11F606E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82,3%</w:t>
            </w:r>
          </w:p>
        </w:tc>
        <w:tc>
          <w:tcPr>
            <w:tcW w:w="612" w:type="pct"/>
            <w:gridSpan w:val="2"/>
            <w:tcBorders>
              <w:top w:val="nil"/>
              <w:left w:val="nil"/>
              <w:bottom w:val="nil"/>
              <w:right w:val="nil"/>
            </w:tcBorders>
            <w:shd w:val="clear" w:color="auto" w:fill="auto"/>
            <w:noWrap/>
            <w:vAlign w:val="bottom"/>
          </w:tcPr>
          <w:p w14:paraId="2673019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84,6%</w:t>
            </w:r>
          </w:p>
        </w:tc>
        <w:tc>
          <w:tcPr>
            <w:tcW w:w="577" w:type="pct"/>
            <w:gridSpan w:val="2"/>
            <w:tcBorders>
              <w:top w:val="single" w:sz="4" w:space="0" w:color="auto"/>
            </w:tcBorders>
            <w:shd w:val="clear" w:color="auto" w:fill="auto"/>
            <w:noWrap/>
            <w:vAlign w:val="bottom"/>
          </w:tcPr>
          <w:p w14:paraId="2510D08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79,6%</w:t>
            </w:r>
          </w:p>
        </w:tc>
        <w:tc>
          <w:tcPr>
            <w:tcW w:w="578" w:type="pct"/>
            <w:gridSpan w:val="2"/>
            <w:tcBorders>
              <w:top w:val="single" w:sz="4" w:space="0" w:color="auto"/>
            </w:tcBorders>
            <w:shd w:val="clear" w:color="auto" w:fill="auto"/>
            <w:noWrap/>
            <w:vAlign w:val="bottom"/>
          </w:tcPr>
          <w:p w14:paraId="111BA5C1"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80,2%</w:t>
            </w:r>
          </w:p>
        </w:tc>
        <w:tc>
          <w:tcPr>
            <w:tcW w:w="616" w:type="pct"/>
            <w:gridSpan w:val="2"/>
            <w:tcBorders>
              <w:top w:val="single" w:sz="4" w:space="0" w:color="auto"/>
            </w:tcBorders>
            <w:shd w:val="clear" w:color="auto" w:fill="auto"/>
            <w:noWrap/>
            <w:vAlign w:val="bottom"/>
          </w:tcPr>
          <w:p w14:paraId="6CB29C2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86,2%</w:t>
            </w:r>
          </w:p>
        </w:tc>
      </w:tr>
      <w:tr w:rsidR="00EC33E2" w:rsidRPr="00FF132B" w14:paraId="201E979F" w14:textId="77777777" w:rsidTr="008137C7">
        <w:trPr>
          <w:trHeight w:val="302"/>
        </w:trPr>
        <w:tc>
          <w:tcPr>
            <w:tcW w:w="1692" w:type="pct"/>
            <w:shd w:val="clear" w:color="auto" w:fill="auto"/>
            <w:noWrap/>
            <w:vAlign w:val="center"/>
            <w:hideMark/>
          </w:tcPr>
          <w:p w14:paraId="2CCC4199"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от МБВР</w:t>
            </w:r>
          </w:p>
        </w:tc>
        <w:tc>
          <w:tcPr>
            <w:tcW w:w="460" w:type="pct"/>
            <w:shd w:val="clear" w:color="auto" w:fill="auto"/>
            <w:noWrap/>
            <w:vAlign w:val="bottom"/>
          </w:tcPr>
          <w:p w14:paraId="32FD45C7"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396AA9CD"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3,0%</w:t>
            </w:r>
          </w:p>
        </w:tc>
        <w:tc>
          <w:tcPr>
            <w:tcW w:w="612" w:type="pct"/>
            <w:gridSpan w:val="2"/>
            <w:tcBorders>
              <w:top w:val="nil"/>
              <w:left w:val="nil"/>
              <w:bottom w:val="nil"/>
              <w:right w:val="nil"/>
            </w:tcBorders>
            <w:shd w:val="clear" w:color="auto" w:fill="auto"/>
            <w:noWrap/>
            <w:vAlign w:val="bottom"/>
          </w:tcPr>
          <w:p w14:paraId="4C00F46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1,7%</w:t>
            </w:r>
          </w:p>
        </w:tc>
        <w:tc>
          <w:tcPr>
            <w:tcW w:w="577" w:type="pct"/>
            <w:gridSpan w:val="2"/>
            <w:shd w:val="clear" w:color="auto" w:fill="auto"/>
            <w:noWrap/>
            <w:vAlign w:val="bottom"/>
          </w:tcPr>
          <w:p w14:paraId="5BAC6EC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0,8%</w:t>
            </w:r>
          </w:p>
        </w:tc>
        <w:tc>
          <w:tcPr>
            <w:tcW w:w="578" w:type="pct"/>
            <w:gridSpan w:val="2"/>
            <w:shd w:val="clear" w:color="auto" w:fill="auto"/>
            <w:noWrap/>
            <w:vAlign w:val="bottom"/>
          </w:tcPr>
          <w:p w14:paraId="0122A8F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0,2%</w:t>
            </w:r>
          </w:p>
        </w:tc>
        <w:tc>
          <w:tcPr>
            <w:tcW w:w="616" w:type="pct"/>
            <w:gridSpan w:val="2"/>
            <w:shd w:val="clear" w:color="auto" w:fill="auto"/>
            <w:noWrap/>
            <w:vAlign w:val="bottom"/>
          </w:tcPr>
          <w:p w14:paraId="29B8584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0,0%</w:t>
            </w:r>
          </w:p>
        </w:tc>
      </w:tr>
      <w:tr w:rsidR="00EC33E2" w:rsidRPr="00FF132B" w14:paraId="52E1C295" w14:textId="77777777" w:rsidTr="008137C7">
        <w:trPr>
          <w:trHeight w:val="333"/>
        </w:trPr>
        <w:tc>
          <w:tcPr>
            <w:tcW w:w="1692" w:type="pct"/>
            <w:shd w:val="clear" w:color="auto" w:fill="auto"/>
            <w:noWrap/>
            <w:vAlign w:val="center"/>
            <w:hideMark/>
          </w:tcPr>
          <w:p w14:paraId="50AB8437"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lastRenderedPageBreak/>
              <w:t>Заеми от БРСЕ</w:t>
            </w:r>
          </w:p>
        </w:tc>
        <w:tc>
          <w:tcPr>
            <w:tcW w:w="460" w:type="pct"/>
            <w:shd w:val="clear" w:color="auto" w:fill="auto"/>
            <w:noWrap/>
            <w:vAlign w:val="bottom"/>
          </w:tcPr>
          <w:p w14:paraId="5EFC252E"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0A2B4D26"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7,2%</w:t>
            </w:r>
          </w:p>
        </w:tc>
        <w:tc>
          <w:tcPr>
            <w:tcW w:w="612" w:type="pct"/>
            <w:gridSpan w:val="2"/>
            <w:tcBorders>
              <w:top w:val="nil"/>
              <w:left w:val="nil"/>
              <w:bottom w:val="nil"/>
              <w:right w:val="nil"/>
            </w:tcBorders>
            <w:shd w:val="clear" w:color="auto" w:fill="auto"/>
            <w:noWrap/>
            <w:vAlign w:val="bottom"/>
          </w:tcPr>
          <w:p w14:paraId="3A3B72D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6,4%</w:t>
            </w:r>
          </w:p>
        </w:tc>
        <w:tc>
          <w:tcPr>
            <w:tcW w:w="577" w:type="pct"/>
            <w:gridSpan w:val="2"/>
            <w:shd w:val="clear" w:color="auto" w:fill="auto"/>
            <w:noWrap/>
            <w:vAlign w:val="bottom"/>
          </w:tcPr>
          <w:p w14:paraId="15B05E6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13,6%</w:t>
            </w:r>
          </w:p>
        </w:tc>
        <w:tc>
          <w:tcPr>
            <w:tcW w:w="578" w:type="pct"/>
            <w:gridSpan w:val="2"/>
            <w:shd w:val="clear" w:color="auto" w:fill="auto"/>
            <w:noWrap/>
            <w:vAlign w:val="bottom"/>
          </w:tcPr>
          <w:p w14:paraId="2A221173"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13,5%</w:t>
            </w:r>
          </w:p>
        </w:tc>
        <w:tc>
          <w:tcPr>
            <w:tcW w:w="616" w:type="pct"/>
            <w:gridSpan w:val="2"/>
            <w:shd w:val="clear" w:color="auto" w:fill="auto"/>
            <w:noWrap/>
            <w:vAlign w:val="bottom"/>
          </w:tcPr>
          <w:p w14:paraId="78042A90"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13,4%</w:t>
            </w:r>
          </w:p>
        </w:tc>
      </w:tr>
      <w:tr w:rsidR="00EC33E2" w:rsidRPr="00FF132B" w14:paraId="257EF424" w14:textId="77777777" w:rsidTr="008137C7">
        <w:trPr>
          <w:trHeight w:val="317"/>
        </w:trPr>
        <w:tc>
          <w:tcPr>
            <w:tcW w:w="1692" w:type="pct"/>
            <w:shd w:val="clear" w:color="auto" w:fill="auto"/>
            <w:noWrap/>
            <w:vAlign w:val="center"/>
            <w:hideMark/>
          </w:tcPr>
          <w:p w14:paraId="39F2BA1A" w14:textId="77777777" w:rsidR="00EC33E2" w:rsidRPr="00FF132B" w:rsidRDefault="00EC33E2" w:rsidP="003E5C09">
            <w:pPr>
              <w:spacing w:after="0"/>
              <w:jc w:val="lef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Заеми от други кредитори</w:t>
            </w:r>
          </w:p>
        </w:tc>
        <w:tc>
          <w:tcPr>
            <w:tcW w:w="460" w:type="pct"/>
            <w:shd w:val="clear" w:color="auto" w:fill="auto"/>
            <w:noWrap/>
            <w:vAlign w:val="bottom"/>
          </w:tcPr>
          <w:p w14:paraId="2FDA4778" w14:textId="77777777" w:rsidR="00EC33E2" w:rsidRPr="00FF132B" w:rsidRDefault="00EC33E2" w:rsidP="003E5C09">
            <w:pPr>
              <w:spacing w:after="0"/>
              <w:jc w:val="right"/>
              <w:rPr>
                <w:rFonts w:asciiTheme="majorHAnsi" w:eastAsia="Times New Roman" w:hAnsiTheme="majorHAnsi" w:cstheme="majorHAnsi"/>
                <w:sz w:val="20"/>
                <w:szCs w:val="20"/>
              </w:rPr>
            </w:pPr>
          </w:p>
        </w:tc>
        <w:tc>
          <w:tcPr>
            <w:tcW w:w="466" w:type="pct"/>
            <w:gridSpan w:val="2"/>
            <w:shd w:val="clear" w:color="auto" w:fill="auto"/>
            <w:noWrap/>
            <w:vAlign w:val="bottom"/>
            <w:hideMark/>
          </w:tcPr>
          <w:p w14:paraId="63F4A022"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eastAsia="Times New Roman" w:hAnsiTheme="majorHAnsi" w:cstheme="majorHAnsi"/>
                <w:sz w:val="20"/>
                <w:szCs w:val="20"/>
              </w:rPr>
              <w:t>7,5%</w:t>
            </w:r>
          </w:p>
        </w:tc>
        <w:tc>
          <w:tcPr>
            <w:tcW w:w="612" w:type="pct"/>
            <w:gridSpan w:val="2"/>
            <w:tcBorders>
              <w:top w:val="nil"/>
              <w:left w:val="nil"/>
              <w:bottom w:val="nil"/>
              <w:right w:val="nil"/>
            </w:tcBorders>
            <w:shd w:val="clear" w:color="auto" w:fill="auto"/>
            <w:noWrap/>
            <w:vAlign w:val="bottom"/>
          </w:tcPr>
          <w:p w14:paraId="3AB01484"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7,2%</w:t>
            </w:r>
          </w:p>
        </w:tc>
        <w:tc>
          <w:tcPr>
            <w:tcW w:w="577" w:type="pct"/>
            <w:gridSpan w:val="2"/>
            <w:shd w:val="clear" w:color="auto" w:fill="auto"/>
            <w:noWrap/>
            <w:vAlign w:val="bottom"/>
          </w:tcPr>
          <w:p w14:paraId="100FCF77"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6,1%</w:t>
            </w:r>
          </w:p>
        </w:tc>
        <w:tc>
          <w:tcPr>
            <w:tcW w:w="578" w:type="pct"/>
            <w:gridSpan w:val="2"/>
            <w:shd w:val="clear" w:color="auto" w:fill="auto"/>
            <w:noWrap/>
            <w:vAlign w:val="bottom"/>
          </w:tcPr>
          <w:p w14:paraId="4996D4F5"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6,1%</w:t>
            </w:r>
          </w:p>
        </w:tc>
        <w:tc>
          <w:tcPr>
            <w:tcW w:w="616" w:type="pct"/>
            <w:gridSpan w:val="2"/>
            <w:shd w:val="clear" w:color="auto" w:fill="auto"/>
            <w:noWrap/>
            <w:vAlign w:val="bottom"/>
          </w:tcPr>
          <w:p w14:paraId="3A7494D8" w14:textId="77777777" w:rsidR="00EC33E2" w:rsidRPr="00FF132B" w:rsidRDefault="00EC33E2" w:rsidP="003E5C09">
            <w:pPr>
              <w:spacing w:after="0"/>
              <w:jc w:val="right"/>
              <w:rPr>
                <w:rFonts w:asciiTheme="majorHAnsi" w:eastAsia="Times New Roman" w:hAnsiTheme="majorHAnsi" w:cstheme="majorHAnsi"/>
                <w:sz w:val="20"/>
                <w:szCs w:val="20"/>
              </w:rPr>
            </w:pPr>
            <w:r w:rsidRPr="00FF132B">
              <w:rPr>
                <w:rFonts w:asciiTheme="majorHAnsi" w:hAnsiTheme="majorHAnsi" w:cstheme="majorHAnsi"/>
                <w:sz w:val="20"/>
                <w:szCs w:val="20"/>
              </w:rPr>
              <w:t>0,3%</w:t>
            </w:r>
          </w:p>
        </w:tc>
      </w:tr>
      <w:tr w:rsidR="00EC33E2" w:rsidRPr="00FF132B" w14:paraId="10B34226" w14:textId="77777777" w:rsidTr="00207936">
        <w:trPr>
          <w:trHeight w:val="590"/>
        </w:trPr>
        <w:tc>
          <w:tcPr>
            <w:tcW w:w="1692" w:type="pct"/>
            <w:tcBorders>
              <w:top w:val="single" w:sz="4" w:space="0" w:color="auto"/>
              <w:bottom w:val="single" w:sz="4" w:space="0" w:color="auto"/>
            </w:tcBorders>
            <w:shd w:val="clear" w:color="auto" w:fill="EEF1F6" w:themeFill="accent5" w:themeFillTint="33"/>
            <w:vAlign w:val="center"/>
            <w:hideMark/>
          </w:tcPr>
          <w:p w14:paraId="1268E278" w14:textId="77777777" w:rsidR="00EC33E2" w:rsidRPr="00FF132B" w:rsidRDefault="00EC33E2" w:rsidP="003E5C09">
            <w:pPr>
              <w:spacing w:after="0"/>
              <w:jc w:val="left"/>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Средна продължителност на дълга в обращение /в години/</w:t>
            </w:r>
          </w:p>
        </w:tc>
        <w:tc>
          <w:tcPr>
            <w:tcW w:w="460" w:type="pct"/>
            <w:tcBorders>
              <w:top w:val="single" w:sz="4" w:space="0" w:color="auto"/>
              <w:bottom w:val="single" w:sz="4" w:space="0" w:color="auto"/>
            </w:tcBorders>
            <w:shd w:val="clear" w:color="auto" w:fill="EEF1F6" w:themeFill="accent5" w:themeFillTint="33"/>
            <w:vAlign w:val="center"/>
          </w:tcPr>
          <w:p w14:paraId="5CC4E3D1" w14:textId="77777777" w:rsidR="00EC33E2" w:rsidRPr="00FF132B" w:rsidRDefault="00EC33E2" w:rsidP="003E5C09">
            <w:pPr>
              <w:spacing w:after="0"/>
              <w:jc w:val="center"/>
              <w:rPr>
                <w:rFonts w:asciiTheme="majorHAnsi" w:eastAsia="Times New Roman" w:hAnsiTheme="majorHAnsi" w:cstheme="majorHAnsi"/>
                <w:b/>
                <w:bCs/>
                <w:sz w:val="20"/>
                <w:szCs w:val="20"/>
              </w:rPr>
            </w:pPr>
          </w:p>
        </w:tc>
        <w:tc>
          <w:tcPr>
            <w:tcW w:w="466" w:type="pct"/>
            <w:gridSpan w:val="2"/>
            <w:tcBorders>
              <w:top w:val="single" w:sz="4" w:space="0" w:color="auto"/>
              <w:bottom w:val="single" w:sz="4" w:space="0" w:color="auto"/>
            </w:tcBorders>
            <w:shd w:val="clear" w:color="auto" w:fill="EEF1F6" w:themeFill="accent5" w:themeFillTint="33"/>
            <w:vAlign w:val="center"/>
            <w:hideMark/>
          </w:tcPr>
          <w:p w14:paraId="0864BB0C"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eastAsia="Times New Roman" w:hAnsiTheme="majorHAnsi" w:cstheme="majorHAnsi"/>
                <w:b/>
                <w:bCs/>
                <w:sz w:val="20"/>
                <w:szCs w:val="20"/>
              </w:rPr>
              <w:t>8 г. и 3 м.</w:t>
            </w:r>
          </w:p>
        </w:tc>
        <w:tc>
          <w:tcPr>
            <w:tcW w:w="612" w:type="pct"/>
            <w:gridSpan w:val="2"/>
            <w:tcBorders>
              <w:top w:val="single" w:sz="4" w:space="0" w:color="auto"/>
              <w:bottom w:val="single" w:sz="4" w:space="0" w:color="auto"/>
            </w:tcBorders>
            <w:shd w:val="clear" w:color="auto" w:fill="EEF1F6" w:themeFill="accent5" w:themeFillTint="33"/>
            <w:vAlign w:val="center"/>
            <w:hideMark/>
          </w:tcPr>
          <w:p w14:paraId="1B6860FA"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8 г. и 7 м.</w:t>
            </w:r>
          </w:p>
        </w:tc>
        <w:tc>
          <w:tcPr>
            <w:tcW w:w="577" w:type="pct"/>
            <w:gridSpan w:val="2"/>
            <w:tcBorders>
              <w:top w:val="single" w:sz="4" w:space="0" w:color="auto"/>
              <w:bottom w:val="single" w:sz="4" w:space="0" w:color="auto"/>
            </w:tcBorders>
            <w:shd w:val="clear" w:color="auto" w:fill="EEF1F6" w:themeFill="accent5" w:themeFillTint="33"/>
            <w:vAlign w:val="center"/>
          </w:tcPr>
          <w:p w14:paraId="0E5D1158"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9 г. и 2 м.</w:t>
            </w:r>
          </w:p>
        </w:tc>
        <w:tc>
          <w:tcPr>
            <w:tcW w:w="578" w:type="pct"/>
            <w:gridSpan w:val="2"/>
            <w:tcBorders>
              <w:top w:val="single" w:sz="4" w:space="0" w:color="auto"/>
              <w:bottom w:val="single" w:sz="4" w:space="0" w:color="auto"/>
            </w:tcBorders>
            <w:shd w:val="clear" w:color="auto" w:fill="EEF1F6" w:themeFill="accent5" w:themeFillTint="33"/>
            <w:vAlign w:val="center"/>
          </w:tcPr>
          <w:p w14:paraId="236F0B20"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9 г. и 6 м.</w:t>
            </w:r>
          </w:p>
        </w:tc>
        <w:tc>
          <w:tcPr>
            <w:tcW w:w="616" w:type="pct"/>
            <w:gridSpan w:val="2"/>
            <w:tcBorders>
              <w:top w:val="single" w:sz="4" w:space="0" w:color="auto"/>
              <w:bottom w:val="single" w:sz="4" w:space="0" w:color="auto"/>
            </w:tcBorders>
            <w:shd w:val="clear" w:color="auto" w:fill="EEF1F6" w:themeFill="accent5" w:themeFillTint="33"/>
            <w:vAlign w:val="center"/>
          </w:tcPr>
          <w:p w14:paraId="760AA044" w14:textId="77777777" w:rsidR="00EC33E2" w:rsidRPr="00FF132B" w:rsidRDefault="00EC33E2" w:rsidP="003E5C09">
            <w:pPr>
              <w:spacing w:after="0"/>
              <w:jc w:val="center"/>
              <w:rPr>
                <w:rFonts w:asciiTheme="majorHAnsi" w:eastAsia="Times New Roman" w:hAnsiTheme="majorHAnsi" w:cstheme="majorHAnsi"/>
                <w:b/>
                <w:bCs/>
                <w:sz w:val="20"/>
                <w:szCs w:val="20"/>
              </w:rPr>
            </w:pPr>
            <w:r w:rsidRPr="00FF132B">
              <w:rPr>
                <w:rFonts w:asciiTheme="majorHAnsi" w:hAnsiTheme="majorHAnsi" w:cstheme="majorHAnsi"/>
                <w:b/>
                <w:bCs/>
                <w:sz w:val="20"/>
                <w:szCs w:val="20"/>
              </w:rPr>
              <w:t>9 г. и 10 м.</w:t>
            </w:r>
          </w:p>
        </w:tc>
      </w:tr>
    </w:tbl>
    <w:p w14:paraId="47FD5F94" w14:textId="77777777" w:rsidR="00C76111" w:rsidRDefault="00C76111" w:rsidP="00C76111">
      <w:pPr>
        <w:spacing w:before="120"/>
        <w:rPr>
          <w:rFonts w:eastAsia="Batang" w:cs="Times New Roman"/>
          <w:sz w:val="18"/>
          <w:szCs w:val="18"/>
        </w:rPr>
      </w:pPr>
      <w:r>
        <w:rPr>
          <w:rFonts w:eastAsia="Times New Roman" w:cs="Times New Roman"/>
          <w:i/>
          <w:iCs/>
          <w:color w:val="000000"/>
          <w:sz w:val="18"/>
          <w:szCs w:val="20"/>
        </w:rPr>
        <w:t>Забележка:</w:t>
      </w:r>
      <w:r w:rsidRPr="00AA3F66">
        <w:rPr>
          <w:rFonts w:eastAsia="Times New Roman" w:cs="Times New Roman"/>
          <w:i/>
          <w:iCs/>
          <w:color w:val="000000"/>
          <w:sz w:val="18"/>
          <w:szCs w:val="20"/>
        </w:rPr>
        <w:t xml:space="preserve"> Поради закръгления </w:t>
      </w:r>
      <w:r>
        <w:rPr>
          <w:rFonts w:eastAsia="Times New Roman" w:cs="Times New Roman"/>
          <w:i/>
          <w:iCs/>
          <w:color w:val="000000"/>
          <w:sz w:val="18"/>
          <w:szCs w:val="20"/>
        </w:rPr>
        <w:t xml:space="preserve">някои от </w:t>
      </w:r>
      <w:r w:rsidRPr="00AA3F66">
        <w:rPr>
          <w:rFonts w:eastAsia="Times New Roman" w:cs="Times New Roman"/>
          <w:i/>
          <w:iCs/>
          <w:color w:val="000000"/>
          <w:sz w:val="18"/>
          <w:szCs w:val="20"/>
        </w:rPr>
        <w:t>сумарн</w:t>
      </w:r>
      <w:r>
        <w:rPr>
          <w:rFonts w:eastAsia="Times New Roman" w:cs="Times New Roman"/>
          <w:i/>
          <w:iCs/>
          <w:color w:val="000000"/>
          <w:sz w:val="18"/>
          <w:szCs w:val="20"/>
        </w:rPr>
        <w:t>ите</w:t>
      </w:r>
      <w:r w:rsidRPr="00AA3F66">
        <w:rPr>
          <w:rFonts w:eastAsia="Times New Roman" w:cs="Times New Roman"/>
          <w:i/>
          <w:iCs/>
          <w:color w:val="000000"/>
          <w:sz w:val="18"/>
          <w:szCs w:val="20"/>
        </w:rPr>
        <w:t xml:space="preserve"> позици</w:t>
      </w:r>
      <w:r>
        <w:rPr>
          <w:rFonts w:eastAsia="Times New Roman" w:cs="Times New Roman"/>
          <w:i/>
          <w:iCs/>
          <w:color w:val="000000"/>
          <w:sz w:val="18"/>
          <w:szCs w:val="20"/>
        </w:rPr>
        <w:t>и</w:t>
      </w:r>
      <w:r w:rsidRPr="00AA3F66">
        <w:rPr>
          <w:rFonts w:eastAsia="Times New Roman" w:cs="Times New Roman"/>
          <w:i/>
          <w:iCs/>
          <w:color w:val="000000"/>
          <w:sz w:val="18"/>
          <w:szCs w:val="20"/>
        </w:rPr>
        <w:t xml:space="preserve"> </w:t>
      </w:r>
      <w:r>
        <w:rPr>
          <w:rFonts w:eastAsia="Times New Roman" w:cs="Times New Roman"/>
          <w:i/>
          <w:iCs/>
          <w:color w:val="000000"/>
          <w:sz w:val="18"/>
          <w:szCs w:val="20"/>
        </w:rPr>
        <w:t xml:space="preserve">е възможно да </w:t>
      </w:r>
      <w:r w:rsidRPr="00AA3F66">
        <w:rPr>
          <w:rFonts w:eastAsia="Times New Roman" w:cs="Times New Roman"/>
          <w:i/>
          <w:iCs/>
          <w:color w:val="000000"/>
          <w:sz w:val="18"/>
          <w:szCs w:val="20"/>
        </w:rPr>
        <w:t>не се изчерпва</w:t>
      </w:r>
      <w:r>
        <w:rPr>
          <w:rFonts w:eastAsia="Times New Roman" w:cs="Times New Roman"/>
          <w:i/>
          <w:iCs/>
          <w:color w:val="000000"/>
          <w:sz w:val="18"/>
          <w:szCs w:val="20"/>
        </w:rPr>
        <w:t>т</w:t>
      </w:r>
      <w:r w:rsidRPr="00AA3F66">
        <w:rPr>
          <w:rFonts w:eastAsia="Times New Roman" w:cs="Times New Roman"/>
          <w:i/>
          <w:iCs/>
          <w:color w:val="000000"/>
          <w:sz w:val="18"/>
          <w:szCs w:val="20"/>
        </w:rPr>
        <w:t xml:space="preserve"> от съставните </w:t>
      </w:r>
      <w:r>
        <w:rPr>
          <w:rFonts w:eastAsia="Times New Roman" w:cs="Times New Roman"/>
          <w:i/>
          <w:iCs/>
          <w:color w:val="000000"/>
          <w:sz w:val="18"/>
          <w:szCs w:val="20"/>
        </w:rPr>
        <w:t>им</w:t>
      </w:r>
      <w:r w:rsidRPr="00AA3F66">
        <w:rPr>
          <w:rFonts w:eastAsia="Times New Roman" w:cs="Times New Roman"/>
          <w:i/>
          <w:iCs/>
          <w:color w:val="000000"/>
          <w:sz w:val="18"/>
          <w:szCs w:val="20"/>
        </w:rPr>
        <w:t xml:space="preserve"> числа</w:t>
      </w:r>
      <w:r w:rsidRPr="00AA3F66">
        <w:rPr>
          <w:rFonts w:eastAsia="Batang" w:cs="Times New Roman"/>
          <w:sz w:val="18"/>
          <w:szCs w:val="18"/>
        </w:rPr>
        <w:t xml:space="preserve"> </w:t>
      </w:r>
    </w:p>
    <w:p w14:paraId="5E489E4F" w14:textId="77777777" w:rsidR="009139BD" w:rsidRPr="00AA3F66" w:rsidRDefault="009139BD" w:rsidP="007C7BEB">
      <w:pPr>
        <w:spacing w:before="120"/>
        <w:jc w:val="right"/>
        <w:rPr>
          <w:rFonts w:eastAsia="Batang" w:cs="Times New Roman"/>
          <w:sz w:val="18"/>
          <w:szCs w:val="18"/>
        </w:rPr>
      </w:pPr>
      <w:r w:rsidRPr="00AA3F66">
        <w:rPr>
          <w:rFonts w:eastAsia="Batang" w:cs="Times New Roman"/>
          <w:sz w:val="18"/>
          <w:szCs w:val="18"/>
        </w:rPr>
        <w:t>Източник: МФ</w:t>
      </w:r>
    </w:p>
    <w:p w14:paraId="22EE2BF8" w14:textId="77777777" w:rsidR="0076441A" w:rsidRPr="0076441A" w:rsidRDefault="0076441A" w:rsidP="0076441A">
      <w:pPr>
        <w:rPr>
          <w:rFonts w:eastAsia="Batang"/>
          <w:i/>
        </w:rPr>
      </w:pPr>
      <w:r w:rsidRPr="0076441A">
        <w:rPr>
          <w:rFonts w:eastAsia="Batang"/>
        </w:rPr>
        <w:t xml:space="preserve">В </w:t>
      </w:r>
      <w:r w:rsidRPr="0076441A">
        <w:rPr>
          <w:rFonts w:eastAsia="Batang"/>
          <w:i/>
        </w:rPr>
        <w:t>структурата на дълга по остатъчен матуритет</w:t>
      </w:r>
      <w:r w:rsidRPr="0076441A">
        <w:rPr>
          <w:rFonts w:eastAsia="Batang"/>
        </w:rPr>
        <w:t xml:space="preserve"> към края на 2025 г. се наблюдава  превес на дълга със срочност от 5 до 10 г. – 39,5% (при 31,4% за 2024 г.), следван от дълга със срочност над 10 г. – 30,2% (при 32,4% за 2024 г.), дълга със срочност от 1 до 5 г. – 26,2% (при 29,1% за 2024 г.) и този с матуритет до 1 г. – 4,1% (при 7,2% за 2024 г.). През целия прогнозен период се наблюдава запазване на преобладаващия дял на дълга с матуритет от 5 до 10 г. и на дълга с матуритет над 10 години.</w:t>
      </w:r>
    </w:p>
    <w:p w14:paraId="261998D2" w14:textId="77777777" w:rsidR="0076441A" w:rsidRPr="0076441A" w:rsidRDefault="0076441A" w:rsidP="0076441A">
      <w:pPr>
        <w:rPr>
          <w:rFonts w:eastAsia="Batang"/>
        </w:rPr>
      </w:pPr>
      <w:r w:rsidRPr="0076441A">
        <w:rPr>
          <w:rFonts w:eastAsia="Batang"/>
          <w:i/>
        </w:rPr>
        <w:t>В структурата на дълга по видове инструменти</w:t>
      </w:r>
      <w:r w:rsidRPr="0076441A">
        <w:rPr>
          <w:rFonts w:eastAsia="Batang"/>
        </w:rPr>
        <w:t xml:space="preserve"> в края на 2025 г. облигациите, емитирани на МКП и ДЦК емитирани на вътрешния пазар заемат доминантна позиция с дял от 92,0% (при 90,2% за 2024 г.). Тази тенденция се наблюдава през целия прогнозен период, като делът им нараства и се очаква в края на периода да достигне до 94,0%. Държавните и държавните инвестиционни заеми са с намаляващ дял, който в края на 2028 г. достига съответно до 5,8% и 0,2%. </w:t>
      </w:r>
    </w:p>
    <w:p w14:paraId="3F086DF5" w14:textId="77777777" w:rsidR="0076441A" w:rsidRPr="0076441A" w:rsidRDefault="0076441A" w:rsidP="0076441A">
      <w:pPr>
        <w:rPr>
          <w:rFonts w:eastAsia="Batang"/>
        </w:rPr>
      </w:pPr>
      <w:r w:rsidRPr="0076441A">
        <w:rPr>
          <w:rFonts w:eastAsia="Batang"/>
          <w:i/>
        </w:rPr>
        <w:t xml:space="preserve">Лихвената и валутната структура </w:t>
      </w:r>
      <w:r w:rsidRPr="0076441A">
        <w:rPr>
          <w:rFonts w:eastAsia="Batang"/>
        </w:rPr>
        <w:t xml:space="preserve">на дълга към края на 2025 г. се характеризират с ясно изразен превес на задълженията с фиксиран лихвен процент от 99,9% и на </w:t>
      </w:r>
      <w:proofErr w:type="spellStart"/>
      <w:r w:rsidRPr="0076441A">
        <w:rPr>
          <w:rFonts w:eastAsia="Batang"/>
        </w:rPr>
        <w:t>евровия</w:t>
      </w:r>
      <w:proofErr w:type="spellEnd"/>
      <w:r w:rsidRPr="0076441A">
        <w:rPr>
          <w:rFonts w:eastAsia="Batang"/>
        </w:rPr>
        <w:t xml:space="preserve"> и левовия компонент на дълга – 95</w:t>
      </w:r>
      <w:r w:rsidR="00FF132B">
        <w:rPr>
          <w:rFonts w:eastAsia="Batang"/>
        </w:rPr>
        <w:t>,8</w:t>
      </w:r>
      <w:r w:rsidRPr="0076441A">
        <w:rPr>
          <w:rFonts w:eastAsia="Batang"/>
        </w:rPr>
        <w:t xml:space="preserve">%. До края на периода се </w:t>
      </w:r>
      <w:r w:rsidR="00B55406">
        <w:rPr>
          <w:rFonts w:eastAsia="Batang"/>
        </w:rPr>
        <w:t xml:space="preserve">очаква целият държавен дълг да </w:t>
      </w:r>
      <w:r w:rsidRPr="0076441A">
        <w:rPr>
          <w:rFonts w:eastAsia="Batang"/>
        </w:rPr>
        <w:t xml:space="preserve">бъде съставен от дълг с фиксирани лихвени проценти, като 97,4% от дълга да бъде деноминиран в евро в контекста на въвеждането на еврото като </w:t>
      </w:r>
      <w:proofErr w:type="spellStart"/>
      <w:r w:rsidRPr="0076441A">
        <w:rPr>
          <w:rFonts w:eastAsia="Batang"/>
        </w:rPr>
        <w:t>официана</w:t>
      </w:r>
      <w:proofErr w:type="spellEnd"/>
      <w:r w:rsidRPr="0076441A">
        <w:rPr>
          <w:rFonts w:eastAsia="Batang"/>
        </w:rPr>
        <w:t xml:space="preserve"> в</w:t>
      </w:r>
      <w:r>
        <w:rPr>
          <w:rFonts w:eastAsia="Batang"/>
        </w:rPr>
        <w:t xml:space="preserve">алута на Република България от </w:t>
      </w:r>
      <w:r w:rsidRPr="0076441A">
        <w:rPr>
          <w:rFonts w:eastAsia="Batang"/>
        </w:rPr>
        <w:t>1 януари 2026 г.</w:t>
      </w:r>
    </w:p>
    <w:p w14:paraId="416F1649" w14:textId="77777777" w:rsidR="0076441A" w:rsidRPr="0076441A" w:rsidRDefault="0076441A" w:rsidP="0076441A">
      <w:pPr>
        <w:rPr>
          <w:rFonts w:eastAsia="Batang"/>
        </w:rPr>
      </w:pPr>
      <w:r w:rsidRPr="0076441A">
        <w:rPr>
          <w:rFonts w:eastAsia="Batang"/>
          <w:i/>
        </w:rPr>
        <w:t>В структурата на държавните заеми по кредитори</w:t>
      </w:r>
      <w:r w:rsidRPr="0076441A">
        <w:rPr>
          <w:rFonts w:eastAsia="Batang"/>
        </w:rPr>
        <w:t xml:space="preserve"> към края на 2025 г. най-голям дял имат получените заеми от Европейски съюз (в т.ч. от ЕИБ и ЕК) – 84,6% (при 82,3% за 2024 г.), като през следващите години се прогнозира запазване на доминантната им позиция. Очакванията са за нарастване на дела на заемите, получени от </w:t>
      </w:r>
      <w:r w:rsidR="00731D6E">
        <w:rPr>
          <w:rFonts w:eastAsia="Batang"/>
        </w:rPr>
        <w:t>БРСЕ и достигане на нива</w:t>
      </w:r>
      <w:r w:rsidRPr="0076441A">
        <w:rPr>
          <w:rFonts w:eastAsia="Batang"/>
        </w:rPr>
        <w:t xml:space="preserve"> около 13,5%, при намаляващ дял на заемите от МБВР</w:t>
      </w:r>
      <w:r w:rsidR="00333D34">
        <w:rPr>
          <w:rStyle w:val="FootnoteReference"/>
          <w:rFonts w:eastAsia="Batang"/>
        </w:rPr>
        <w:footnoteReference w:id="46"/>
      </w:r>
      <w:r w:rsidR="00333D34" w:rsidRPr="0076441A">
        <w:rPr>
          <w:rFonts w:eastAsia="Batang"/>
        </w:rPr>
        <w:t xml:space="preserve"> </w:t>
      </w:r>
      <w:r w:rsidRPr="0076441A">
        <w:rPr>
          <w:rFonts w:eastAsia="Batang"/>
        </w:rPr>
        <w:t>и на заемите от кредитори в раздел „Други</w:t>
      </w:r>
      <w:r w:rsidR="007833A5">
        <w:rPr>
          <w:rFonts w:eastAsia="Batang"/>
        </w:rPr>
        <w:t>“.</w:t>
      </w:r>
    </w:p>
    <w:p w14:paraId="5DB6D6E5" w14:textId="77777777" w:rsidR="0076441A" w:rsidRPr="0076441A" w:rsidRDefault="0076441A" w:rsidP="0076441A">
      <w:pPr>
        <w:rPr>
          <w:rFonts w:eastAsia="Batang"/>
        </w:rPr>
      </w:pPr>
      <w:r w:rsidRPr="0076441A">
        <w:rPr>
          <w:rFonts w:eastAsia="Batang"/>
          <w:b/>
        </w:rPr>
        <w:t>Лихвените разходи за обслужването на държавния дълг</w:t>
      </w:r>
      <w:r w:rsidRPr="0076441A">
        <w:rPr>
          <w:rFonts w:eastAsia="Batang"/>
        </w:rPr>
        <w:t xml:space="preserve"> през 2024 г. възлизат на 487,4 млн. евро (424,8 млн. евро по външния и 62,6 млн. евро по вътрешния). Към края на 2025 г. се очаква разходите за лихви да възлязат на 710,6 млн. евро, от които 602,6 млн. евро по външния и 107,9 млн. евро по вътрешния държавен дълг, като за периода 2026-2028 г. тенденцията за нарастване на лихвените разходи за обслужването на държавния дълг се запазва вследствие на прогнозираното увеличение на размера на дълга за целия период в комбинация с конюнктурата на местния и международните пазари на суверенен дълг, като съотношението на лихвените разходи спрямо прогнозния БВП в края на средносрочния хоризонт се очаква да достигне до 1,3% (0,5% в края на 2024 г.).</w:t>
      </w:r>
    </w:p>
    <w:p w14:paraId="4A5EEA01" w14:textId="77777777" w:rsidR="0076441A" w:rsidRDefault="0076441A" w:rsidP="007849B2">
      <w:pPr>
        <w:rPr>
          <w:rFonts w:eastAsia="Batang"/>
        </w:rPr>
      </w:pPr>
    </w:p>
    <w:p w14:paraId="364407E6" w14:textId="77777777" w:rsidR="007849B2" w:rsidRDefault="00082029" w:rsidP="0064339F">
      <w:pPr>
        <w:pStyle w:val="Caption"/>
        <w:keepNext/>
        <w:spacing w:after="240"/>
        <w:ind w:left="0" w:firstLine="0"/>
      </w:pPr>
      <w:r w:rsidRPr="00AA3F66">
        <w:lastRenderedPageBreak/>
        <w:t xml:space="preserve">Граф. </w:t>
      </w:r>
      <w:r w:rsidR="00974F02">
        <w:fldChar w:fldCharType="begin"/>
      </w:r>
      <w:r w:rsidR="00974F02">
        <w:instrText xml:space="preserve"> STYLEREF 1 \s </w:instrText>
      </w:r>
      <w:r w:rsidR="00974F02">
        <w:fldChar w:fldCharType="separate"/>
      </w:r>
      <w:r w:rsidR="00841DFA">
        <w:rPr>
          <w:noProof/>
        </w:rPr>
        <w:t>VI</w:t>
      </w:r>
      <w:r w:rsidR="00974F02">
        <w:rPr>
          <w:noProof/>
        </w:rPr>
        <w:fldChar w:fldCharType="end"/>
      </w:r>
      <w:r w:rsidRPr="00AA3F66">
        <w:noBreakHyphen/>
      </w:r>
      <w:r w:rsidR="00974F02">
        <w:fldChar w:fldCharType="begin"/>
      </w:r>
      <w:r w:rsidR="00974F02">
        <w:instrText xml:space="preserve"> SEQ Граф. \* ARABIC \s 1 </w:instrText>
      </w:r>
      <w:r w:rsidR="00974F02">
        <w:fldChar w:fldCharType="separate"/>
      </w:r>
      <w:r w:rsidR="00841DFA">
        <w:rPr>
          <w:noProof/>
        </w:rPr>
        <w:t>2</w:t>
      </w:r>
      <w:r w:rsidR="00974F02">
        <w:rPr>
          <w:noProof/>
        </w:rPr>
        <w:fldChar w:fldCharType="end"/>
      </w:r>
      <w:r w:rsidRPr="00AA3F66">
        <w:t>: Съотношение на лихвените разходи към БВП</w:t>
      </w:r>
      <w:r w:rsidR="00343886" w:rsidRPr="00AA3F66">
        <w:t xml:space="preserve"> по държавния бюджет</w:t>
      </w:r>
    </w:p>
    <w:p w14:paraId="6AEFCCBB" w14:textId="77777777" w:rsidR="002F2EEB" w:rsidRPr="006C5385" w:rsidRDefault="00A30D8C" w:rsidP="006C5385">
      <w:r>
        <w:rPr>
          <w:noProof/>
        </w:rPr>
        <w:drawing>
          <wp:inline distT="0" distB="0" distL="0" distR="0" wp14:anchorId="0B06D949" wp14:editId="20CA8ECD">
            <wp:extent cx="6090285" cy="253619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285" cy="2536190"/>
                    </a:xfrm>
                    <a:prstGeom prst="rect">
                      <a:avLst/>
                    </a:prstGeom>
                    <a:noFill/>
                  </pic:spPr>
                </pic:pic>
              </a:graphicData>
            </a:graphic>
          </wp:inline>
        </w:drawing>
      </w:r>
      <w:r w:rsidR="007849B2">
        <w:rPr>
          <w:rFonts w:eastAsia="Times New Roman" w:cs="Times New Roman"/>
          <w:i/>
          <w:iCs/>
          <w:color w:val="000000"/>
          <w:sz w:val="18"/>
          <w:szCs w:val="20"/>
        </w:rPr>
        <w:t>Забележка:</w:t>
      </w:r>
      <w:r w:rsidR="007849B2" w:rsidRPr="00AA3F66">
        <w:rPr>
          <w:rFonts w:eastAsia="Times New Roman" w:cs="Times New Roman"/>
          <w:i/>
          <w:iCs/>
          <w:color w:val="000000"/>
          <w:sz w:val="18"/>
          <w:szCs w:val="20"/>
        </w:rPr>
        <w:t xml:space="preserve"> Поради закръгления </w:t>
      </w:r>
      <w:r w:rsidR="007849B2">
        <w:rPr>
          <w:rFonts w:eastAsia="Times New Roman" w:cs="Times New Roman"/>
          <w:i/>
          <w:iCs/>
          <w:color w:val="000000"/>
          <w:sz w:val="18"/>
          <w:szCs w:val="20"/>
        </w:rPr>
        <w:t xml:space="preserve">някои от </w:t>
      </w:r>
      <w:r w:rsidR="007849B2" w:rsidRPr="00AA3F66">
        <w:rPr>
          <w:rFonts w:eastAsia="Times New Roman" w:cs="Times New Roman"/>
          <w:i/>
          <w:iCs/>
          <w:color w:val="000000"/>
          <w:sz w:val="18"/>
          <w:szCs w:val="20"/>
        </w:rPr>
        <w:t>сумарните позиции</w:t>
      </w:r>
      <w:r w:rsidR="007849B2">
        <w:rPr>
          <w:rFonts w:eastAsia="Times New Roman" w:cs="Times New Roman"/>
          <w:i/>
          <w:iCs/>
          <w:color w:val="000000"/>
          <w:sz w:val="18"/>
          <w:szCs w:val="20"/>
        </w:rPr>
        <w:t xml:space="preserve"> е възможно</w:t>
      </w:r>
      <w:r w:rsidR="007849B2" w:rsidRPr="00AA3F66">
        <w:rPr>
          <w:rFonts w:eastAsia="Times New Roman" w:cs="Times New Roman"/>
          <w:i/>
          <w:iCs/>
          <w:color w:val="000000"/>
          <w:sz w:val="18"/>
          <w:szCs w:val="20"/>
        </w:rPr>
        <w:t xml:space="preserve"> не се изчерпват от съставните им числа.</w:t>
      </w:r>
    </w:p>
    <w:p w14:paraId="0C8E1B65" w14:textId="77777777" w:rsidR="007849B2" w:rsidRPr="006C5385" w:rsidRDefault="002F2EEB" w:rsidP="006C5385">
      <w:pPr>
        <w:spacing w:after="60" w:line="276" w:lineRule="auto"/>
        <w:jc w:val="right"/>
        <w:rPr>
          <w:rFonts w:eastAsia="Calibri" w:cs="Times New Roman"/>
          <w:sz w:val="18"/>
          <w:szCs w:val="18"/>
          <w:lang w:eastAsia="en-US"/>
        </w:rPr>
      </w:pPr>
      <w:r w:rsidRPr="00AA3F66">
        <w:rPr>
          <w:rFonts w:eastAsia="Calibri" w:cs="Times New Roman"/>
          <w:sz w:val="18"/>
          <w:szCs w:val="18"/>
          <w:lang w:eastAsia="en-US"/>
        </w:rPr>
        <w:t>Из</w:t>
      </w:r>
      <w:r w:rsidR="006C5385">
        <w:rPr>
          <w:rFonts w:eastAsia="Calibri" w:cs="Times New Roman"/>
          <w:sz w:val="18"/>
          <w:szCs w:val="18"/>
          <w:lang w:eastAsia="en-US"/>
        </w:rPr>
        <w:t>точник: МФ</w:t>
      </w:r>
    </w:p>
    <w:p w14:paraId="42BDB61A" w14:textId="77777777" w:rsidR="00D427A3" w:rsidRPr="00AA3F66" w:rsidRDefault="00853713" w:rsidP="00B1660C">
      <w:pPr>
        <w:pStyle w:val="Heading2"/>
        <w:numPr>
          <w:ilvl w:val="1"/>
          <w:numId w:val="3"/>
        </w:numPr>
      </w:pPr>
      <w:bookmarkStart w:id="443" w:name="_Toc216029363"/>
      <w:bookmarkStart w:id="444" w:name="_Toc464224812"/>
      <w:bookmarkStart w:id="445" w:name="_Toc464225462"/>
      <w:bookmarkStart w:id="446" w:name="_Toc464459009"/>
      <w:bookmarkStart w:id="447" w:name="_Toc464459757"/>
      <w:bookmarkStart w:id="448" w:name="_Toc464460710"/>
      <w:bookmarkStart w:id="449" w:name="_Toc464463109"/>
      <w:bookmarkStart w:id="450" w:name="_Toc464464938"/>
      <w:bookmarkStart w:id="451" w:name="_Toc464465445"/>
      <w:bookmarkStart w:id="452" w:name="_Toc464465631"/>
      <w:bookmarkStart w:id="453" w:name="_Toc464466456"/>
      <w:bookmarkStart w:id="454" w:name="_Toc464466700"/>
      <w:bookmarkStart w:id="455" w:name="_Toc464645020"/>
      <w:bookmarkStart w:id="456" w:name="_Toc465205570"/>
      <w:r w:rsidRPr="00AA3F66">
        <w:t>Д</w:t>
      </w:r>
      <w:r w:rsidR="00D427A3" w:rsidRPr="00AA3F66">
        <w:t>ържавногарантиран дълг</w:t>
      </w:r>
      <w:bookmarkEnd w:id="443"/>
    </w:p>
    <w:bookmarkEnd w:id="444"/>
    <w:bookmarkEnd w:id="445"/>
    <w:bookmarkEnd w:id="446"/>
    <w:bookmarkEnd w:id="447"/>
    <w:bookmarkEnd w:id="448"/>
    <w:bookmarkEnd w:id="449"/>
    <w:bookmarkEnd w:id="450"/>
    <w:bookmarkEnd w:id="451"/>
    <w:bookmarkEnd w:id="452"/>
    <w:bookmarkEnd w:id="453"/>
    <w:bookmarkEnd w:id="454"/>
    <w:bookmarkEnd w:id="455"/>
    <w:bookmarkEnd w:id="456"/>
    <w:p w14:paraId="02FFD712" w14:textId="77777777" w:rsidR="00035BD3" w:rsidRPr="0064339F" w:rsidRDefault="00035BD3" w:rsidP="00035BD3">
      <w:pPr>
        <w:rPr>
          <w:rFonts w:eastAsia="Batang" w:cs="Times New Roman"/>
          <w:szCs w:val="24"/>
        </w:rPr>
      </w:pPr>
      <w:r w:rsidRPr="00035BD3">
        <w:rPr>
          <w:rFonts w:eastAsia="Batang" w:cs="Times New Roman"/>
          <w:szCs w:val="24"/>
        </w:rPr>
        <w:t>Към 31.12.2024 г</w:t>
      </w:r>
      <w:r w:rsidRPr="0064339F">
        <w:rPr>
          <w:rFonts w:eastAsia="Batang" w:cs="Times New Roman"/>
          <w:szCs w:val="24"/>
        </w:rPr>
        <w:t xml:space="preserve">. нивото на държавногарантирания дълг достига до 869,0 млн. евро, като съотношението му спрямо БВП намалява до 0,8% спрямо нивото от предходната година (0,9%). Външният държавногарантиран дълг възлиза на 745,1 млн. евро, а вътрешният на 123,9 млн. евро. Доминиращ дял продължават да имат издадените държавни гаранции за сектор „Финансов“ – 46,0%, следвани от сектор „Енергетика“ – 28,6%, сектор „Инструменти на ЕС“ – 18,4%, сектор „Транспорт“ – 3,3%, сектор „Образование“ – 3,1% и сектор „Други“ – 0,5%. </w:t>
      </w:r>
    </w:p>
    <w:p w14:paraId="2BEA75ED" w14:textId="77777777" w:rsidR="00035BD3" w:rsidRPr="0064339F" w:rsidRDefault="00035BD3" w:rsidP="00035BD3">
      <w:pPr>
        <w:rPr>
          <w:rFonts w:eastAsia="Batang" w:cs="Times New Roman"/>
          <w:szCs w:val="24"/>
        </w:rPr>
      </w:pPr>
      <w:r w:rsidRPr="0064339F">
        <w:rPr>
          <w:rFonts w:eastAsia="Batang" w:cs="Times New Roman"/>
          <w:szCs w:val="24"/>
        </w:rPr>
        <w:t xml:space="preserve">В рамките на ограничението за максималния размер на държавните гаранции, които могат да бъдат издадени през 2025 г. (до 3,5 млрд. евро съгласно ЗДБРБ за 2025 г.) са издадени вътрешни държавни гаранции в </w:t>
      </w:r>
      <w:proofErr w:type="spellStart"/>
      <w:r w:rsidRPr="0064339F">
        <w:rPr>
          <w:rFonts w:eastAsia="Batang" w:cs="Times New Roman"/>
          <w:szCs w:val="24"/>
        </w:rPr>
        <w:t>обш</w:t>
      </w:r>
      <w:proofErr w:type="spellEnd"/>
      <w:r w:rsidRPr="0064339F">
        <w:rPr>
          <w:rFonts w:eastAsia="Batang" w:cs="Times New Roman"/>
          <w:szCs w:val="24"/>
        </w:rPr>
        <w:t xml:space="preserve"> размер на 127,3 млн. евро в </w:t>
      </w:r>
      <w:proofErr w:type="spellStart"/>
      <w:r w:rsidRPr="0064339F">
        <w:rPr>
          <w:rFonts w:eastAsia="Batang" w:cs="Times New Roman"/>
          <w:szCs w:val="24"/>
        </w:rPr>
        <w:t>в</w:t>
      </w:r>
      <w:proofErr w:type="spellEnd"/>
      <w:r w:rsidRPr="0064339F">
        <w:rPr>
          <w:rFonts w:eastAsia="Batang" w:cs="Times New Roman"/>
          <w:szCs w:val="24"/>
        </w:rPr>
        <w:t xml:space="preserve"> полза на „Булгартрансгаз“ ЕАД във връзка с Договори за дългосрочни кредити с „Обединена Българска Банка“ АД (102,3 млн. евро) и „Инвестбанк“ АД (25,0 млн. евро) за частично финансиране на проекта „Разширение на газопреносната инфраструктура на „Булгартрансгаз“ ЕАД за изпълнение на инициативата Вертикален коридор на газопреносните оператори на България, Гърция, Румъния, Унгария, Словакия, Украйна и Молдова“. Очакванията са държавногарантирания дълг към края на 2025 г. да достигне до 769,1 млн. евро или 0,7% от БВП.</w:t>
      </w:r>
    </w:p>
    <w:p w14:paraId="5CBADB44" w14:textId="77777777" w:rsidR="00035BD3" w:rsidRPr="0064339F" w:rsidRDefault="00035BD3" w:rsidP="00035BD3">
      <w:pPr>
        <w:rPr>
          <w:rFonts w:eastAsia="Batang" w:cs="Times New Roman"/>
          <w:szCs w:val="24"/>
        </w:rPr>
      </w:pPr>
      <w:r w:rsidRPr="0064339F">
        <w:rPr>
          <w:rFonts w:eastAsia="Batang" w:cs="Times New Roman"/>
          <w:szCs w:val="24"/>
        </w:rPr>
        <w:t>В проекта на ЗДБРБ за 2026 г. е предвидено да бъдат издадени държавни гаранции в общ размер до 3 800</w:t>
      </w:r>
      <w:r w:rsidR="009D074C">
        <w:rPr>
          <w:rFonts w:eastAsia="Batang" w:cs="Times New Roman"/>
          <w:szCs w:val="24"/>
        </w:rPr>
        <w:t>,0</w:t>
      </w:r>
      <w:r w:rsidRPr="0064339F">
        <w:rPr>
          <w:rFonts w:eastAsia="Batang" w:cs="Times New Roman"/>
          <w:szCs w:val="24"/>
        </w:rPr>
        <w:t xml:space="preserve"> млн. евро, които бяха предвидени за издаване в ЗДБРБ за 2025 г. и няма да се реализират до края на годината, в т.ч. както следва:</w:t>
      </w:r>
    </w:p>
    <w:p w14:paraId="077AAC34" w14:textId="77777777" w:rsidR="00035BD3" w:rsidRPr="0064339F" w:rsidRDefault="00035BD3" w:rsidP="005B790D">
      <w:pPr>
        <w:numPr>
          <w:ilvl w:val="0"/>
          <w:numId w:val="28"/>
        </w:numPr>
        <w:rPr>
          <w:rFonts w:eastAsia="Batang" w:cs="Times New Roman"/>
          <w:szCs w:val="24"/>
        </w:rPr>
      </w:pPr>
      <w:r w:rsidRPr="0064339F">
        <w:rPr>
          <w:rFonts w:eastAsia="Batang" w:cs="Times New Roman"/>
          <w:szCs w:val="24"/>
        </w:rPr>
        <w:t>По реда на Закона за държавния дълг в размер до 2 050</w:t>
      </w:r>
      <w:r w:rsidR="009D074C">
        <w:rPr>
          <w:rFonts w:eastAsia="Batang" w:cs="Times New Roman"/>
          <w:szCs w:val="24"/>
        </w:rPr>
        <w:t>,0</w:t>
      </w:r>
      <w:r w:rsidRPr="0064339F">
        <w:rPr>
          <w:rFonts w:eastAsia="Batang" w:cs="Times New Roman"/>
          <w:szCs w:val="24"/>
        </w:rPr>
        <w:t xml:space="preserve"> млн. евро, за финансиране на инвестиционните проекти: </w:t>
      </w:r>
    </w:p>
    <w:p w14:paraId="082CFAF8" w14:textId="77777777" w:rsidR="00035BD3" w:rsidRPr="0064339F" w:rsidRDefault="00035BD3" w:rsidP="00035BD3">
      <w:pPr>
        <w:rPr>
          <w:rFonts w:eastAsia="Batang" w:cs="Times New Roman"/>
          <w:szCs w:val="24"/>
        </w:rPr>
      </w:pPr>
      <w:r w:rsidRPr="0064339F">
        <w:rPr>
          <w:rFonts w:eastAsia="Batang" w:cs="Times New Roman"/>
          <w:szCs w:val="24"/>
        </w:rPr>
        <w:t>1.</w:t>
      </w:r>
      <w:r w:rsidRPr="0064339F">
        <w:rPr>
          <w:rFonts w:eastAsia="Batang" w:cs="Times New Roman"/>
          <w:szCs w:val="24"/>
        </w:rPr>
        <w:tab/>
        <w:t>на „Булгартрансгаз“ ЕАД в размер до 192</w:t>
      </w:r>
      <w:r w:rsidRPr="0064339F">
        <w:rPr>
          <w:rFonts w:eastAsia="Batang" w:cs="Times New Roman"/>
          <w:szCs w:val="24"/>
          <w:lang w:val="en-US"/>
        </w:rPr>
        <w:t> </w:t>
      </w:r>
      <w:r w:rsidRPr="0064339F">
        <w:rPr>
          <w:rFonts w:eastAsia="Batang" w:cs="Times New Roman"/>
          <w:szCs w:val="24"/>
        </w:rPr>
        <w:t xml:space="preserve">299 056 евро (или тяхната равностойност в друга валута) за финансиране на инвестиционен проект „Разширение на газопреносната инфраструктура на „Булгартрансгаз“ ЕАД във връзка с инициативата </w:t>
      </w:r>
      <w:r w:rsidRPr="0064339F">
        <w:rPr>
          <w:rFonts w:eastAsia="Batang" w:cs="Times New Roman"/>
          <w:szCs w:val="24"/>
        </w:rPr>
        <w:lastRenderedPageBreak/>
        <w:t>Вертикален коридор на газопреносните оператори на България, Гърция, Румъния, Унгария, Словакия, Украйна и Молдова“, осигуряваща възможност за пренос на допълнителни обеми природен газ, при спазване на законодателството в областта на държавните помощи, чрез реализация на следните инвестиционни проекти:</w:t>
      </w:r>
    </w:p>
    <w:p w14:paraId="40A4B8C9" w14:textId="77777777" w:rsidR="00035BD3" w:rsidRPr="0064339F" w:rsidRDefault="00035BD3" w:rsidP="00035BD3">
      <w:pPr>
        <w:rPr>
          <w:rFonts w:eastAsia="Batang" w:cs="Times New Roman"/>
          <w:szCs w:val="24"/>
        </w:rPr>
      </w:pPr>
      <w:r w:rsidRPr="0064339F">
        <w:rPr>
          <w:rFonts w:eastAsia="Batang" w:cs="Times New Roman"/>
          <w:szCs w:val="24"/>
        </w:rPr>
        <w:t>а) „Повишаване на капацитета за пренос на природен газ в точка на междусистемно свързване Кулата/</w:t>
      </w:r>
      <w:proofErr w:type="spellStart"/>
      <w:r w:rsidRPr="0064339F">
        <w:rPr>
          <w:rFonts w:eastAsia="Batang" w:cs="Times New Roman"/>
          <w:szCs w:val="24"/>
        </w:rPr>
        <w:t>Сидирокастро</w:t>
      </w:r>
      <w:proofErr w:type="spellEnd"/>
      <w:r w:rsidRPr="0064339F">
        <w:rPr>
          <w:rFonts w:eastAsia="Batang" w:cs="Times New Roman"/>
          <w:szCs w:val="24"/>
        </w:rPr>
        <w:t xml:space="preserve"> в посока от Гърция към България“;</w:t>
      </w:r>
    </w:p>
    <w:p w14:paraId="0A51D5CF" w14:textId="77777777" w:rsidR="00035BD3" w:rsidRPr="0064339F" w:rsidRDefault="00035BD3" w:rsidP="00035BD3">
      <w:pPr>
        <w:rPr>
          <w:rFonts w:eastAsia="Batang" w:cs="Times New Roman"/>
          <w:szCs w:val="24"/>
        </w:rPr>
      </w:pPr>
      <w:r w:rsidRPr="0064339F">
        <w:rPr>
          <w:rFonts w:eastAsia="Batang" w:cs="Times New Roman"/>
          <w:szCs w:val="24"/>
        </w:rPr>
        <w:t xml:space="preserve">б) „Повишаване на капацитета за пренос на природен газ в точка на междусистемно свързване </w:t>
      </w:r>
      <w:proofErr w:type="spellStart"/>
      <w:r w:rsidRPr="0064339F">
        <w:rPr>
          <w:rFonts w:eastAsia="Batang" w:cs="Times New Roman"/>
          <w:szCs w:val="24"/>
        </w:rPr>
        <w:t>Негру</w:t>
      </w:r>
      <w:proofErr w:type="spellEnd"/>
      <w:r w:rsidRPr="0064339F">
        <w:rPr>
          <w:rFonts w:eastAsia="Batang" w:cs="Times New Roman"/>
          <w:szCs w:val="24"/>
        </w:rPr>
        <w:t xml:space="preserve"> Вода/Кардам в посока от България към Румъния“;</w:t>
      </w:r>
    </w:p>
    <w:p w14:paraId="00841110" w14:textId="77777777" w:rsidR="00035BD3" w:rsidRPr="0064339F" w:rsidRDefault="00035BD3" w:rsidP="00035BD3">
      <w:pPr>
        <w:rPr>
          <w:rFonts w:eastAsia="Batang" w:cs="Times New Roman"/>
          <w:szCs w:val="24"/>
        </w:rPr>
      </w:pPr>
      <w:r w:rsidRPr="0064339F">
        <w:rPr>
          <w:rFonts w:eastAsia="Batang" w:cs="Times New Roman"/>
          <w:szCs w:val="24"/>
        </w:rPr>
        <w:t>в) „Довеждаща газопреносна инфраструктура с високо налягане за захранване на потребители в Източномаришкия регион“.</w:t>
      </w:r>
    </w:p>
    <w:p w14:paraId="658F4264" w14:textId="77777777" w:rsidR="00035BD3" w:rsidRPr="0064339F" w:rsidRDefault="00035BD3" w:rsidP="00035BD3">
      <w:pPr>
        <w:rPr>
          <w:rFonts w:eastAsia="Batang" w:cs="Times New Roman"/>
          <w:szCs w:val="24"/>
        </w:rPr>
      </w:pPr>
      <w:r w:rsidRPr="0064339F">
        <w:rPr>
          <w:rFonts w:eastAsia="Batang" w:cs="Times New Roman"/>
          <w:szCs w:val="24"/>
        </w:rPr>
        <w:t>2.</w:t>
      </w:r>
      <w:r w:rsidRPr="0064339F">
        <w:rPr>
          <w:rFonts w:eastAsia="Batang" w:cs="Times New Roman"/>
          <w:szCs w:val="24"/>
        </w:rPr>
        <w:tab/>
        <w:t xml:space="preserve">на „Булгартрансгаз“ </w:t>
      </w:r>
      <w:r w:rsidR="005B3466">
        <w:rPr>
          <w:rFonts w:eastAsia="Batang" w:cs="Times New Roman"/>
          <w:szCs w:val="24"/>
        </w:rPr>
        <w:t xml:space="preserve">ЕАД </w:t>
      </w:r>
      <w:r w:rsidRPr="0064339F">
        <w:rPr>
          <w:rFonts w:eastAsia="Batang" w:cs="Times New Roman"/>
          <w:szCs w:val="24"/>
        </w:rPr>
        <w:t>по проект от общ интерес 6.20.2 „Разширение на капацитета на ПГХ</w:t>
      </w:r>
      <w:r w:rsidRPr="0064339F">
        <w:rPr>
          <w:rFonts w:eastAsia="Batang" w:cs="Times New Roman"/>
          <w:szCs w:val="24"/>
          <w:vertAlign w:val="superscript"/>
        </w:rPr>
        <w:footnoteReference w:id="47"/>
      </w:r>
      <w:r w:rsidRPr="0064339F">
        <w:rPr>
          <w:rFonts w:eastAsia="Batang" w:cs="Times New Roman"/>
          <w:szCs w:val="24"/>
        </w:rPr>
        <w:t xml:space="preserve"> Чирен“, в размер до 207 586 411 евро (или тяхната равностойност в друга валута), при спазване на условията в решението на ЕК по дело за държавна помощ SA.106120 (2023/N) – </w:t>
      </w:r>
      <w:proofErr w:type="spellStart"/>
      <w:r w:rsidRPr="0064339F">
        <w:rPr>
          <w:rFonts w:eastAsia="Batang" w:cs="Times New Roman"/>
          <w:szCs w:val="24"/>
        </w:rPr>
        <w:t>Bulgaria</w:t>
      </w:r>
      <w:proofErr w:type="spellEnd"/>
      <w:r w:rsidRPr="0064339F">
        <w:rPr>
          <w:rFonts w:eastAsia="Batang" w:cs="Times New Roman"/>
          <w:szCs w:val="24"/>
        </w:rPr>
        <w:t xml:space="preserve"> State </w:t>
      </w:r>
      <w:proofErr w:type="spellStart"/>
      <w:r w:rsidRPr="0064339F">
        <w:rPr>
          <w:rFonts w:eastAsia="Batang" w:cs="Times New Roman"/>
          <w:szCs w:val="24"/>
        </w:rPr>
        <w:t>guarantee</w:t>
      </w:r>
      <w:proofErr w:type="spellEnd"/>
      <w:r w:rsidRPr="0064339F">
        <w:rPr>
          <w:rFonts w:eastAsia="Batang" w:cs="Times New Roman"/>
          <w:szCs w:val="24"/>
        </w:rPr>
        <w:t xml:space="preserve"> </w:t>
      </w:r>
      <w:proofErr w:type="spellStart"/>
      <w:r w:rsidRPr="0064339F">
        <w:rPr>
          <w:rFonts w:eastAsia="Batang" w:cs="Times New Roman"/>
          <w:szCs w:val="24"/>
        </w:rPr>
        <w:t>to</w:t>
      </w:r>
      <w:proofErr w:type="spellEnd"/>
      <w:r w:rsidRPr="0064339F">
        <w:rPr>
          <w:rFonts w:eastAsia="Batang" w:cs="Times New Roman"/>
          <w:szCs w:val="24"/>
        </w:rPr>
        <w:t xml:space="preserve"> </w:t>
      </w:r>
      <w:proofErr w:type="spellStart"/>
      <w:r w:rsidRPr="0064339F">
        <w:rPr>
          <w:rFonts w:eastAsia="Batang" w:cs="Times New Roman"/>
          <w:szCs w:val="24"/>
        </w:rPr>
        <w:t>Bulgartransgaz</w:t>
      </w:r>
      <w:proofErr w:type="spellEnd"/>
      <w:r w:rsidRPr="0064339F">
        <w:rPr>
          <w:rFonts w:eastAsia="Batang" w:cs="Times New Roman"/>
          <w:szCs w:val="24"/>
        </w:rPr>
        <w:t xml:space="preserve"> EAD </w:t>
      </w:r>
      <w:proofErr w:type="spellStart"/>
      <w:r w:rsidRPr="0064339F">
        <w:rPr>
          <w:rFonts w:eastAsia="Batang" w:cs="Times New Roman"/>
          <w:szCs w:val="24"/>
        </w:rPr>
        <w:t>for</w:t>
      </w:r>
      <w:proofErr w:type="spellEnd"/>
      <w:r w:rsidRPr="0064339F">
        <w:rPr>
          <w:rFonts w:eastAsia="Batang" w:cs="Times New Roman"/>
          <w:szCs w:val="24"/>
        </w:rPr>
        <w:t xml:space="preserve"> </w:t>
      </w:r>
      <w:proofErr w:type="spellStart"/>
      <w:r w:rsidRPr="0064339F">
        <w:rPr>
          <w:rFonts w:eastAsia="Batang" w:cs="Times New Roman"/>
          <w:szCs w:val="24"/>
        </w:rPr>
        <w:t>expansion</w:t>
      </w:r>
      <w:proofErr w:type="spellEnd"/>
      <w:r w:rsidRPr="0064339F">
        <w:rPr>
          <w:rFonts w:eastAsia="Batang" w:cs="Times New Roman"/>
          <w:szCs w:val="24"/>
        </w:rPr>
        <w:t xml:space="preserve"> </w:t>
      </w:r>
      <w:proofErr w:type="spellStart"/>
      <w:r w:rsidRPr="0064339F">
        <w:rPr>
          <w:rFonts w:eastAsia="Batang" w:cs="Times New Roman"/>
          <w:szCs w:val="24"/>
        </w:rPr>
        <w:t>of</w:t>
      </w:r>
      <w:proofErr w:type="spellEnd"/>
      <w:r w:rsidRPr="0064339F">
        <w:rPr>
          <w:rFonts w:eastAsia="Batang" w:cs="Times New Roman"/>
          <w:szCs w:val="24"/>
        </w:rPr>
        <w:t xml:space="preserve"> </w:t>
      </w:r>
      <w:proofErr w:type="spellStart"/>
      <w:r w:rsidRPr="0064339F">
        <w:rPr>
          <w:rFonts w:eastAsia="Batang" w:cs="Times New Roman"/>
          <w:szCs w:val="24"/>
        </w:rPr>
        <w:t>the</w:t>
      </w:r>
      <w:proofErr w:type="spellEnd"/>
      <w:r w:rsidRPr="0064339F">
        <w:rPr>
          <w:rFonts w:eastAsia="Batang" w:cs="Times New Roman"/>
          <w:szCs w:val="24"/>
        </w:rPr>
        <w:t xml:space="preserve"> </w:t>
      </w:r>
      <w:proofErr w:type="spellStart"/>
      <w:r w:rsidRPr="0064339F">
        <w:rPr>
          <w:rFonts w:eastAsia="Batang" w:cs="Times New Roman"/>
          <w:szCs w:val="24"/>
        </w:rPr>
        <w:t>capacity</w:t>
      </w:r>
      <w:proofErr w:type="spellEnd"/>
      <w:r w:rsidRPr="0064339F">
        <w:rPr>
          <w:rFonts w:eastAsia="Batang" w:cs="Times New Roman"/>
          <w:szCs w:val="24"/>
        </w:rPr>
        <w:t xml:space="preserve"> </w:t>
      </w:r>
      <w:proofErr w:type="spellStart"/>
      <w:r w:rsidRPr="0064339F">
        <w:rPr>
          <w:rFonts w:eastAsia="Batang" w:cs="Times New Roman"/>
          <w:szCs w:val="24"/>
        </w:rPr>
        <w:t>of</w:t>
      </w:r>
      <w:proofErr w:type="spellEnd"/>
      <w:r w:rsidRPr="0064339F">
        <w:rPr>
          <w:rFonts w:eastAsia="Batang" w:cs="Times New Roman"/>
          <w:szCs w:val="24"/>
        </w:rPr>
        <w:t xml:space="preserve"> </w:t>
      </w:r>
      <w:proofErr w:type="spellStart"/>
      <w:r w:rsidRPr="0064339F">
        <w:rPr>
          <w:rFonts w:eastAsia="Batang" w:cs="Times New Roman"/>
          <w:szCs w:val="24"/>
        </w:rPr>
        <w:t>the</w:t>
      </w:r>
      <w:proofErr w:type="spellEnd"/>
      <w:r w:rsidRPr="0064339F">
        <w:rPr>
          <w:rFonts w:eastAsia="Batang" w:cs="Times New Roman"/>
          <w:szCs w:val="24"/>
        </w:rPr>
        <w:t xml:space="preserve"> </w:t>
      </w:r>
      <w:proofErr w:type="spellStart"/>
      <w:r w:rsidRPr="0064339F">
        <w:rPr>
          <w:rFonts w:eastAsia="Batang" w:cs="Times New Roman"/>
          <w:szCs w:val="24"/>
        </w:rPr>
        <w:t>Chiren</w:t>
      </w:r>
      <w:proofErr w:type="spellEnd"/>
      <w:r w:rsidRPr="0064339F">
        <w:rPr>
          <w:rFonts w:eastAsia="Batang" w:cs="Times New Roman"/>
          <w:szCs w:val="24"/>
        </w:rPr>
        <w:t xml:space="preserve"> </w:t>
      </w:r>
      <w:proofErr w:type="spellStart"/>
      <w:r w:rsidRPr="0064339F">
        <w:rPr>
          <w:rFonts w:eastAsia="Batang" w:cs="Times New Roman"/>
          <w:szCs w:val="24"/>
        </w:rPr>
        <w:t>natural</w:t>
      </w:r>
      <w:proofErr w:type="spellEnd"/>
      <w:r w:rsidRPr="0064339F">
        <w:rPr>
          <w:rFonts w:eastAsia="Batang" w:cs="Times New Roman"/>
          <w:szCs w:val="24"/>
        </w:rPr>
        <w:t xml:space="preserve"> </w:t>
      </w:r>
      <w:proofErr w:type="spellStart"/>
      <w:r w:rsidRPr="0064339F">
        <w:rPr>
          <w:rFonts w:eastAsia="Batang" w:cs="Times New Roman"/>
          <w:szCs w:val="24"/>
        </w:rPr>
        <w:t>gas</w:t>
      </w:r>
      <w:proofErr w:type="spellEnd"/>
      <w:r w:rsidRPr="0064339F">
        <w:rPr>
          <w:rFonts w:eastAsia="Batang" w:cs="Times New Roman"/>
          <w:szCs w:val="24"/>
        </w:rPr>
        <w:t xml:space="preserve"> </w:t>
      </w:r>
      <w:proofErr w:type="spellStart"/>
      <w:r w:rsidRPr="0064339F">
        <w:rPr>
          <w:rFonts w:eastAsia="Batang" w:cs="Times New Roman"/>
          <w:szCs w:val="24"/>
        </w:rPr>
        <w:t>storage</w:t>
      </w:r>
      <w:proofErr w:type="spellEnd"/>
      <w:r w:rsidRPr="0064339F">
        <w:rPr>
          <w:rFonts w:eastAsia="Batang" w:cs="Times New Roman"/>
          <w:szCs w:val="24"/>
        </w:rPr>
        <w:t xml:space="preserve"> </w:t>
      </w:r>
      <w:proofErr w:type="spellStart"/>
      <w:r w:rsidRPr="0064339F">
        <w:rPr>
          <w:rFonts w:eastAsia="Batang" w:cs="Times New Roman"/>
          <w:szCs w:val="24"/>
        </w:rPr>
        <w:t>facility</w:t>
      </w:r>
      <w:proofErr w:type="spellEnd"/>
      <w:r w:rsidRPr="0064339F">
        <w:rPr>
          <w:rFonts w:eastAsia="Batang" w:cs="Times New Roman"/>
          <w:szCs w:val="24"/>
        </w:rPr>
        <w:t>;</w:t>
      </w:r>
    </w:p>
    <w:p w14:paraId="43F2DD48" w14:textId="77777777" w:rsidR="00035BD3" w:rsidRPr="0064339F" w:rsidRDefault="00035BD3" w:rsidP="00035BD3">
      <w:pPr>
        <w:rPr>
          <w:rFonts w:eastAsia="Batang" w:cs="Times New Roman"/>
          <w:szCs w:val="24"/>
        </w:rPr>
      </w:pPr>
      <w:r w:rsidRPr="0064339F">
        <w:rPr>
          <w:rFonts w:eastAsia="Batang" w:cs="Times New Roman"/>
          <w:szCs w:val="24"/>
        </w:rPr>
        <w:t>3.</w:t>
      </w:r>
      <w:r w:rsidRPr="0064339F">
        <w:rPr>
          <w:rFonts w:eastAsia="Batang" w:cs="Times New Roman"/>
          <w:szCs w:val="24"/>
        </w:rPr>
        <w:tab/>
        <w:t>на „Националната Електрическа Компания“ ЕАД за финансиране на инвестиционен проект „Модернизация и рехабилитация на ПАВЕЦ</w:t>
      </w:r>
      <w:r w:rsidRPr="0064339F">
        <w:rPr>
          <w:rFonts w:eastAsia="Batang" w:cs="Times New Roman"/>
          <w:szCs w:val="24"/>
          <w:vertAlign w:val="superscript"/>
        </w:rPr>
        <w:footnoteReference w:id="48"/>
      </w:r>
      <w:r w:rsidRPr="0064339F">
        <w:rPr>
          <w:rFonts w:eastAsia="Batang" w:cs="Times New Roman"/>
          <w:szCs w:val="24"/>
        </w:rPr>
        <w:t xml:space="preserve"> „Чаира“, в размер до 79 250 242 евро (или тяхната равностойност в друга валута), при спазване на законодателството в областта на държавните помощи.</w:t>
      </w:r>
    </w:p>
    <w:p w14:paraId="571FE820" w14:textId="77777777" w:rsidR="00035BD3" w:rsidRPr="0064339F" w:rsidRDefault="00035BD3" w:rsidP="00035BD3">
      <w:pPr>
        <w:rPr>
          <w:rFonts w:eastAsia="Batang" w:cs="Times New Roman"/>
          <w:szCs w:val="24"/>
        </w:rPr>
      </w:pPr>
      <w:r w:rsidRPr="0064339F">
        <w:rPr>
          <w:rFonts w:eastAsia="Batang" w:cs="Times New Roman"/>
          <w:szCs w:val="24"/>
        </w:rPr>
        <w:t>4.</w:t>
      </w:r>
      <w:r w:rsidRPr="0064339F">
        <w:rPr>
          <w:rFonts w:eastAsia="Batang" w:cs="Times New Roman"/>
          <w:szCs w:val="24"/>
        </w:rPr>
        <w:tab/>
        <w:t>на „Националната Електрическа Компания“ ЕАД за финансиране на инвестиционен проект „Увеличаване обема на долния изравнител на ПАВЕЦ „Чаира“ с изграждането на язовир „Яденица“ и реверсивен напорен тунел за връзка с язовир „Чаира“ в размер до 38 346 891 евро (или тяхната равностойност в друга валута), при спазване на законодателството в областта на държавните помощи.</w:t>
      </w:r>
    </w:p>
    <w:p w14:paraId="7E18ECB6" w14:textId="77777777" w:rsidR="00035BD3" w:rsidRPr="0064339F" w:rsidRDefault="00035BD3" w:rsidP="00035BD3">
      <w:pPr>
        <w:rPr>
          <w:rFonts w:eastAsia="Batang" w:cs="Times New Roman"/>
          <w:szCs w:val="24"/>
        </w:rPr>
      </w:pPr>
      <w:r w:rsidRPr="0064339F">
        <w:rPr>
          <w:rFonts w:eastAsia="Batang" w:cs="Times New Roman"/>
          <w:szCs w:val="24"/>
        </w:rPr>
        <w:t>5.</w:t>
      </w:r>
      <w:r w:rsidRPr="0064339F">
        <w:rPr>
          <w:rFonts w:eastAsia="Batang" w:cs="Times New Roman"/>
          <w:szCs w:val="24"/>
        </w:rPr>
        <w:tab/>
        <w:t>за финансиране на инвестиционен проект „Изграждане на нова ядрена мощност от най-ново поколение на площадка на АЕЦ „Козлодуй“ (7 блок) в одобрения размер до 1 500 417 089 евро (или тяхната равностойност в друга валута), при спазване на законодателството в областта на държавните помощи.</w:t>
      </w:r>
    </w:p>
    <w:p w14:paraId="1D3E0133" w14:textId="77777777" w:rsidR="00035BD3" w:rsidRPr="0064339F" w:rsidRDefault="00035BD3" w:rsidP="005B790D">
      <w:pPr>
        <w:numPr>
          <w:ilvl w:val="0"/>
          <w:numId w:val="28"/>
        </w:numPr>
        <w:rPr>
          <w:rFonts w:eastAsia="Batang" w:cs="Times New Roman"/>
          <w:szCs w:val="24"/>
        </w:rPr>
      </w:pPr>
      <w:r w:rsidRPr="0064339F">
        <w:rPr>
          <w:rFonts w:eastAsia="Batang" w:cs="Times New Roman"/>
          <w:szCs w:val="24"/>
        </w:rPr>
        <w:t>На други държавни гаранции по чл. 37, ал. 1, т. 4 от Закона за публичните финанси в размер до 1 750</w:t>
      </w:r>
      <w:r w:rsidR="005B3466">
        <w:rPr>
          <w:rFonts w:eastAsia="Batang" w:cs="Times New Roman"/>
          <w:szCs w:val="24"/>
        </w:rPr>
        <w:t>,0</w:t>
      </w:r>
      <w:r w:rsidRPr="0064339F">
        <w:rPr>
          <w:rFonts w:eastAsia="Batang" w:cs="Times New Roman"/>
          <w:szCs w:val="24"/>
        </w:rPr>
        <w:t xml:space="preserve"> млн. евро, в т.ч.:</w:t>
      </w:r>
    </w:p>
    <w:p w14:paraId="6EC0B766" w14:textId="77777777" w:rsidR="00035BD3" w:rsidRPr="0064339F" w:rsidRDefault="00035BD3" w:rsidP="005B790D">
      <w:pPr>
        <w:numPr>
          <w:ilvl w:val="0"/>
          <w:numId w:val="26"/>
        </w:numPr>
        <w:rPr>
          <w:rFonts w:eastAsia="Batang" w:cs="Times New Roman"/>
          <w:szCs w:val="24"/>
        </w:rPr>
      </w:pPr>
      <w:r w:rsidRPr="0064339F">
        <w:rPr>
          <w:rFonts w:eastAsia="Batang" w:cs="Times New Roman"/>
          <w:szCs w:val="24"/>
        </w:rPr>
        <w:t>по Закона за кредитиране на студенти и докторанти</w:t>
      </w:r>
      <w:r w:rsidRPr="00035BD3">
        <w:rPr>
          <w:rFonts w:eastAsia="Batang" w:cs="Times New Roman"/>
          <w:szCs w:val="24"/>
        </w:rPr>
        <w:t xml:space="preserve">, относно прилагане на програмата за студентско кредитиране, в </w:t>
      </w:r>
      <w:r w:rsidRPr="0064339F">
        <w:rPr>
          <w:rFonts w:eastAsia="Batang" w:cs="Times New Roman"/>
          <w:szCs w:val="24"/>
        </w:rPr>
        <w:t>общ размер до 15</w:t>
      </w:r>
      <w:r w:rsidRPr="0064339F">
        <w:rPr>
          <w:rFonts w:eastAsia="Batang" w:cs="Times New Roman"/>
          <w:szCs w:val="24"/>
          <w:lang w:val="en-US"/>
        </w:rPr>
        <w:t> </w:t>
      </w:r>
      <w:r w:rsidRPr="0064339F">
        <w:rPr>
          <w:rFonts w:eastAsia="Batang" w:cs="Times New Roman"/>
          <w:szCs w:val="24"/>
        </w:rPr>
        <w:t>338</w:t>
      </w:r>
      <w:r w:rsidRPr="0064339F">
        <w:rPr>
          <w:rFonts w:eastAsia="Batang" w:cs="Times New Roman"/>
          <w:szCs w:val="24"/>
          <w:lang w:val="en-US"/>
        </w:rPr>
        <w:t> </w:t>
      </w:r>
      <w:r w:rsidRPr="0064339F">
        <w:rPr>
          <w:rFonts w:eastAsia="Batang" w:cs="Times New Roman"/>
          <w:szCs w:val="24"/>
        </w:rPr>
        <w:t>756 евро (одобрени с РМС № 614 от 03.09.2025 г.);</w:t>
      </w:r>
    </w:p>
    <w:p w14:paraId="7248B4E5" w14:textId="77777777" w:rsidR="00035BD3" w:rsidRPr="001B503E" w:rsidRDefault="00035BD3" w:rsidP="005B790D">
      <w:pPr>
        <w:numPr>
          <w:ilvl w:val="0"/>
          <w:numId w:val="26"/>
        </w:numPr>
        <w:rPr>
          <w:rFonts w:eastAsia="Batang" w:cs="Times New Roman"/>
          <w:szCs w:val="24"/>
        </w:rPr>
      </w:pPr>
      <w:r w:rsidRPr="0064339F">
        <w:rPr>
          <w:rFonts w:eastAsia="Batang" w:cs="Times New Roman"/>
          <w:szCs w:val="24"/>
        </w:rPr>
        <w:t>по Закона за Българската банка за развитие, които Министерския съвет може да издава, респ. при споразумения за държавни гаранции с международни финансови организации или чуждестранни лица – да ги одобрява и предлага на Народното събрание за ратифициране, по заеми от местни, чуждестранни и международни институции и/или емитирани от Българската банка за развитие облигации в размер до 1 728 229 703 евро (или тяхната равностойност в друга валута) във връзка с финансирането на „Националната програма за енергийна ефективност на многофамилнит</w:t>
      </w:r>
      <w:r w:rsidR="000138B9" w:rsidRPr="0064339F">
        <w:rPr>
          <w:rFonts w:eastAsia="Batang" w:cs="Times New Roman"/>
          <w:szCs w:val="24"/>
        </w:rPr>
        <w:t>е жилищни сгради за периода 2026</w:t>
      </w:r>
      <w:r w:rsidRPr="0064339F">
        <w:rPr>
          <w:rFonts w:eastAsia="Batang" w:cs="Times New Roman"/>
          <w:szCs w:val="24"/>
        </w:rPr>
        <w:t>-2029</w:t>
      </w:r>
      <w:r w:rsidRPr="00035BD3">
        <w:rPr>
          <w:rFonts w:eastAsia="Batang" w:cs="Times New Roman"/>
          <w:szCs w:val="24"/>
        </w:rPr>
        <w:t xml:space="preserve"> г.“ </w:t>
      </w:r>
      <w:r w:rsidRPr="001B503E">
        <w:rPr>
          <w:rFonts w:eastAsia="Batang" w:cs="Times New Roman"/>
          <w:szCs w:val="24"/>
        </w:rPr>
        <w:t xml:space="preserve">и във </w:t>
      </w:r>
      <w:r w:rsidRPr="001B503E">
        <w:rPr>
          <w:rFonts w:eastAsia="Batang" w:cs="Times New Roman"/>
          <w:szCs w:val="24"/>
        </w:rPr>
        <w:lastRenderedPageBreak/>
        <w:t xml:space="preserve">връзка с реализиране на Инвестиционната програма за общински проекти от законопроекта за държавния бюджет за 2026 г., при спазване на законодателството в областта на държавните помощи. </w:t>
      </w:r>
    </w:p>
    <w:p w14:paraId="6A50A44F" w14:textId="77777777" w:rsidR="00035BD3" w:rsidRPr="00035BD3" w:rsidRDefault="00035BD3" w:rsidP="00035BD3">
      <w:pPr>
        <w:rPr>
          <w:rFonts w:eastAsia="Batang" w:cs="Times New Roman"/>
          <w:szCs w:val="24"/>
        </w:rPr>
      </w:pPr>
      <w:r w:rsidRPr="001B503E">
        <w:rPr>
          <w:rFonts w:eastAsia="Batang" w:cs="Times New Roman"/>
          <w:szCs w:val="24"/>
        </w:rPr>
        <w:t>В проектозакона за държавния бюджет за 2026 г. е обезпечена възможност за банката да  договаря държавногарантирано финансиране в общ размер до 1,7 млрд. евро, което позволява привличането на средства при възможно най-ниска цена. Финансовият ресурс за изпълнение на Програмата се планира да бъде осигуряван поетапно в зависимост от темповете на реализация на Националната програма за енергийна ефективност на многофамилни жилищни сгради. Едновременно с това се обезпечава възможност в рамките на посоченото държавногарантирано финансиране да се осъществи и предвиденото участие на Българска банка за развитие при извършване на плащанията по споразумения за реализиране на Инвестиционната програма за о</w:t>
      </w:r>
      <w:r w:rsidR="001B503E">
        <w:rPr>
          <w:rFonts w:eastAsia="Batang" w:cs="Times New Roman"/>
          <w:szCs w:val="24"/>
        </w:rPr>
        <w:t>бщински проекти съгласно чл. 115</w:t>
      </w:r>
      <w:r w:rsidRPr="001B503E">
        <w:rPr>
          <w:rFonts w:eastAsia="Batang" w:cs="Times New Roman"/>
          <w:szCs w:val="24"/>
        </w:rPr>
        <w:t xml:space="preserve"> от проектозакона за държавния бюджет за 2026 г.</w:t>
      </w:r>
      <w:r w:rsidRPr="00035BD3">
        <w:rPr>
          <w:rFonts w:eastAsia="Batang" w:cs="Times New Roman"/>
          <w:szCs w:val="24"/>
        </w:rPr>
        <w:t xml:space="preserve"> </w:t>
      </w:r>
    </w:p>
    <w:p w14:paraId="32BC52ED" w14:textId="77777777" w:rsidR="00035BD3" w:rsidRPr="00035BD3" w:rsidRDefault="00035BD3" w:rsidP="00035BD3">
      <w:pPr>
        <w:rPr>
          <w:rFonts w:eastAsia="Batang" w:cs="Times New Roman"/>
          <w:bCs/>
          <w:szCs w:val="24"/>
        </w:rPr>
      </w:pPr>
      <w:r w:rsidRPr="00035BD3">
        <w:rPr>
          <w:rFonts w:eastAsia="Batang" w:cs="Times New Roman"/>
          <w:szCs w:val="24"/>
        </w:rPr>
        <w:t xml:space="preserve">При допускането за издаване на по-горе изброените нови държавни гаранции и при пълно усвояване на средствата от заемите до края на 2026 г. се очаква общият размер на </w:t>
      </w:r>
      <w:r w:rsidRPr="00035BD3">
        <w:rPr>
          <w:rFonts w:eastAsia="Batang" w:cs="Times New Roman"/>
          <w:bCs/>
          <w:szCs w:val="24"/>
        </w:rPr>
        <w:t xml:space="preserve">държавногарантирания дълг да нарасне до ниво от около 4,6 млрд. евро, </w:t>
      </w:r>
      <w:r w:rsidRPr="00035BD3">
        <w:rPr>
          <w:rFonts w:eastAsia="Batang" w:cs="Times New Roman"/>
          <w:szCs w:val="24"/>
        </w:rPr>
        <w:t>а</w:t>
      </w:r>
      <w:r w:rsidRPr="00035BD3">
        <w:rPr>
          <w:rFonts w:eastAsia="Batang" w:cs="Times New Roman"/>
          <w:bCs/>
          <w:szCs w:val="24"/>
        </w:rPr>
        <w:t xml:space="preserve"> </w:t>
      </w:r>
      <w:r w:rsidRPr="00035BD3">
        <w:rPr>
          <w:rFonts w:eastAsia="Batang" w:cs="Times New Roman"/>
          <w:szCs w:val="24"/>
        </w:rPr>
        <w:t xml:space="preserve">показателят „Съотношение на държавногарантирания дълг към прогнозния размер на БВП“ съответно до 3,8% (при 0,7% за </w:t>
      </w:r>
      <w:r w:rsidRPr="00035BD3">
        <w:rPr>
          <w:rFonts w:eastAsia="Batang" w:cs="Times New Roman"/>
          <w:bCs/>
          <w:szCs w:val="24"/>
        </w:rPr>
        <w:t xml:space="preserve">2025 г.). </w:t>
      </w:r>
    </w:p>
    <w:p w14:paraId="7DC61AF8" w14:textId="77777777" w:rsidR="00035BD3" w:rsidRPr="00035BD3" w:rsidRDefault="00035BD3" w:rsidP="00035BD3">
      <w:pPr>
        <w:rPr>
          <w:rFonts w:eastAsia="Batang" w:cs="Times New Roman"/>
          <w:bCs/>
          <w:szCs w:val="24"/>
        </w:rPr>
      </w:pPr>
      <w:r w:rsidRPr="00035BD3">
        <w:rPr>
          <w:rFonts w:eastAsia="Batang" w:cs="Times New Roman"/>
          <w:bCs/>
          <w:szCs w:val="24"/>
        </w:rPr>
        <w:t>За периода до 2028 г. прогнозите са за запазване на нивото на държавногарантирания дълг в абсолютна стойност на нивото му от края на 2026 г. (</w:t>
      </w:r>
      <w:r w:rsidRPr="00F53D6C">
        <w:rPr>
          <w:rFonts w:eastAsia="Batang" w:cs="Times New Roman"/>
          <w:bCs/>
          <w:szCs w:val="24"/>
        </w:rPr>
        <w:t>4,</w:t>
      </w:r>
      <w:r w:rsidRPr="00035BD3">
        <w:rPr>
          <w:rFonts w:eastAsia="Batang" w:cs="Times New Roman"/>
          <w:bCs/>
          <w:szCs w:val="24"/>
        </w:rPr>
        <w:t>6 млрд. евро), но като относителен дял спрямо прогнозния БВП в края на 2028 г. се очаква да отбележи намаление достигайки до 3,4%.</w:t>
      </w:r>
    </w:p>
    <w:p w14:paraId="3405AA3C" w14:textId="77777777" w:rsidR="00714494" w:rsidRDefault="007B6825" w:rsidP="00207936">
      <w:pPr>
        <w:pStyle w:val="Heading2"/>
        <w:numPr>
          <w:ilvl w:val="1"/>
          <w:numId w:val="3"/>
        </w:numPr>
        <w:spacing w:before="0" w:after="200"/>
      </w:pPr>
      <w:bookmarkStart w:id="457" w:name="_Toc216029364"/>
      <w:bookmarkStart w:id="458" w:name="_Toc464224814"/>
      <w:bookmarkStart w:id="459" w:name="_Toc464225464"/>
      <w:bookmarkStart w:id="460" w:name="_Toc464459011"/>
      <w:bookmarkStart w:id="461" w:name="_Toc464459759"/>
      <w:bookmarkStart w:id="462" w:name="_Toc464460712"/>
      <w:bookmarkStart w:id="463" w:name="_Toc464463111"/>
      <w:bookmarkStart w:id="464" w:name="_Toc464464940"/>
      <w:bookmarkStart w:id="465" w:name="_Toc464465447"/>
      <w:bookmarkStart w:id="466" w:name="_Toc464465633"/>
      <w:bookmarkStart w:id="467" w:name="_Toc464466458"/>
      <w:bookmarkStart w:id="468" w:name="_Toc464466702"/>
      <w:bookmarkStart w:id="469" w:name="_Toc464645022"/>
      <w:bookmarkStart w:id="470" w:name="_Toc465205572"/>
      <w:r w:rsidRPr="007B6825">
        <w:t>Д</w:t>
      </w:r>
      <w:r w:rsidR="00714494">
        <w:t>ържавен дълг чрез финансов лизинг и други форми на държавен дълг</w:t>
      </w:r>
      <w:bookmarkEnd w:id="457"/>
    </w:p>
    <w:p w14:paraId="5860894D" w14:textId="77777777" w:rsidR="00F0271B" w:rsidRPr="007849B2" w:rsidRDefault="007849B2" w:rsidP="00207936">
      <w:pPr>
        <w:rPr>
          <w:rFonts w:eastAsia="Batang" w:cs="Times New Roman"/>
          <w:bCs/>
          <w:szCs w:val="24"/>
        </w:rPr>
      </w:pPr>
      <w:r w:rsidRPr="007849B2">
        <w:rPr>
          <w:rFonts w:eastAsia="Batang" w:cs="Times New Roman"/>
          <w:bCs/>
          <w:szCs w:val="24"/>
        </w:rPr>
        <w:t>В проекта на Закон за държавния бюджет на Република България за 2026 г. е предвидена  възможност за поемане на дълг чрез сключване на договор за финансов лизинг от Държавния авиационен оператор в разм</w:t>
      </w:r>
      <w:r>
        <w:rPr>
          <w:rFonts w:eastAsia="Batang" w:cs="Times New Roman"/>
          <w:bCs/>
          <w:szCs w:val="24"/>
        </w:rPr>
        <w:t>ер до 60,0 млн. евро по проект „</w:t>
      </w:r>
      <w:r w:rsidRPr="007849B2">
        <w:rPr>
          <w:rFonts w:eastAsia="Batang" w:cs="Times New Roman"/>
          <w:bCs/>
          <w:szCs w:val="24"/>
        </w:rPr>
        <w:t xml:space="preserve">Закупуване на 3 броя комбинирани вертолети за гасене </w:t>
      </w:r>
      <w:r w:rsidR="00336BFF">
        <w:rPr>
          <w:rFonts w:eastAsia="Batang" w:cs="Times New Roman"/>
          <w:bCs/>
          <w:szCs w:val="24"/>
        </w:rPr>
        <w:t xml:space="preserve">на пожари </w:t>
      </w:r>
      <w:r w:rsidRPr="007849B2">
        <w:rPr>
          <w:rFonts w:eastAsia="Batang" w:cs="Times New Roman"/>
          <w:bCs/>
          <w:szCs w:val="24"/>
        </w:rPr>
        <w:t>от въздух, търсе</w:t>
      </w:r>
      <w:r>
        <w:rPr>
          <w:rFonts w:eastAsia="Batang" w:cs="Times New Roman"/>
          <w:bCs/>
          <w:szCs w:val="24"/>
        </w:rPr>
        <w:t>не и спасяване и други дейности“</w:t>
      </w:r>
      <w:r w:rsidRPr="007849B2">
        <w:rPr>
          <w:rFonts w:eastAsia="Batang" w:cs="Times New Roman"/>
          <w:bCs/>
          <w:szCs w:val="24"/>
        </w:rPr>
        <w:t>.</w:t>
      </w:r>
    </w:p>
    <w:p w14:paraId="0A803015" w14:textId="77777777" w:rsidR="00D427A3" w:rsidRPr="00AA3F66" w:rsidRDefault="00853713" w:rsidP="00207936">
      <w:pPr>
        <w:pStyle w:val="Heading2"/>
        <w:numPr>
          <w:ilvl w:val="1"/>
          <w:numId w:val="3"/>
        </w:numPr>
        <w:spacing w:before="0" w:after="200"/>
        <w:ind w:hanging="270"/>
      </w:pPr>
      <w:bookmarkStart w:id="471" w:name="_Toc216029365"/>
      <w:r w:rsidRPr="00AA3F66">
        <w:t>Д</w:t>
      </w:r>
      <w:r w:rsidR="00D427A3" w:rsidRPr="00AA3F66">
        <w:t>руги операции в частта на финансирането</w:t>
      </w:r>
      <w:bookmarkEnd w:id="471"/>
    </w:p>
    <w:bookmarkEnd w:id="458"/>
    <w:bookmarkEnd w:id="459"/>
    <w:bookmarkEnd w:id="460"/>
    <w:bookmarkEnd w:id="461"/>
    <w:bookmarkEnd w:id="462"/>
    <w:bookmarkEnd w:id="463"/>
    <w:bookmarkEnd w:id="464"/>
    <w:bookmarkEnd w:id="465"/>
    <w:bookmarkEnd w:id="466"/>
    <w:bookmarkEnd w:id="467"/>
    <w:bookmarkEnd w:id="468"/>
    <w:bookmarkEnd w:id="469"/>
    <w:bookmarkEnd w:id="470"/>
    <w:p w14:paraId="72C158B0" w14:textId="77777777" w:rsidR="00673E8C" w:rsidRPr="00AA3F66" w:rsidRDefault="00DC1E2B" w:rsidP="00207936">
      <w:pPr>
        <w:pStyle w:val="Heading3"/>
        <w:spacing w:before="0" w:after="200"/>
        <w:ind w:left="0"/>
      </w:pPr>
      <w:r w:rsidRPr="00AA3F66">
        <w:t>У</w:t>
      </w:r>
      <w:r w:rsidR="00673E8C" w:rsidRPr="00AA3F66">
        <w:t>своявания по държавните инвестиционни заеми</w:t>
      </w:r>
      <w:r w:rsidR="009C6FC5">
        <w:t xml:space="preserve"> за периода 2026-2028 г.</w:t>
      </w:r>
    </w:p>
    <w:p w14:paraId="7E744794" w14:textId="77777777" w:rsidR="00E30402" w:rsidRPr="00E30402" w:rsidRDefault="00E30402" w:rsidP="00207936">
      <w:pPr>
        <w:rPr>
          <w:rFonts w:eastAsia="Times New Roman" w:cs="Times New Roman"/>
        </w:rPr>
      </w:pPr>
      <w:r w:rsidRPr="00E30402">
        <w:rPr>
          <w:rFonts w:eastAsia="Times New Roman" w:cs="Times New Roman"/>
        </w:rPr>
        <w:t xml:space="preserve">За периода 2026-2028 г. не е предвидено усвояване на външно финансиране по държавни инвестиционни заеми. По централния бюджет са разчетени приходи от лихви по държавни инвестиционни заеми с краен бенефициент търговско дружество общо за 2026 г. в размер на 517,4 хил. евро, за 2027 г. – 345 хил. евро и за 2028 г. – 172,9 хил. евро. </w:t>
      </w:r>
    </w:p>
    <w:p w14:paraId="4DEAEB7B" w14:textId="77777777" w:rsidR="00E30402" w:rsidRPr="00E30402" w:rsidRDefault="00E30402" w:rsidP="00207936">
      <w:pPr>
        <w:rPr>
          <w:rFonts w:eastAsia="Times New Roman" w:cs="Times New Roman"/>
        </w:rPr>
      </w:pPr>
      <w:r w:rsidRPr="00E30402">
        <w:rPr>
          <w:rFonts w:eastAsia="Times New Roman" w:cs="Times New Roman"/>
        </w:rPr>
        <w:t>Общо разчетените разходи по държавните инвестиционни заеми, в т.ч. и с краен бенефициент търговско дружество</w:t>
      </w:r>
      <w:r>
        <w:rPr>
          <w:rFonts w:eastAsia="Times New Roman" w:cs="Times New Roman"/>
        </w:rPr>
        <w:t>,</w:t>
      </w:r>
      <w:r w:rsidRPr="00E30402">
        <w:rPr>
          <w:rFonts w:eastAsia="Times New Roman" w:cs="Times New Roman"/>
        </w:rPr>
        <w:t xml:space="preserve"> за 2026 г. са в размер на 6 061,6 хил. евро разходи за лихви и 51,1 хил. евро разходи за издръжка по проект, изпълняван от Министерството на финансите. За 2027 г. са планирани разходи по държавните инвестиционни заеми в общ размер 5 082,7 хил. евро и за 2028 г. – 4 134,2 хил. евро. </w:t>
      </w:r>
    </w:p>
    <w:p w14:paraId="4858AB1E" w14:textId="77777777" w:rsidR="00E30402" w:rsidRPr="00A746A5" w:rsidRDefault="00E30402" w:rsidP="00207936">
      <w:pPr>
        <w:rPr>
          <w:rFonts w:eastAsia="Times New Roman" w:cs="Times New Roman"/>
        </w:rPr>
      </w:pPr>
      <w:r w:rsidRPr="00E30402">
        <w:rPr>
          <w:rFonts w:eastAsia="Times New Roman" w:cs="Times New Roman"/>
        </w:rPr>
        <w:t>Разчетените средства за погашения по държавни инвестиционни заеми, в т.ч. и с краен бенефициент търговско дружество, за 2026</w:t>
      </w:r>
      <w:r>
        <w:rPr>
          <w:rFonts w:eastAsia="Times New Roman" w:cs="Times New Roman"/>
        </w:rPr>
        <w:t xml:space="preserve"> г. са в размер на</w:t>
      </w:r>
      <w:r w:rsidRPr="00E30402">
        <w:rPr>
          <w:rFonts w:eastAsia="Times New Roman" w:cs="Times New Roman"/>
        </w:rPr>
        <w:t xml:space="preserve"> 30 704,9 хил. евро, за 2027 г. – 30 580,3 хил. евро и за 2028 г. – 27 465,7 хил. евро.</w:t>
      </w:r>
    </w:p>
    <w:p w14:paraId="0CA98B26" w14:textId="77777777" w:rsidR="00673E8C" w:rsidRPr="00AA3F66" w:rsidRDefault="00DC1E2B" w:rsidP="00207936">
      <w:pPr>
        <w:pStyle w:val="Heading3"/>
        <w:spacing w:before="0" w:after="200"/>
        <w:ind w:left="0"/>
      </w:pPr>
      <w:r w:rsidRPr="00AA3F66">
        <w:lastRenderedPageBreak/>
        <w:t>Ф</w:t>
      </w:r>
      <w:r w:rsidR="00673E8C" w:rsidRPr="00AA3F66">
        <w:t>инансиране по чл. 9, ал. 1 от Закона за експортн</w:t>
      </w:r>
      <w:r w:rsidR="001F2D48">
        <w:t>ото застраховане за периода 2026</w:t>
      </w:r>
      <w:r w:rsidR="00EF7007">
        <w:t>-2028</w:t>
      </w:r>
      <w:r w:rsidR="00673E8C" w:rsidRPr="00AA3F66">
        <w:t xml:space="preserve"> г.</w:t>
      </w:r>
    </w:p>
    <w:p w14:paraId="5F4BDDD6" w14:textId="77777777" w:rsidR="00431E14" w:rsidRPr="00431E14" w:rsidRDefault="00431E14" w:rsidP="00207936">
      <w:pPr>
        <w:rPr>
          <w:szCs w:val="24"/>
        </w:rPr>
      </w:pPr>
      <w:r w:rsidRPr="00431E14">
        <w:rPr>
          <w:szCs w:val="24"/>
        </w:rPr>
        <w:t>Съгласно чл. 9, ал. 1 от Закона за експортното застраховане (ЗЕЗ) в закона за държавния бюджет на Република България за съответната година се предвиждат средства от централния бюджет за изплащане на застрахователни обезщетения по чл. 3 от ЗЕЗ (дейността за сметка на държавата). За периода 2026-2028 г. се предвиждат средства в размер както следва: 76,7 млн. евро за 2026 г., 79,3 млн. евро за 2027 г., 81,8 млн. евро за 202</w:t>
      </w:r>
      <w:r w:rsidR="000C07B4">
        <w:rPr>
          <w:szCs w:val="24"/>
        </w:rPr>
        <w:t>8</w:t>
      </w:r>
      <w:r w:rsidRPr="00431E14">
        <w:rPr>
          <w:szCs w:val="24"/>
        </w:rPr>
        <w:t xml:space="preserve"> г.   </w:t>
      </w:r>
    </w:p>
    <w:p w14:paraId="7C8A3AF2" w14:textId="77777777" w:rsidR="00431E14" w:rsidRPr="00431E14" w:rsidRDefault="00431E14" w:rsidP="00207936">
      <w:pPr>
        <w:rPr>
          <w:szCs w:val="24"/>
        </w:rPr>
      </w:pPr>
      <w:r w:rsidRPr="00431E14">
        <w:rPr>
          <w:szCs w:val="24"/>
        </w:rPr>
        <w:t xml:space="preserve">В съответствие с мисията и целите на „Българска агенция за експортно застраховане“ (БАЕЗ) като държавна агенция, която да подкрепя българските износители, дружеството акцентира върху развитието в предлагането на застрахователните продукти по дейността за сметка на държавата. За изпълнението на заложените показатели БАЕЗ се нуждае от съответния застрахователен капацитет, който да покрива нуждите на компанията.  </w:t>
      </w:r>
    </w:p>
    <w:p w14:paraId="5E045ECE" w14:textId="77777777" w:rsidR="00F0271B" w:rsidRPr="00AA09BF" w:rsidRDefault="00431E14" w:rsidP="00207936">
      <w:pPr>
        <w:rPr>
          <w:szCs w:val="24"/>
        </w:rPr>
      </w:pPr>
      <w:r w:rsidRPr="00431E14">
        <w:rPr>
          <w:szCs w:val="24"/>
        </w:rPr>
        <w:t>Мерките за постепенно повишаване на заделените средства в държавния бюджет целят повишаване на застрахователния капацитет на БАЕЗ по дейността за сметка на държавата, в съответствие със ЗЕЗ, както и са необходими като превенция относно достигане на застрахователния капацитет и невъзможност за сключване на застрахователни договори или спешно увеличаване на с</w:t>
      </w:r>
      <w:r>
        <w:rPr>
          <w:szCs w:val="24"/>
        </w:rPr>
        <w:t>редствата през текущата година.</w:t>
      </w:r>
    </w:p>
    <w:p w14:paraId="68B5FFA4" w14:textId="77777777" w:rsidR="001D2E10" w:rsidRPr="00AA3F66" w:rsidRDefault="00E91E4E" w:rsidP="00207936">
      <w:pPr>
        <w:pStyle w:val="Heading3"/>
        <w:spacing w:before="0" w:after="200"/>
        <w:ind w:left="0"/>
      </w:pPr>
      <w:r w:rsidRPr="00AA3F66">
        <w:t>П</w:t>
      </w:r>
      <w:r w:rsidR="001D2E10" w:rsidRPr="00AA3F66">
        <w:t>остъпления</w:t>
      </w:r>
      <w:r w:rsidR="001F2D48">
        <w:t xml:space="preserve"> от приватизация за периода 2026</w:t>
      </w:r>
      <w:r w:rsidR="00EF7007">
        <w:t>-2028</w:t>
      </w:r>
      <w:r w:rsidR="001D2E10" w:rsidRPr="00AA3F66">
        <w:t xml:space="preserve"> г.</w:t>
      </w:r>
    </w:p>
    <w:p w14:paraId="291D2B9E" w14:textId="77777777" w:rsidR="00496312" w:rsidRDefault="00431E14" w:rsidP="00207936">
      <w:pPr>
        <w:tabs>
          <w:tab w:val="left" w:pos="741"/>
          <w:tab w:val="left" w:pos="2736"/>
          <w:tab w:val="center" w:pos="4153"/>
          <w:tab w:val="right" w:pos="8306"/>
        </w:tabs>
        <w:rPr>
          <w:bCs/>
          <w:szCs w:val="24"/>
        </w:rPr>
      </w:pPr>
      <w:r w:rsidRPr="00431E14">
        <w:rPr>
          <w:bCs/>
          <w:szCs w:val="24"/>
        </w:rPr>
        <w:t xml:space="preserve">Прогнозните постъпления от приватизация за периода 2026-2028 г. са </w:t>
      </w:r>
      <w:r w:rsidRPr="005B4213">
        <w:rPr>
          <w:bCs/>
          <w:szCs w:val="24"/>
        </w:rPr>
        <w:t xml:space="preserve">по 1,0 </w:t>
      </w:r>
      <w:r w:rsidRPr="00431E14">
        <w:rPr>
          <w:bCs/>
          <w:szCs w:val="24"/>
        </w:rPr>
        <w:t>млн. евро годишно за всяка година от разглеждания период</w:t>
      </w:r>
      <w:r>
        <w:rPr>
          <w:bCs/>
          <w:szCs w:val="24"/>
        </w:rPr>
        <w:t>.</w:t>
      </w:r>
    </w:p>
    <w:p w14:paraId="5F1F1B99" w14:textId="77777777" w:rsidR="00496312" w:rsidRPr="00496312" w:rsidRDefault="00496312" w:rsidP="00207936">
      <w:pPr>
        <w:pStyle w:val="Heading3"/>
        <w:spacing w:before="0" w:after="200"/>
        <w:ind w:left="0"/>
      </w:pPr>
      <w:bookmarkStart w:id="472" w:name="_Придобиване_на_дялове,"/>
      <w:bookmarkEnd w:id="472"/>
      <w:r w:rsidRPr="00496312">
        <w:t>Придобиване на дялове, акции и съучастия</w:t>
      </w:r>
    </w:p>
    <w:p w14:paraId="47729632" w14:textId="77777777" w:rsidR="00D351BE" w:rsidRPr="005532C5" w:rsidRDefault="00431E14" w:rsidP="00207936">
      <w:pPr>
        <w:rPr>
          <w:rFonts w:eastAsia="Times New Roman" w:cs="Times New Roman"/>
          <w:bCs/>
        </w:rPr>
      </w:pPr>
      <w:r w:rsidRPr="00431E14">
        <w:rPr>
          <w:rFonts w:eastAsia="Times New Roman" w:cs="Times New Roman"/>
          <w:bCs/>
        </w:rPr>
        <w:t xml:space="preserve">За периода 2026-2028 г., с оглед изпълнението на инвестиционни програми, както и на възложени публични политики, за капитализация на търговски дружества с държавно участие в капитала в сферите на </w:t>
      </w:r>
      <w:r w:rsidR="00234641">
        <w:rPr>
          <w:rFonts w:eastAsia="Times New Roman" w:cs="Times New Roman"/>
          <w:bCs/>
        </w:rPr>
        <w:t>сектор Ви</w:t>
      </w:r>
      <w:r w:rsidR="00234641" w:rsidRPr="00234641">
        <w:rPr>
          <w:rFonts w:eastAsia="Times New Roman" w:cs="Times New Roman"/>
          <w:bCs/>
        </w:rPr>
        <w:t>К, регионално развитие, отбрана, здравеопазване, енергетика и иновации</w:t>
      </w:r>
      <w:r w:rsidRPr="00431E14">
        <w:rPr>
          <w:rFonts w:eastAsia="Times New Roman" w:cs="Times New Roman"/>
          <w:bCs/>
        </w:rPr>
        <w:t xml:space="preserve">, са направени допускания за прогнозни средства в общ размер </w:t>
      </w:r>
      <w:r w:rsidRPr="005532C5">
        <w:rPr>
          <w:rFonts w:eastAsia="Times New Roman" w:cs="Times New Roman"/>
          <w:bCs/>
        </w:rPr>
        <w:t xml:space="preserve">до </w:t>
      </w:r>
      <w:r w:rsidR="006A3560" w:rsidRPr="005532C5">
        <w:rPr>
          <w:rFonts w:eastAsia="Times New Roman" w:cs="Times New Roman"/>
          <w:bCs/>
        </w:rPr>
        <w:t>1 376,7</w:t>
      </w:r>
      <w:r w:rsidR="00B55406">
        <w:rPr>
          <w:rFonts w:eastAsia="Times New Roman" w:cs="Times New Roman"/>
          <w:bCs/>
        </w:rPr>
        <w:t xml:space="preserve"> млн. евро, в т.ч. за 2026 г. </w:t>
      </w:r>
      <w:r w:rsidRPr="005532C5">
        <w:rPr>
          <w:rFonts w:eastAsia="Times New Roman" w:cs="Times New Roman"/>
          <w:bCs/>
        </w:rPr>
        <w:t xml:space="preserve">в прогнозен размер до </w:t>
      </w:r>
      <w:r w:rsidR="006A3560" w:rsidRPr="005532C5">
        <w:rPr>
          <w:rFonts w:eastAsia="Times New Roman" w:cs="Times New Roman"/>
          <w:bCs/>
        </w:rPr>
        <w:t>1 071,1</w:t>
      </w:r>
      <w:r w:rsidRPr="005532C5">
        <w:rPr>
          <w:rFonts w:eastAsia="Times New Roman" w:cs="Times New Roman"/>
          <w:bCs/>
        </w:rPr>
        <w:t xml:space="preserve"> млн. евро</w:t>
      </w:r>
      <w:r w:rsidR="00E164B2" w:rsidRPr="005532C5">
        <w:rPr>
          <w:rFonts w:eastAsia="Times New Roman" w:cs="Times New Roman"/>
          <w:bCs/>
        </w:rPr>
        <w:t>, както следва:</w:t>
      </w:r>
    </w:p>
    <w:tbl>
      <w:tblPr>
        <w:tblStyle w:val="TableGrid0"/>
        <w:tblW w:w="9749" w:type="dxa"/>
        <w:tblInd w:w="-82" w:type="dxa"/>
        <w:tblLayout w:type="fixed"/>
        <w:tblCellMar>
          <w:top w:w="50" w:type="dxa"/>
          <w:left w:w="70" w:type="dxa"/>
          <w:right w:w="16" w:type="dxa"/>
        </w:tblCellMar>
        <w:tblLook w:val="04A0" w:firstRow="1" w:lastRow="0" w:firstColumn="1" w:lastColumn="0" w:noHBand="0" w:noVBand="1"/>
      </w:tblPr>
      <w:tblGrid>
        <w:gridCol w:w="484"/>
        <w:gridCol w:w="3288"/>
        <w:gridCol w:w="1492"/>
        <w:gridCol w:w="4379"/>
        <w:gridCol w:w="106"/>
      </w:tblGrid>
      <w:tr w:rsidR="006A3560" w:rsidRPr="009F7416" w14:paraId="05193855" w14:textId="77777777" w:rsidTr="00E06EA7">
        <w:trPr>
          <w:trHeight w:val="520"/>
          <w:tblHeader/>
        </w:trPr>
        <w:tc>
          <w:tcPr>
            <w:tcW w:w="484" w:type="dxa"/>
            <w:tcBorders>
              <w:top w:val="single" w:sz="4" w:space="0" w:color="000000"/>
              <w:left w:val="nil"/>
              <w:bottom w:val="single" w:sz="4" w:space="0" w:color="000000"/>
              <w:right w:val="nil"/>
            </w:tcBorders>
            <w:shd w:val="clear" w:color="auto" w:fill="F2F2F2"/>
            <w:vAlign w:val="center"/>
          </w:tcPr>
          <w:p w14:paraId="11F8DF4C" w14:textId="77777777" w:rsidR="006A3560" w:rsidRPr="009F7416" w:rsidRDefault="006A3560" w:rsidP="00D22320">
            <w:pPr>
              <w:spacing w:line="259" w:lineRule="auto"/>
              <w:ind w:left="67"/>
              <w:jc w:val="left"/>
              <w:rPr>
                <w:sz w:val="22"/>
              </w:rPr>
            </w:pPr>
            <w:r w:rsidRPr="009F7416">
              <w:rPr>
                <w:b/>
                <w:sz w:val="22"/>
              </w:rPr>
              <w:t>№</w:t>
            </w:r>
          </w:p>
        </w:tc>
        <w:tc>
          <w:tcPr>
            <w:tcW w:w="3288" w:type="dxa"/>
            <w:tcBorders>
              <w:top w:val="single" w:sz="4" w:space="0" w:color="000000"/>
              <w:left w:val="nil"/>
              <w:bottom w:val="single" w:sz="4" w:space="0" w:color="000000"/>
              <w:right w:val="nil"/>
            </w:tcBorders>
            <w:vAlign w:val="center"/>
          </w:tcPr>
          <w:p w14:paraId="139B2600" w14:textId="77777777" w:rsidR="006A3560" w:rsidRPr="009F7416" w:rsidRDefault="006A3560" w:rsidP="00D22320">
            <w:pPr>
              <w:spacing w:line="259" w:lineRule="auto"/>
              <w:jc w:val="center"/>
              <w:rPr>
                <w:sz w:val="22"/>
              </w:rPr>
            </w:pPr>
            <w:r w:rsidRPr="009F7416">
              <w:rPr>
                <w:b/>
                <w:sz w:val="22"/>
              </w:rPr>
              <w:t>Дружество</w:t>
            </w:r>
          </w:p>
        </w:tc>
        <w:tc>
          <w:tcPr>
            <w:tcW w:w="1492" w:type="dxa"/>
            <w:tcBorders>
              <w:top w:val="single" w:sz="4" w:space="0" w:color="000000"/>
              <w:left w:val="nil"/>
              <w:bottom w:val="single" w:sz="4" w:space="0" w:color="000000"/>
              <w:right w:val="nil"/>
            </w:tcBorders>
            <w:shd w:val="clear" w:color="auto" w:fill="F2F2F2"/>
            <w:vAlign w:val="center"/>
          </w:tcPr>
          <w:p w14:paraId="420D9B1A" w14:textId="77777777" w:rsidR="006A3560" w:rsidRPr="001B2CF6" w:rsidRDefault="006A3560" w:rsidP="00D22320">
            <w:pPr>
              <w:spacing w:line="259" w:lineRule="auto"/>
              <w:ind w:right="54"/>
              <w:jc w:val="center"/>
              <w:rPr>
                <w:sz w:val="22"/>
              </w:rPr>
            </w:pPr>
            <w:r w:rsidRPr="001B2CF6">
              <w:rPr>
                <w:b/>
                <w:sz w:val="22"/>
              </w:rPr>
              <w:t>Сума в евро</w:t>
            </w:r>
          </w:p>
        </w:tc>
        <w:tc>
          <w:tcPr>
            <w:tcW w:w="4379" w:type="dxa"/>
            <w:tcBorders>
              <w:top w:val="single" w:sz="4" w:space="0" w:color="000000"/>
              <w:left w:val="nil"/>
              <w:bottom w:val="single" w:sz="4" w:space="0" w:color="000000"/>
              <w:right w:val="nil"/>
            </w:tcBorders>
            <w:vAlign w:val="center"/>
          </w:tcPr>
          <w:p w14:paraId="1F040AC4" w14:textId="77777777" w:rsidR="006A3560" w:rsidRPr="009F7416" w:rsidRDefault="006A3560" w:rsidP="00D22320">
            <w:pPr>
              <w:spacing w:line="259" w:lineRule="auto"/>
              <w:jc w:val="center"/>
              <w:rPr>
                <w:b/>
                <w:sz w:val="22"/>
              </w:rPr>
            </w:pPr>
            <w:r w:rsidRPr="009F7416">
              <w:rPr>
                <w:b/>
                <w:sz w:val="22"/>
              </w:rPr>
              <w:t>Цел на увеличаване на капитала</w:t>
            </w:r>
          </w:p>
        </w:tc>
        <w:tc>
          <w:tcPr>
            <w:tcW w:w="106" w:type="dxa"/>
            <w:tcBorders>
              <w:top w:val="single" w:sz="4" w:space="0" w:color="000000"/>
              <w:left w:val="nil"/>
              <w:bottom w:val="single" w:sz="4" w:space="0" w:color="000000"/>
              <w:right w:val="nil"/>
            </w:tcBorders>
          </w:tcPr>
          <w:p w14:paraId="791DBE44" w14:textId="77777777" w:rsidR="006A3560" w:rsidRPr="009F7416" w:rsidDel="00EB73A1" w:rsidRDefault="006A3560" w:rsidP="00D22320">
            <w:pPr>
              <w:spacing w:line="259" w:lineRule="auto"/>
              <w:jc w:val="left"/>
              <w:rPr>
                <w:sz w:val="22"/>
              </w:rPr>
            </w:pPr>
          </w:p>
        </w:tc>
      </w:tr>
      <w:tr w:rsidR="006A3560" w:rsidRPr="009F7416" w14:paraId="31469C49" w14:textId="77777777" w:rsidTr="00207936">
        <w:trPr>
          <w:trHeight w:val="625"/>
        </w:trPr>
        <w:tc>
          <w:tcPr>
            <w:tcW w:w="484" w:type="dxa"/>
            <w:tcBorders>
              <w:top w:val="single" w:sz="4" w:space="0" w:color="000000"/>
              <w:left w:val="nil"/>
              <w:bottom w:val="single" w:sz="4" w:space="0" w:color="000000"/>
              <w:right w:val="nil"/>
            </w:tcBorders>
            <w:shd w:val="clear" w:color="auto" w:fill="F2F2F2"/>
            <w:vAlign w:val="center"/>
          </w:tcPr>
          <w:p w14:paraId="3392D1A6" w14:textId="77777777" w:rsidR="006A3560" w:rsidRPr="009F7416" w:rsidRDefault="006A3560" w:rsidP="00D22320">
            <w:pPr>
              <w:spacing w:line="259" w:lineRule="auto"/>
              <w:ind w:left="67"/>
              <w:jc w:val="left"/>
              <w:rPr>
                <w:sz w:val="22"/>
              </w:rPr>
            </w:pPr>
            <w:r>
              <w:rPr>
                <w:sz w:val="22"/>
              </w:rPr>
              <w:t>1</w:t>
            </w:r>
          </w:p>
        </w:tc>
        <w:tc>
          <w:tcPr>
            <w:tcW w:w="3288" w:type="dxa"/>
            <w:tcBorders>
              <w:top w:val="single" w:sz="4" w:space="0" w:color="000000"/>
              <w:left w:val="nil"/>
              <w:bottom w:val="single" w:sz="4" w:space="0" w:color="000000"/>
              <w:right w:val="nil"/>
            </w:tcBorders>
          </w:tcPr>
          <w:p w14:paraId="22818CB2" w14:textId="77777777" w:rsidR="006A3560" w:rsidRPr="009F7416" w:rsidRDefault="006A3560" w:rsidP="00D22320">
            <w:pPr>
              <w:spacing w:after="18" w:line="259" w:lineRule="auto"/>
              <w:jc w:val="left"/>
              <w:rPr>
                <w:sz w:val="22"/>
              </w:rPr>
            </w:pPr>
            <w:r w:rsidRPr="009F7416">
              <w:rPr>
                <w:sz w:val="22"/>
              </w:rPr>
              <w:t xml:space="preserve">„МБАЛ „Св. Пантелеймон“ - </w:t>
            </w:r>
          </w:p>
          <w:p w14:paraId="5EFF55C4" w14:textId="77777777" w:rsidR="006A3560" w:rsidRPr="009F7416" w:rsidRDefault="006A3560" w:rsidP="00D22320">
            <w:pPr>
              <w:spacing w:after="18" w:line="259" w:lineRule="auto"/>
              <w:jc w:val="left"/>
              <w:rPr>
                <w:sz w:val="22"/>
              </w:rPr>
            </w:pPr>
            <w:r w:rsidRPr="009F7416">
              <w:rPr>
                <w:sz w:val="22"/>
              </w:rPr>
              <w:t>Ямбол“ АД, гр. Ямбол</w:t>
            </w:r>
          </w:p>
        </w:tc>
        <w:tc>
          <w:tcPr>
            <w:tcW w:w="1492" w:type="dxa"/>
            <w:tcBorders>
              <w:top w:val="single" w:sz="4" w:space="0" w:color="000000"/>
              <w:left w:val="nil"/>
              <w:bottom w:val="single" w:sz="4" w:space="0" w:color="000000"/>
              <w:right w:val="nil"/>
            </w:tcBorders>
            <w:shd w:val="clear" w:color="auto" w:fill="F2F2F2"/>
            <w:vAlign w:val="center"/>
          </w:tcPr>
          <w:p w14:paraId="048A1686" w14:textId="77777777" w:rsidR="006A3560" w:rsidRPr="001B2CF6" w:rsidRDefault="006A3560" w:rsidP="00D22320">
            <w:pPr>
              <w:spacing w:line="259" w:lineRule="auto"/>
              <w:ind w:right="57"/>
              <w:jc w:val="center"/>
              <w:rPr>
                <w:sz w:val="22"/>
              </w:rPr>
            </w:pPr>
            <w:r w:rsidRPr="001B2CF6">
              <w:rPr>
                <w:sz w:val="22"/>
              </w:rPr>
              <w:t>1 237 400</w:t>
            </w:r>
          </w:p>
        </w:tc>
        <w:tc>
          <w:tcPr>
            <w:tcW w:w="4379" w:type="dxa"/>
            <w:tcBorders>
              <w:top w:val="single" w:sz="4" w:space="0" w:color="000000"/>
              <w:left w:val="nil"/>
              <w:bottom w:val="single" w:sz="4" w:space="0" w:color="000000"/>
              <w:right w:val="nil"/>
            </w:tcBorders>
          </w:tcPr>
          <w:p w14:paraId="408ECFBF" w14:textId="77777777" w:rsidR="006A3560" w:rsidRPr="009F7416" w:rsidRDefault="001B2CF6" w:rsidP="00D22320">
            <w:pPr>
              <w:spacing w:line="259" w:lineRule="auto"/>
              <w:rPr>
                <w:sz w:val="22"/>
              </w:rPr>
            </w:pPr>
            <w:r>
              <w:rPr>
                <w:sz w:val="22"/>
              </w:rPr>
              <w:t>Инвестиции</w:t>
            </w:r>
            <w:r w:rsidR="006A3560" w:rsidRPr="009F7416">
              <w:rPr>
                <w:sz w:val="22"/>
              </w:rPr>
              <w:t xml:space="preserve"> по договора за изграждане </w:t>
            </w:r>
            <w:r w:rsidR="00F829E2">
              <w:rPr>
                <w:sz w:val="22"/>
              </w:rPr>
              <w:t>на новия болничен блок (етап 3)</w:t>
            </w:r>
          </w:p>
        </w:tc>
        <w:tc>
          <w:tcPr>
            <w:tcW w:w="106" w:type="dxa"/>
            <w:tcBorders>
              <w:top w:val="single" w:sz="4" w:space="0" w:color="000000"/>
              <w:left w:val="nil"/>
              <w:bottom w:val="single" w:sz="4" w:space="0" w:color="000000"/>
              <w:right w:val="nil"/>
            </w:tcBorders>
          </w:tcPr>
          <w:p w14:paraId="41C4ADA6" w14:textId="77777777" w:rsidR="006A3560" w:rsidRPr="009F7416" w:rsidRDefault="006A3560" w:rsidP="00D22320">
            <w:pPr>
              <w:spacing w:line="259" w:lineRule="auto"/>
              <w:rPr>
                <w:sz w:val="22"/>
              </w:rPr>
            </w:pPr>
          </w:p>
        </w:tc>
      </w:tr>
      <w:tr w:rsidR="006A3560" w:rsidRPr="009F7416" w14:paraId="6CAE59E7" w14:textId="77777777" w:rsidTr="00207936">
        <w:trPr>
          <w:trHeight w:val="625"/>
        </w:trPr>
        <w:tc>
          <w:tcPr>
            <w:tcW w:w="484" w:type="dxa"/>
            <w:tcBorders>
              <w:top w:val="single" w:sz="4" w:space="0" w:color="000000"/>
              <w:left w:val="nil"/>
              <w:bottom w:val="single" w:sz="4" w:space="0" w:color="000000"/>
              <w:right w:val="nil"/>
            </w:tcBorders>
            <w:shd w:val="clear" w:color="auto" w:fill="F2F2F2"/>
            <w:vAlign w:val="center"/>
          </w:tcPr>
          <w:p w14:paraId="7CE67455" w14:textId="77777777" w:rsidR="006A3560" w:rsidRPr="009F7416" w:rsidRDefault="006A3560" w:rsidP="00D22320">
            <w:pPr>
              <w:spacing w:line="259" w:lineRule="auto"/>
              <w:ind w:left="67"/>
              <w:jc w:val="left"/>
              <w:rPr>
                <w:sz w:val="22"/>
              </w:rPr>
            </w:pPr>
            <w:r>
              <w:rPr>
                <w:sz w:val="22"/>
              </w:rPr>
              <w:t>2</w:t>
            </w:r>
          </w:p>
        </w:tc>
        <w:tc>
          <w:tcPr>
            <w:tcW w:w="3288" w:type="dxa"/>
            <w:tcBorders>
              <w:top w:val="single" w:sz="4" w:space="0" w:color="000000"/>
              <w:left w:val="nil"/>
              <w:bottom w:val="single" w:sz="4" w:space="0" w:color="000000"/>
              <w:right w:val="nil"/>
            </w:tcBorders>
          </w:tcPr>
          <w:p w14:paraId="3009DC96" w14:textId="77777777" w:rsidR="006A3560" w:rsidRPr="009F7416" w:rsidRDefault="006A3560" w:rsidP="00D22320">
            <w:pPr>
              <w:spacing w:line="259" w:lineRule="auto"/>
              <w:jc w:val="left"/>
              <w:rPr>
                <w:sz w:val="22"/>
              </w:rPr>
            </w:pPr>
            <w:r w:rsidRPr="009F7416">
              <w:rPr>
                <w:sz w:val="22"/>
              </w:rPr>
              <w:t xml:space="preserve">Здравна инвестиционна компания за детска болница ЕАД </w:t>
            </w:r>
          </w:p>
        </w:tc>
        <w:tc>
          <w:tcPr>
            <w:tcW w:w="1492" w:type="dxa"/>
            <w:tcBorders>
              <w:top w:val="single" w:sz="4" w:space="0" w:color="000000"/>
              <w:left w:val="nil"/>
              <w:bottom w:val="single" w:sz="4" w:space="0" w:color="000000"/>
              <w:right w:val="nil"/>
            </w:tcBorders>
            <w:shd w:val="clear" w:color="auto" w:fill="F2F2F2"/>
            <w:vAlign w:val="center"/>
          </w:tcPr>
          <w:p w14:paraId="05603C24" w14:textId="77777777" w:rsidR="006A3560" w:rsidRPr="001B2CF6" w:rsidRDefault="006A3560" w:rsidP="00D22320">
            <w:pPr>
              <w:spacing w:line="259" w:lineRule="auto"/>
              <w:ind w:right="57"/>
              <w:jc w:val="center"/>
              <w:rPr>
                <w:sz w:val="22"/>
              </w:rPr>
            </w:pPr>
            <w:r w:rsidRPr="001B2CF6">
              <w:rPr>
                <w:sz w:val="22"/>
              </w:rPr>
              <w:t xml:space="preserve">25 000 000 </w:t>
            </w:r>
          </w:p>
        </w:tc>
        <w:tc>
          <w:tcPr>
            <w:tcW w:w="4379" w:type="dxa"/>
            <w:tcBorders>
              <w:top w:val="single" w:sz="4" w:space="0" w:color="000000"/>
              <w:left w:val="nil"/>
              <w:bottom w:val="single" w:sz="4" w:space="0" w:color="000000"/>
              <w:right w:val="nil"/>
            </w:tcBorders>
          </w:tcPr>
          <w:p w14:paraId="57EFD5CB" w14:textId="77777777" w:rsidR="006A3560" w:rsidRPr="009F7416" w:rsidRDefault="001B2CF6" w:rsidP="001B2CF6">
            <w:pPr>
              <w:spacing w:line="259" w:lineRule="auto"/>
              <w:rPr>
                <w:sz w:val="22"/>
              </w:rPr>
            </w:pPr>
            <w:r>
              <w:rPr>
                <w:sz w:val="22"/>
              </w:rPr>
              <w:t>Инвестиции за и</w:t>
            </w:r>
            <w:r w:rsidR="006A3560" w:rsidRPr="009F7416">
              <w:rPr>
                <w:sz w:val="22"/>
              </w:rPr>
              <w:t>зграждане и оборудване</w:t>
            </w:r>
            <w:r w:rsidR="00F829E2">
              <w:rPr>
                <w:sz w:val="22"/>
              </w:rPr>
              <w:t xml:space="preserve"> на Националната детска болница</w:t>
            </w:r>
          </w:p>
        </w:tc>
        <w:tc>
          <w:tcPr>
            <w:tcW w:w="106" w:type="dxa"/>
            <w:tcBorders>
              <w:top w:val="single" w:sz="4" w:space="0" w:color="000000"/>
              <w:left w:val="nil"/>
              <w:bottom w:val="single" w:sz="4" w:space="0" w:color="000000"/>
              <w:right w:val="nil"/>
            </w:tcBorders>
          </w:tcPr>
          <w:p w14:paraId="26E9A6BD" w14:textId="77777777" w:rsidR="006A3560" w:rsidRPr="009F7416" w:rsidDel="00EB73A1" w:rsidRDefault="006A3560" w:rsidP="00D22320">
            <w:pPr>
              <w:spacing w:line="259" w:lineRule="auto"/>
              <w:rPr>
                <w:sz w:val="22"/>
              </w:rPr>
            </w:pPr>
          </w:p>
        </w:tc>
      </w:tr>
      <w:tr w:rsidR="006A3560" w:rsidRPr="009F7416" w14:paraId="22BE4ED6" w14:textId="77777777" w:rsidTr="00207936">
        <w:trPr>
          <w:trHeight w:val="1384"/>
        </w:trPr>
        <w:tc>
          <w:tcPr>
            <w:tcW w:w="484" w:type="dxa"/>
            <w:tcBorders>
              <w:top w:val="single" w:sz="4" w:space="0" w:color="000000"/>
              <w:left w:val="nil"/>
              <w:bottom w:val="single" w:sz="4" w:space="0" w:color="000000"/>
              <w:right w:val="nil"/>
            </w:tcBorders>
            <w:shd w:val="clear" w:color="auto" w:fill="F2F2F2"/>
            <w:vAlign w:val="center"/>
          </w:tcPr>
          <w:p w14:paraId="77BBEA6D" w14:textId="77777777" w:rsidR="006A3560" w:rsidRPr="009F7416" w:rsidRDefault="006A3560" w:rsidP="00D22320">
            <w:pPr>
              <w:spacing w:line="259" w:lineRule="auto"/>
              <w:ind w:left="67"/>
              <w:jc w:val="left"/>
              <w:rPr>
                <w:sz w:val="22"/>
              </w:rPr>
            </w:pPr>
            <w:r>
              <w:rPr>
                <w:sz w:val="22"/>
              </w:rPr>
              <w:t>3</w:t>
            </w:r>
            <w:r w:rsidRPr="009F7416">
              <w:rPr>
                <w:sz w:val="22"/>
              </w:rPr>
              <w:t xml:space="preserve"> </w:t>
            </w:r>
          </w:p>
        </w:tc>
        <w:tc>
          <w:tcPr>
            <w:tcW w:w="3288" w:type="dxa"/>
            <w:tcBorders>
              <w:top w:val="single" w:sz="4" w:space="0" w:color="000000"/>
              <w:left w:val="nil"/>
              <w:bottom w:val="single" w:sz="4" w:space="0" w:color="000000"/>
              <w:right w:val="nil"/>
            </w:tcBorders>
            <w:vAlign w:val="center"/>
          </w:tcPr>
          <w:p w14:paraId="7F1D4D02" w14:textId="77777777" w:rsidR="006A3560" w:rsidRPr="009F7416" w:rsidRDefault="006A3560" w:rsidP="00D22320">
            <w:pPr>
              <w:spacing w:after="17" w:line="259" w:lineRule="auto"/>
              <w:rPr>
                <w:sz w:val="22"/>
              </w:rPr>
            </w:pPr>
            <w:r w:rsidRPr="009F7416">
              <w:rPr>
                <w:sz w:val="22"/>
              </w:rPr>
              <w:t xml:space="preserve">„Български Енергиен Холдинг“ </w:t>
            </w:r>
          </w:p>
          <w:p w14:paraId="222037D8" w14:textId="77777777" w:rsidR="006A3560" w:rsidRPr="009F7416" w:rsidRDefault="006A3560" w:rsidP="00D22320">
            <w:pPr>
              <w:spacing w:line="259" w:lineRule="auto"/>
              <w:jc w:val="left"/>
              <w:rPr>
                <w:sz w:val="22"/>
              </w:rPr>
            </w:pPr>
            <w:r w:rsidRPr="009F7416">
              <w:rPr>
                <w:sz w:val="22"/>
              </w:rPr>
              <w:t xml:space="preserve">ЕАД (БЕХ) </w:t>
            </w:r>
          </w:p>
        </w:tc>
        <w:tc>
          <w:tcPr>
            <w:tcW w:w="1492" w:type="dxa"/>
            <w:tcBorders>
              <w:top w:val="single" w:sz="4" w:space="0" w:color="000000"/>
              <w:left w:val="nil"/>
              <w:bottom w:val="single" w:sz="4" w:space="0" w:color="000000"/>
              <w:right w:val="nil"/>
            </w:tcBorders>
            <w:shd w:val="clear" w:color="auto" w:fill="F2F2F2"/>
            <w:vAlign w:val="center"/>
          </w:tcPr>
          <w:p w14:paraId="490B2585" w14:textId="77777777" w:rsidR="006A3560" w:rsidRPr="001B2CF6" w:rsidRDefault="006A3560" w:rsidP="00D22320">
            <w:pPr>
              <w:spacing w:line="259" w:lineRule="auto"/>
              <w:ind w:right="57"/>
              <w:jc w:val="center"/>
              <w:rPr>
                <w:sz w:val="22"/>
              </w:rPr>
            </w:pPr>
            <w:r w:rsidRPr="001B2CF6">
              <w:rPr>
                <w:sz w:val="22"/>
              </w:rPr>
              <w:t>127 82</w:t>
            </w:r>
            <w:r w:rsidR="00FC4EC3" w:rsidRPr="001B2CF6">
              <w:rPr>
                <w:sz w:val="22"/>
                <w:lang w:val="en-US"/>
              </w:rPr>
              <w:t>3</w:t>
            </w:r>
            <w:r w:rsidRPr="001B2CF6">
              <w:rPr>
                <w:sz w:val="22"/>
              </w:rPr>
              <w:t xml:space="preserve"> </w:t>
            </w:r>
            <w:r w:rsidR="00FC4EC3" w:rsidRPr="001B2CF6">
              <w:rPr>
                <w:sz w:val="22"/>
                <w:lang w:val="en-US"/>
              </w:rPr>
              <w:t>00</w:t>
            </w:r>
            <w:r w:rsidRPr="001B2CF6">
              <w:rPr>
                <w:sz w:val="22"/>
              </w:rPr>
              <w:t xml:space="preserve">0 </w:t>
            </w:r>
          </w:p>
        </w:tc>
        <w:tc>
          <w:tcPr>
            <w:tcW w:w="4379" w:type="dxa"/>
            <w:tcBorders>
              <w:top w:val="single" w:sz="4" w:space="0" w:color="000000"/>
              <w:left w:val="nil"/>
              <w:bottom w:val="single" w:sz="4" w:space="0" w:color="000000"/>
              <w:right w:val="nil"/>
            </w:tcBorders>
          </w:tcPr>
          <w:p w14:paraId="4BAB472B" w14:textId="77777777" w:rsidR="006A3560" w:rsidRPr="009F7416" w:rsidRDefault="008E32B0" w:rsidP="008E32B0">
            <w:pPr>
              <w:spacing w:line="259" w:lineRule="auto"/>
              <w:rPr>
                <w:sz w:val="22"/>
              </w:rPr>
            </w:pPr>
            <w:r>
              <w:rPr>
                <w:sz w:val="22"/>
              </w:rPr>
              <w:t>Инвестиции</w:t>
            </w:r>
            <w:r w:rsidRPr="009F7416">
              <w:rPr>
                <w:sz w:val="22"/>
              </w:rPr>
              <w:t xml:space="preserve"> </w:t>
            </w:r>
            <w:r>
              <w:rPr>
                <w:sz w:val="22"/>
              </w:rPr>
              <w:t xml:space="preserve">с цел </w:t>
            </w:r>
            <w:r w:rsidRPr="009F7416">
              <w:rPr>
                <w:sz w:val="22"/>
              </w:rPr>
              <w:t>за обезпечаване на дейности по техническа рекултивация на нарушените терени на находище „Източномаришки въглищен басейн“</w:t>
            </w:r>
            <w:r>
              <w:rPr>
                <w:sz w:val="22"/>
              </w:rPr>
              <w:t xml:space="preserve"> – чрез увеличаване</w:t>
            </w:r>
            <w:r w:rsidR="006A3560" w:rsidRPr="009F7416">
              <w:rPr>
                <w:sz w:val="22"/>
              </w:rPr>
              <w:t xml:space="preserve"> на капитала на БЕХ</w:t>
            </w:r>
          </w:p>
        </w:tc>
        <w:tc>
          <w:tcPr>
            <w:tcW w:w="106" w:type="dxa"/>
            <w:tcBorders>
              <w:top w:val="single" w:sz="4" w:space="0" w:color="000000"/>
              <w:left w:val="nil"/>
              <w:bottom w:val="single" w:sz="4" w:space="0" w:color="000000"/>
              <w:right w:val="nil"/>
            </w:tcBorders>
          </w:tcPr>
          <w:p w14:paraId="04D60D06" w14:textId="77777777" w:rsidR="006A3560" w:rsidRPr="009F7416" w:rsidRDefault="006A3560" w:rsidP="00D22320">
            <w:pPr>
              <w:spacing w:line="259" w:lineRule="auto"/>
              <w:jc w:val="left"/>
              <w:rPr>
                <w:sz w:val="22"/>
              </w:rPr>
            </w:pPr>
          </w:p>
        </w:tc>
      </w:tr>
      <w:tr w:rsidR="006A3560" w:rsidRPr="009F7416" w14:paraId="064FF32F" w14:textId="77777777" w:rsidTr="00207936">
        <w:trPr>
          <w:trHeight w:val="1069"/>
        </w:trPr>
        <w:tc>
          <w:tcPr>
            <w:tcW w:w="484" w:type="dxa"/>
            <w:tcBorders>
              <w:top w:val="single" w:sz="4" w:space="0" w:color="000000"/>
              <w:left w:val="nil"/>
              <w:bottom w:val="single" w:sz="4" w:space="0" w:color="000000"/>
              <w:right w:val="nil"/>
            </w:tcBorders>
            <w:shd w:val="clear" w:color="auto" w:fill="F2F2F2"/>
            <w:vAlign w:val="center"/>
          </w:tcPr>
          <w:p w14:paraId="79E32F4C" w14:textId="77777777" w:rsidR="006A3560" w:rsidRPr="009F7416" w:rsidRDefault="006A3560" w:rsidP="00D22320">
            <w:pPr>
              <w:spacing w:line="259" w:lineRule="auto"/>
              <w:ind w:left="67"/>
              <w:jc w:val="left"/>
              <w:rPr>
                <w:sz w:val="22"/>
              </w:rPr>
            </w:pPr>
            <w:r>
              <w:rPr>
                <w:sz w:val="22"/>
              </w:rPr>
              <w:t>4</w:t>
            </w:r>
          </w:p>
        </w:tc>
        <w:tc>
          <w:tcPr>
            <w:tcW w:w="3288" w:type="dxa"/>
            <w:tcBorders>
              <w:top w:val="single" w:sz="4" w:space="0" w:color="000000"/>
              <w:left w:val="nil"/>
              <w:bottom w:val="single" w:sz="4" w:space="0" w:color="000000"/>
              <w:right w:val="nil"/>
            </w:tcBorders>
            <w:vAlign w:val="center"/>
          </w:tcPr>
          <w:p w14:paraId="1B9A625C" w14:textId="77777777" w:rsidR="006A3560" w:rsidRPr="009F7416" w:rsidRDefault="006A3560" w:rsidP="00D22320">
            <w:pPr>
              <w:spacing w:line="259" w:lineRule="auto"/>
              <w:jc w:val="left"/>
              <w:rPr>
                <w:sz w:val="22"/>
              </w:rPr>
            </w:pPr>
            <w:r>
              <w:rPr>
                <w:sz w:val="22"/>
              </w:rPr>
              <w:t>Български Ви</w:t>
            </w:r>
            <w:r w:rsidRPr="009F7416">
              <w:rPr>
                <w:sz w:val="22"/>
              </w:rPr>
              <w:t xml:space="preserve">К Холдинг </w:t>
            </w:r>
          </w:p>
        </w:tc>
        <w:tc>
          <w:tcPr>
            <w:tcW w:w="1492" w:type="dxa"/>
            <w:tcBorders>
              <w:top w:val="single" w:sz="4" w:space="0" w:color="000000"/>
              <w:left w:val="nil"/>
              <w:bottom w:val="single" w:sz="4" w:space="0" w:color="000000"/>
              <w:right w:val="nil"/>
            </w:tcBorders>
            <w:shd w:val="clear" w:color="auto" w:fill="F2F2F2"/>
            <w:vAlign w:val="center"/>
          </w:tcPr>
          <w:p w14:paraId="0CBC1EB2" w14:textId="77777777" w:rsidR="006A3560" w:rsidRPr="001B2CF6" w:rsidRDefault="006A3560" w:rsidP="00D22320">
            <w:pPr>
              <w:spacing w:line="259" w:lineRule="auto"/>
              <w:ind w:right="54"/>
              <w:jc w:val="center"/>
              <w:rPr>
                <w:sz w:val="22"/>
              </w:rPr>
            </w:pPr>
            <w:r w:rsidRPr="001B2CF6">
              <w:rPr>
                <w:sz w:val="22"/>
              </w:rPr>
              <w:t>200 000 000</w:t>
            </w:r>
          </w:p>
        </w:tc>
        <w:tc>
          <w:tcPr>
            <w:tcW w:w="4379" w:type="dxa"/>
            <w:tcBorders>
              <w:top w:val="single" w:sz="4" w:space="0" w:color="000000"/>
              <w:left w:val="nil"/>
              <w:bottom w:val="single" w:sz="4" w:space="0" w:color="000000"/>
              <w:right w:val="nil"/>
            </w:tcBorders>
          </w:tcPr>
          <w:p w14:paraId="27F239C7" w14:textId="77777777" w:rsidR="006A3560" w:rsidRPr="009F7416" w:rsidRDefault="006664CE" w:rsidP="006664CE">
            <w:pPr>
              <w:spacing w:after="2" w:line="237" w:lineRule="auto"/>
              <w:rPr>
                <w:sz w:val="22"/>
              </w:rPr>
            </w:pPr>
            <w:r>
              <w:rPr>
                <w:sz w:val="22"/>
              </w:rPr>
              <w:t xml:space="preserve">Инвестиции </w:t>
            </w:r>
            <w:r w:rsidR="006A3560" w:rsidRPr="009F7416">
              <w:rPr>
                <w:sz w:val="22"/>
              </w:rPr>
              <w:t xml:space="preserve">във ВиК инфраструктура, съфинансиране </w:t>
            </w:r>
            <w:r w:rsidR="006A3560">
              <w:rPr>
                <w:sz w:val="22"/>
              </w:rPr>
              <w:t>по Програма „Околна среда“ 2021-</w:t>
            </w:r>
            <w:r w:rsidR="006A3560" w:rsidRPr="009F7416">
              <w:rPr>
                <w:sz w:val="22"/>
              </w:rPr>
              <w:t xml:space="preserve">2027 и </w:t>
            </w:r>
            <w:r w:rsidR="00F829E2">
              <w:rPr>
                <w:sz w:val="22"/>
              </w:rPr>
              <w:t>аварийни мерки срещу безводието</w:t>
            </w:r>
          </w:p>
        </w:tc>
        <w:tc>
          <w:tcPr>
            <w:tcW w:w="106" w:type="dxa"/>
            <w:tcBorders>
              <w:top w:val="single" w:sz="4" w:space="0" w:color="000000"/>
              <w:left w:val="nil"/>
              <w:bottom w:val="single" w:sz="4" w:space="0" w:color="000000"/>
              <w:right w:val="nil"/>
            </w:tcBorders>
          </w:tcPr>
          <w:p w14:paraId="129F5A18" w14:textId="77777777" w:rsidR="006A3560" w:rsidRPr="009F7416" w:rsidRDefault="006A3560" w:rsidP="00D22320">
            <w:pPr>
              <w:spacing w:after="2" w:line="237" w:lineRule="auto"/>
              <w:jc w:val="left"/>
              <w:rPr>
                <w:sz w:val="22"/>
              </w:rPr>
            </w:pPr>
          </w:p>
        </w:tc>
      </w:tr>
      <w:tr w:rsidR="006A3560" w:rsidRPr="009F7416" w14:paraId="033B246D" w14:textId="77777777" w:rsidTr="00E06EA7">
        <w:trPr>
          <w:trHeight w:val="1339"/>
        </w:trPr>
        <w:tc>
          <w:tcPr>
            <w:tcW w:w="484" w:type="dxa"/>
            <w:tcBorders>
              <w:top w:val="single" w:sz="4" w:space="0" w:color="000000"/>
              <w:left w:val="nil"/>
              <w:bottom w:val="single" w:sz="4" w:space="0" w:color="000000"/>
              <w:right w:val="nil"/>
            </w:tcBorders>
            <w:shd w:val="clear" w:color="auto" w:fill="F2F2F2"/>
            <w:vAlign w:val="center"/>
          </w:tcPr>
          <w:p w14:paraId="443108D9" w14:textId="77777777" w:rsidR="006A3560" w:rsidRPr="009F7416" w:rsidRDefault="006A3560" w:rsidP="00D22320">
            <w:pPr>
              <w:spacing w:line="259" w:lineRule="auto"/>
              <w:ind w:left="67"/>
              <w:jc w:val="left"/>
              <w:rPr>
                <w:sz w:val="22"/>
              </w:rPr>
            </w:pPr>
            <w:r>
              <w:rPr>
                <w:sz w:val="22"/>
              </w:rPr>
              <w:lastRenderedPageBreak/>
              <w:t>5</w:t>
            </w:r>
          </w:p>
        </w:tc>
        <w:tc>
          <w:tcPr>
            <w:tcW w:w="3288" w:type="dxa"/>
            <w:tcBorders>
              <w:top w:val="single" w:sz="4" w:space="0" w:color="000000"/>
              <w:left w:val="nil"/>
              <w:bottom w:val="single" w:sz="4" w:space="0" w:color="000000"/>
              <w:right w:val="nil"/>
            </w:tcBorders>
            <w:vAlign w:val="center"/>
          </w:tcPr>
          <w:p w14:paraId="282D3E35" w14:textId="77777777" w:rsidR="006A3560" w:rsidRPr="009F7416" w:rsidRDefault="006A3560" w:rsidP="00D22320">
            <w:pPr>
              <w:spacing w:line="259" w:lineRule="auto"/>
              <w:jc w:val="left"/>
              <w:rPr>
                <w:sz w:val="22"/>
              </w:rPr>
            </w:pPr>
            <w:r w:rsidRPr="009F7416">
              <w:rPr>
                <w:sz w:val="22"/>
              </w:rPr>
              <w:t>ФЛАГ ЕАД</w:t>
            </w:r>
          </w:p>
        </w:tc>
        <w:tc>
          <w:tcPr>
            <w:tcW w:w="1492" w:type="dxa"/>
            <w:tcBorders>
              <w:top w:val="single" w:sz="4" w:space="0" w:color="000000"/>
              <w:left w:val="nil"/>
              <w:bottom w:val="single" w:sz="4" w:space="0" w:color="000000"/>
              <w:right w:val="nil"/>
            </w:tcBorders>
            <w:shd w:val="clear" w:color="auto" w:fill="F2F2F2"/>
            <w:vAlign w:val="center"/>
          </w:tcPr>
          <w:p w14:paraId="6AB834C5" w14:textId="77777777" w:rsidR="006A3560" w:rsidRPr="001B2CF6" w:rsidRDefault="006A3560" w:rsidP="00D22320">
            <w:pPr>
              <w:spacing w:line="259" w:lineRule="auto"/>
              <w:ind w:right="54"/>
              <w:jc w:val="center"/>
              <w:rPr>
                <w:sz w:val="22"/>
              </w:rPr>
            </w:pPr>
            <w:r w:rsidRPr="001B2CF6">
              <w:rPr>
                <w:sz w:val="22"/>
              </w:rPr>
              <w:t>25 000 000</w:t>
            </w:r>
          </w:p>
        </w:tc>
        <w:tc>
          <w:tcPr>
            <w:tcW w:w="4379" w:type="dxa"/>
            <w:tcBorders>
              <w:top w:val="single" w:sz="4" w:space="0" w:color="000000"/>
              <w:left w:val="nil"/>
              <w:bottom w:val="single" w:sz="4" w:space="0" w:color="000000"/>
              <w:right w:val="nil"/>
            </w:tcBorders>
          </w:tcPr>
          <w:p w14:paraId="37CD4847" w14:textId="77777777" w:rsidR="006A3560" w:rsidRPr="009F7416" w:rsidRDefault="006A3560" w:rsidP="00D22320">
            <w:pPr>
              <w:spacing w:after="2" w:line="237" w:lineRule="auto"/>
              <w:rPr>
                <w:sz w:val="22"/>
              </w:rPr>
            </w:pPr>
            <w:r w:rsidRPr="009F7416">
              <w:rPr>
                <w:sz w:val="22"/>
              </w:rPr>
              <w:t>Повишаване на капацитета за управление на финансови инструменти по линия на ЕС и финансиране на общински инвестиции в сфери като ВиК, енергийна</w:t>
            </w:r>
            <w:r w:rsidR="00F829E2">
              <w:rPr>
                <w:sz w:val="22"/>
              </w:rPr>
              <w:t xml:space="preserve"> ефективност и градско развитие</w:t>
            </w:r>
          </w:p>
        </w:tc>
        <w:tc>
          <w:tcPr>
            <w:tcW w:w="106" w:type="dxa"/>
            <w:tcBorders>
              <w:top w:val="single" w:sz="4" w:space="0" w:color="000000"/>
              <w:left w:val="nil"/>
              <w:bottom w:val="single" w:sz="4" w:space="0" w:color="000000"/>
              <w:right w:val="nil"/>
            </w:tcBorders>
          </w:tcPr>
          <w:p w14:paraId="595A960C" w14:textId="77777777" w:rsidR="006A3560" w:rsidRPr="009F7416" w:rsidRDefault="006A3560" w:rsidP="00D22320">
            <w:pPr>
              <w:spacing w:after="2" w:line="237" w:lineRule="auto"/>
              <w:jc w:val="left"/>
              <w:rPr>
                <w:sz w:val="22"/>
              </w:rPr>
            </w:pPr>
          </w:p>
        </w:tc>
      </w:tr>
      <w:tr w:rsidR="006A3560" w:rsidRPr="009F7416" w14:paraId="62446FF0" w14:textId="77777777" w:rsidTr="00E06EA7">
        <w:trPr>
          <w:trHeight w:val="1384"/>
        </w:trPr>
        <w:tc>
          <w:tcPr>
            <w:tcW w:w="484" w:type="dxa"/>
            <w:tcBorders>
              <w:top w:val="single" w:sz="4" w:space="0" w:color="000000"/>
              <w:left w:val="nil"/>
              <w:bottom w:val="single" w:sz="4" w:space="0" w:color="000000"/>
              <w:right w:val="nil"/>
            </w:tcBorders>
            <w:shd w:val="clear" w:color="auto" w:fill="F2F2F2"/>
            <w:vAlign w:val="center"/>
          </w:tcPr>
          <w:p w14:paraId="0EF129D1" w14:textId="77777777" w:rsidR="006A3560" w:rsidRPr="009F7416" w:rsidRDefault="006A3560" w:rsidP="00D22320">
            <w:pPr>
              <w:spacing w:line="259" w:lineRule="auto"/>
              <w:ind w:left="67"/>
              <w:jc w:val="left"/>
              <w:rPr>
                <w:sz w:val="22"/>
              </w:rPr>
            </w:pPr>
            <w:r>
              <w:rPr>
                <w:sz w:val="22"/>
              </w:rPr>
              <w:t>6</w:t>
            </w:r>
          </w:p>
        </w:tc>
        <w:tc>
          <w:tcPr>
            <w:tcW w:w="3288" w:type="dxa"/>
            <w:tcBorders>
              <w:top w:val="single" w:sz="4" w:space="0" w:color="000000"/>
              <w:left w:val="nil"/>
              <w:bottom w:val="single" w:sz="4" w:space="0" w:color="000000"/>
              <w:right w:val="nil"/>
            </w:tcBorders>
            <w:vAlign w:val="center"/>
          </w:tcPr>
          <w:p w14:paraId="54DDDD97" w14:textId="77777777" w:rsidR="006A3560" w:rsidRPr="009F7416" w:rsidRDefault="006A3560" w:rsidP="00D22320">
            <w:pPr>
              <w:spacing w:line="259" w:lineRule="auto"/>
              <w:jc w:val="left"/>
              <w:rPr>
                <w:sz w:val="22"/>
              </w:rPr>
            </w:pPr>
            <w:r w:rsidRPr="009F7416">
              <w:rPr>
                <w:sz w:val="22"/>
              </w:rPr>
              <w:t>София Тех парк АД</w:t>
            </w:r>
          </w:p>
        </w:tc>
        <w:tc>
          <w:tcPr>
            <w:tcW w:w="1492" w:type="dxa"/>
            <w:tcBorders>
              <w:top w:val="single" w:sz="4" w:space="0" w:color="000000"/>
              <w:left w:val="nil"/>
              <w:bottom w:val="single" w:sz="4" w:space="0" w:color="000000"/>
              <w:right w:val="nil"/>
            </w:tcBorders>
            <w:shd w:val="clear" w:color="auto" w:fill="F2F2F2"/>
            <w:vAlign w:val="center"/>
          </w:tcPr>
          <w:p w14:paraId="5E8AD035" w14:textId="77777777" w:rsidR="006A3560" w:rsidRPr="001B2CF6" w:rsidDel="00D15C7B" w:rsidRDefault="006A3560" w:rsidP="00D22320">
            <w:pPr>
              <w:spacing w:line="259" w:lineRule="auto"/>
              <w:ind w:right="54"/>
              <w:jc w:val="center"/>
              <w:rPr>
                <w:sz w:val="22"/>
              </w:rPr>
            </w:pPr>
            <w:r w:rsidRPr="001B2CF6">
              <w:rPr>
                <w:sz w:val="22"/>
              </w:rPr>
              <w:t>25 000 000</w:t>
            </w:r>
          </w:p>
        </w:tc>
        <w:tc>
          <w:tcPr>
            <w:tcW w:w="4379" w:type="dxa"/>
            <w:tcBorders>
              <w:top w:val="single" w:sz="4" w:space="0" w:color="000000"/>
              <w:left w:val="nil"/>
              <w:bottom w:val="single" w:sz="4" w:space="0" w:color="000000"/>
              <w:right w:val="nil"/>
            </w:tcBorders>
          </w:tcPr>
          <w:p w14:paraId="0E625FBE" w14:textId="77777777" w:rsidR="006A3560" w:rsidRPr="009F7416" w:rsidDel="00D15C7B" w:rsidRDefault="006664CE" w:rsidP="006664CE">
            <w:pPr>
              <w:spacing w:line="259" w:lineRule="auto"/>
              <w:rPr>
                <w:sz w:val="22"/>
              </w:rPr>
            </w:pPr>
            <w:r>
              <w:rPr>
                <w:sz w:val="22"/>
              </w:rPr>
              <w:t>Инвестиции за и</w:t>
            </w:r>
            <w:r w:rsidR="006A3560" w:rsidRPr="009F7416">
              <w:rPr>
                <w:sz w:val="22"/>
              </w:rPr>
              <w:t xml:space="preserve">зграждане на „Фабрика за изкуствен интелект“ (AI </w:t>
            </w:r>
            <w:proofErr w:type="spellStart"/>
            <w:r w:rsidR="006A3560" w:rsidRPr="009F7416">
              <w:rPr>
                <w:sz w:val="22"/>
              </w:rPr>
              <w:t>Factory</w:t>
            </w:r>
            <w:proofErr w:type="spellEnd"/>
            <w:r w:rsidR="006A3560" w:rsidRPr="009F7416">
              <w:rPr>
                <w:sz w:val="22"/>
              </w:rPr>
              <w:t xml:space="preserve"> – BRAIN++) и развитие на суперкомпютъра </w:t>
            </w:r>
            <w:proofErr w:type="spellStart"/>
            <w:r w:rsidR="006A3560" w:rsidRPr="009F7416">
              <w:rPr>
                <w:sz w:val="22"/>
              </w:rPr>
              <w:t>Discoverer</w:t>
            </w:r>
            <w:proofErr w:type="spellEnd"/>
            <w:r w:rsidR="006A3560" w:rsidRPr="009F7416">
              <w:rPr>
                <w:sz w:val="22"/>
              </w:rPr>
              <w:t xml:space="preserve">++ за нуждите на научноизследователската и </w:t>
            </w:r>
            <w:r w:rsidR="00F829E2">
              <w:rPr>
                <w:sz w:val="22"/>
              </w:rPr>
              <w:t>иновационна дейност</w:t>
            </w:r>
          </w:p>
        </w:tc>
        <w:tc>
          <w:tcPr>
            <w:tcW w:w="106" w:type="dxa"/>
            <w:tcBorders>
              <w:top w:val="single" w:sz="4" w:space="0" w:color="000000"/>
              <w:left w:val="nil"/>
              <w:bottom w:val="single" w:sz="4" w:space="0" w:color="000000"/>
              <w:right w:val="nil"/>
            </w:tcBorders>
          </w:tcPr>
          <w:p w14:paraId="6EFFB15F" w14:textId="77777777" w:rsidR="006A3560" w:rsidRPr="009F7416" w:rsidDel="00D15C7B" w:rsidRDefault="006A3560" w:rsidP="00D22320">
            <w:pPr>
              <w:spacing w:line="259" w:lineRule="auto"/>
              <w:jc w:val="left"/>
              <w:rPr>
                <w:sz w:val="22"/>
              </w:rPr>
            </w:pPr>
          </w:p>
        </w:tc>
      </w:tr>
      <w:tr w:rsidR="006A3560" w:rsidRPr="009F7416" w14:paraId="3F98D94C" w14:textId="77777777" w:rsidTr="00207936">
        <w:trPr>
          <w:trHeight w:val="1639"/>
        </w:trPr>
        <w:tc>
          <w:tcPr>
            <w:tcW w:w="484" w:type="dxa"/>
            <w:tcBorders>
              <w:top w:val="single" w:sz="4" w:space="0" w:color="000000"/>
              <w:left w:val="nil"/>
              <w:bottom w:val="single" w:sz="4" w:space="0" w:color="000000"/>
              <w:right w:val="nil"/>
            </w:tcBorders>
            <w:shd w:val="clear" w:color="auto" w:fill="F2F2F2"/>
            <w:vAlign w:val="center"/>
          </w:tcPr>
          <w:p w14:paraId="76872FB6" w14:textId="77777777" w:rsidR="006A3560" w:rsidRPr="009F7416" w:rsidRDefault="006A3560" w:rsidP="00D22320">
            <w:pPr>
              <w:spacing w:line="259" w:lineRule="auto"/>
              <w:ind w:left="67"/>
              <w:jc w:val="left"/>
              <w:rPr>
                <w:sz w:val="22"/>
              </w:rPr>
            </w:pPr>
            <w:r>
              <w:rPr>
                <w:sz w:val="22"/>
              </w:rPr>
              <w:t>7</w:t>
            </w:r>
            <w:r w:rsidRPr="009F7416">
              <w:rPr>
                <w:sz w:val="22"/>
              </w:rPr>
              <w:t xml:space="preserve"> </w:t>
            </w:r>
          </w:p>
        </w:tc>
        <w:tc>
          <w:tcPr>
            <w:tcW w:w="3288" w:type="dxa"/>
            <w:tcBorders>
              <w:top w:val="single" w:sz="4" w:space="0" w:color="000000"/>
              <w:left w:val="nil"/>
              <w:bottom w:val="single" w:sz="4" w:space="0" w:color="000000"/>
              <w:right w:val="nil"/>
            </w:tcBorders>
            <w:vAlign w:val="center"/>
          </w:tcPr>
          <w:p w14:paraId="3B3E5E0A" w14:textId="77777777" w:rsidR="006A3560" w:rsidRPr="009F7416" w:rsidRDefault="006A3560" w:rsidP="00D22320">
            <w:pPr>
              <w:spacing w:line="259" w:lineRule="auto"/>
              <w:jc w:val="left"/>
              <w:rPr>
                <w:sz w:val="22"/>
              </w:rPr>
            </w:pPr>
            <w:r w:rsidRPr="009F7416">
              <w:rPr>
                <w:sz w:val="22"/>
              </w:rPr>
              <w:t>Учредяване и капитализиране на търговско дружество със 100% държавно участие към МИИ</w:t>
            </w:r>
            <w:r>
              <w:rPr>
                <w:sz w:val="22"/>
              </w:rPr>
              <w:t xml:space="preserve"> </w:t>
            </w:r>
          </w:p>
        </w:tc>
        <w:tc>
          <w:tcPr>
            <w:tcW w:w="1492" w:type="dxa"/>
            <w:tcBorders>
              <w:top w:val="single" w:sz="4" w:space="0" w:color="000000"/>
              <w:left w:val="nil"/>
              <w:bottom w:val="single" w:sz="4" w:space="0" w:color="000000"/>
              <w:right w:val="nil"/>
            </w:tcBorders>
            <w:shd w:val="clear" w:color="auto" w:fill="F2F2F2"/>
            <w:vAlign w:val="center"/>
          </w:tcPr>
          <w:p w14:paraId="62AA8876" w14:textId="77777777" w:rsidR="006A3560" w:rsidRPr="001B2CF6" w:rsidRDefault="006A3560" w:rsidP="00D22320">
            <w:pPr>
              <w:spacing w:line="259" w:lineRule="auto"/>
              <w:ind w:right="54"/>
              <w:jc w:val="center"/>
              <w:rPr>
                <w:sz w:val="22"/>
              </w:rPr>
            </w:pPr>
            <w:r w:rsidRPr="001B2CF6">
              <w:rPr>
                <w:sz w:val="22"/>
              </w:rPr>
              <w:t xml:space="preserve">260 000 000 </w:t>
            </w:r>
          </w:p>
        </w:tc>
        <w:tc>
          <w:tcPr>
            <w:tcW w:w="4379" w:type="dxa"/>
            <w:tcBorders>
              <w:top w:val="single" w:sz="4" w:space="0" w:color="000000"/>
              <w:left w:val="nil"/>
              <w:bottom w:val="single" w:sz="4" w:space="0" w:color="000000"/>
              <w:right w:val="nil"/>
            </w:tcBorders>
          </w:tcPr>
          <w:p w14:paraId="4342071C" w14:textId="77777777" w:rsidR="006A3560" w:rsidRPr="009F7416" w:rsidRDefault="003F6B29" w:rsidP="003F6B29">
            <w:pPr>
              <w:spacing w:line="259" w:lineRule="auto"/>
              <w:ind w:right="36"/>
              <w:rPr>
                <w:sz w:val="22"/>
              </w:rPr>
            </w:pPr>
            <w:r>
              <w:rPr>
                <w:sz w:val="22"/>
              </w:rPr>
              <w:t>Инвестиции за с</w:t>
            </w:r>
            <w:r w:rsidR="006A3560" w:rsidRPr="009F7416">
              <w:rPr>
                <w:sz w:val="22"/>
              </w:rPr>
              <w:t xml:space="preserve">ъздаване на производствено предприятие в сектора на военната промишленост, което ще оперира изключително в рамките на националните и международни регламенти и само след получаване на всички </w:t>
            </w:r>
            <w:r w:rsidR="00F829E2">
              <w:rPr>
                <w:sz w:val="22"/>
              </w:rPr>
              <w:t>необходими разрешения и лицензи</w:t>
            </w:r>
          </w:p>
        </w:tc>
        <w:tc>
          <w:tcPr>
            <w:tcW w:w="106" w:type="dxa"/>
            <w:tcBorders>
              <w:top w:val="single" w:sz="4" w:space="0" w:color="000000"/>
              <w:left w:val="nil"/>
              <w:bottom w:val="single" w:sz="4" w:space="0" w:color="000000"/>
              <w:right w:val="nil"/>
            </w:tcBorders>
          </w:tcPr>
          <w:p w14:paraId="57179AC2" w14:textId="77777777" w:rsidR="006A3560" w:rsidRPr="009F7416" w:rsidDel="00D15C7B" w:rsidRDefault="006A3560" w:rsidP="00D22320">
            <w:pPr>
              <w:spacing w:line="259" w:lineRule="auto"/>
              <w:ind w:right="36"/>
              <w:jc w:val="left"/>
              <w:rPr>
                <w:sz w:val="22"/>
              </w:rPr>
            </w:pPr>
          </w:p>
        </w:tc>
      </w:tr>
      <w:tr w:rsidR="006A3560" w:rsidRPr="009F7416" w14:paraId="6C0943CE" w14:textId="77777777" w:rsidTr="00207936">
        <w:trPr>
          <w:trHeight w:val="714"/>
        </w:trPr>
        <w:tc>
          <w:tcPr>
            <w:tcW w:w="484" w:type="dxa"/>
            <w:tcBorders>
              <w:top w:val="single" w:sz="4" w:space="0" w:color="000000"/>
              <w:left w:val="nil"/>
              <w:bottom w:val="single" w:sz="4" w:space="0" w:color="000000"/>
              <w:right w:val="nil"/>
            </w:tcBorders>
            <w:shd w:val="clear" w:color="auto" w:fill="F2F2F2"/>
            <w:vAlign w:val="center"/>
          </w:tcPr>
          <w:p w14:paraId="65D503C3" w14:textId="77777777" w:rsidR="006A3560" w:rsidRPr="009F7416" w:rsidRDefault="006A3560" w:rsidP="00D22320">
            <w:pPr>
              <w:spacing w:line="259" w:lineRule="auto"/>
              <w:ind w:left="12"/>
              <w:rPr>
                <w:sz w:val="22"/>
              </w:rPr>
            </w:pPr>
            <w:r>
              <w:rPr>
                <w:sz w:val="22"/>
              </w:rPr>
              <w:t>8</w:t>
            </w:r>
            <w:r w:rsidRPr="009F7416">
              <w:rPr>
                <w:sz w:val="22"/>
              </w:rPr>
              <w:t xml:space="preserve"> </w:t>
            </w:r>
          </w:p>
        </w:tc>
        <w:tc>
          <w:tcPr>
            <w:tcW w:w="3288" w:type="dxa"/>
            <w:tcBorders>
              <w:top w:val="single" w:sz="4" w:space="0" w:color="000000"/>
              <w:left w:val="nil"/>
              <w:bottom w:val="single" w:sz="4" w:space="0" w:color="000000"/>
              <w:right w:val="nil"/>
            </w:tcBorders>
            <w:vAlign w:val="center"/>
          </w:tcPr>
          <w:p w14:paraId="37FE30CC" w14:textId="77777777" w:rsidR="006A3560" w:rsidRPr="009F7416" w:rsidRDefault="006A3560" w:rsidP="00D22320">
            <w:pPr>
              <w:spacing w:line="259" w:lineRule="auto"/>
              <w:rPr>
                <w:sz w:val="22"/>
              </w:rPr>
            </w:pPr>
            <w:r w:rsidRPr="009F7416">
              <w:rPr>
                <w:sz w:val="22"/>
              </w:rPr>
              <w:t xml:space="preserve">Създаване на Смесено предприятие </w:t>
            </w:r>
            <w:r w:rsidRPr="00202877">
              <w:rPr>
                <w:sz w:val="22"/>
              </w:rPr>
              <w:t>(</w:t>
            </w:r>
            <w:r w:rsidRPr="009F7416">
              <w:rPr>
                <w:sz w:val="22"/>
                <w:lang w:val="en-US"/>
              </w:rPr>
              <w:t>Joint</w:t>
            </w:r>
            <w:r w:rsidRPr="00202877">
              <w:rPr>
                <w:sz w:val="22"/>
              </w:rPr>
              <w:t xml:space="preserve"> </w:t>
            </w:r>
            <w:r w:rsidRPr="009F7416">
              <w:rPr>
                <w:sz w:val="22"/>
                <w:lang w:val="en-US"/>
              </w:rPr>
              <w:t>Venture</w:t>
            </w:r>
            <w:r w:rsidRPr="00202877">
              <w:rPr>
                <w:sz w:val="22"/>
              </w:rPr>
              <w:t>)</w:t>
            </w:r>
            <w:r w:rsidRPr="009F7416">
              <w:rPr>
                <w:sz w:val="22"/>
              </w:rPr>
              <w:t xml:space="preserve"> </w:t>
            </w:r>
            <w:r w:rsidRPr="00202877">
              <w:rPr>
                <w:sz w:val="22"/>
              </w:rPr>
              <w:t xml:space="preserve">– </w:t>
            </w:r>
            <w:r w:rsidRPr="009F7416">
              <w:rPr>
                <w:sz w:val="22"/>
              </w:rPr>
              <w:t>чрез ВМЗ ЕАД – дъщерно дружество на ДКК ЕАД</w:t>
            </w:r>
          </w:p>
        </w:tc>
        <w:tc>
          <w:tcPr>
            <w:tcW w:w="1492" w:type="dxa"/>
            <w:tcBorders>
              <w:top w:val="single" w:sz="4" w:space="0" w:color="000000"/>
              <w:left w:val="nil"/>
              <w:bottom w:val="single" w:sz="4" w:space="0" w:color="000000"/>
              <w:right w:val="nil"/>
            </w:tcBorders>
            <w:shd w:val="clear" w:color="auto" w:fill="F2F2F2"/>
            <w:vAlign w:val="center"/>
          </w:tcPr>
          <w:p w14:paraId="2DA2DD99" w14:textId="77777777" w:rsidR="006A3560" w:rsidRPr="001B2CF6" w:rsidRDefault="006A3560" w:rsidP="00D22320">
            <w:pPr>
              <w:spacing w:line="259" w:lineRule="auto"/>
              <w:ind w:right="54"/>
              <w:jc w:val="center"/>
              <w:rPr>
                <w:sz w:val="22"/>
              </w:rPr>
            </w:pPr>
            <w:r w:rsidRPr="001B2CF6">
              <w:rPr>
                <w:sz w:val="22"/>
              </w:rPr>
              <w:t xml:space="preserve">407 000 000 </w:t>
            </w:r>
          </w:p>
        </w:tc>
        <w:tc>
          <w:tcPr>
            <w:tcW w:w="4379" w:type="dxa"/>
            <w:tcBorders>
              <w:top w:val="single" w:sz="4" w:space="0" w:color="000000"/>
              <w:left w:val="nil"/>
              <w:bottom w:val="single" w:sz="4" w:space="0" w:color="000000"/>
              <w:right w:val="nil"/>
            </w:tcBorders>
            <w:vAlign w:val="center"/>
          </w:tcPr>
          <w:p w14:paraId="5C1C081A" w14:textId="77777777" w:rsidR="006A3560" w:rsidRPr="009F7416" w:rsidRDefault="003F6B29" w:rsidP="003F6B29">
            <w:pPr>
              <w:spacing w:line="259" w:lineRule="auto"/>
              <w:ind w:right="42"/>
              <w:rPr>
                <w:sz w:val="22"/>
              </w:rPr>
            </w:pPr>
            <w:r>
              <w:rPr>
                <w:sz w:val="22"/>
              </w:rPr>
              <w:t xml:space="preserve">Инвестиции в </w:t>
            </w:r>
            <w:r w:rsidR="006A3560" w:rsidRPr="009F7416">
              <w:rPr>
                <w:sz w:val="22"/>
              </w:rPr>
              <w:t xml:space="preserve">оборудване, планове, пакет </w:t>
            </w:r>
            <w:r w:rsidR="006A3560">
              <w:rPr>
                <w:sz w:val="22"/>
              </w:rPr>
              <w:t>„ноу-хау“</w:t>
            </w:r>
            <w:r w:rsidR="006A3560" w:rsidRPr="009F7416">
              <w:rPr>
                <w:sz w:val="22"/>
              </w:rPr>
              <w:t>, обучение на персонал и други</w:t>
            </w:r>
            <w:r>
              <w:rPr>
                <w:sz w:val="22"/>
              </w:rPr>
              <w:t xml:space="preserve"> във отбранителната промишленост</w:t>
            </w:r>
          </w:p>
        </w:tc>
        <w:tc>
          <w:tcPr>
            <w:tcW w:w="106" w:type="dxa"/>
            <w:tcBorders>
              <w:top w:val="single" w:sz="4" w:space="0" w:color="000000"/>
              <w:left w:val="nil"/>
              <w:bottom w:val="single" w:sz="4" w:space="0" w:color="000000"/>
              <w:right w:val="nil"/>
            </w:tcBorders>
          </w:tcPr>
          <w:p w14:paraId="3A6FBF43" w14:textId="77777777" w:rsidR="006A3560" w:rsidRPr="009F7416" w:rsidDel="00D15C7B" w:rsidRDefault="006A3560" w:rsidP="00D22320">
            <w:pPr>
              <w:spacing w:line="259" w:lineRule="auto"/>
              <w:ind w:right="42"/>
              <w:jc w:val="left"/>
              <w:rPr>
                <w:sz w:val="22"/>
              </w:rPr>
            </w:pPr>
          </w:p>
        </w:tc>
      </w:tr>
    </w:tbl>
    <w:p w14:paraId="3A7B2734" w14:textId="77777777" w:rsidR="006A3560" w:rsidRDefault="006A3560" w:rsidP="00D351BE">
      <w:pPr>
        <w:rPr>
          <w:rFonts w:eastAsia="Times New Roman" w:cs="Times New Roman"/>
          <w:bCs/>
        </w:rPr>
      </w:pPr>
    </w:p>
    <w:p w14:paraId="219BC8FD" w14:textId="77777777" w:rsidR="00496312" w:rsidRPr="00496312" w:rsidRDefault="00496312" w:rsidP="00496312">
      <w:pPr>
        <w:tabs>
          <w:tab w:val="left" w:pos="741"/>
          <w:tab w:val="left" w:pos="2736"/>
          <w:tab w:val="center" w:pos="4153"/>
          <w:tab w:val="right" w:pos="8306"/>
        </w:tabs>
        <w:rPr>
          <w:bCs/>
          <w:szCs w:val="24"/>
        </w:rPr>
      </w:pPr>
      <w:r w:rsidRPr="00431E14">
        <w:rPr>
          <w:bCs/>
          <w:szCs w:val="24"/>
        </w:rPr>
        <w:t>Увеличаванията на капитала на дружествата ще се извърши при спазване на законодателството в областта на държавните помощи.</w:t>
      </w:r>
      <w:r w:rsidRPr="00496312">
        <w:rPr>
          <w:bCs/>
          <w:szCs w:val="24"/>
        </w:rPr>
        <w:t xml:space="preserve"> </w:t>
      </w:r>
    </w:p>
    <w:p w14:paraId="707A563E" w14:textId="77777777" w:rsidR="00B92D00" w:rsidRPr="00AA3F66" w:rsidRDefault="001D2E10" w:rsidP="00465321">
      <w:pPr>
        <w:pStyle w:val="Heading3"/>
        <w:ind w:left="0"/>
      </w:pPr>
      <w:bookmarkStart w:id="473" w:name="_Toc464465637"/>
      <w:bookmarkStart w:id="474" w:name="_Toc464466462"/>
      <w:bookmarkStart w:id="475" w:name="_Toc464466706"/>
      <w:bookmarkStart w:id="476" w:name="_Toc464466738"/>
      <w:bookmarkStart w:id="477" w:name="_Toc464470248"/>
      <w:bookmarkStart w:id="478" w:name="_Toc464645026"/>
      <w:bookmarkStart w:id="479" w:name="_Toc464646382"/>
      <w:r w:rsidRPr="00AA3F66">
        <w:t>Фискален резерв</w:t>
      </w:r>
      <w:r w:rsidR="00B92D00" w:rsidRPr="00AA3F66">
        <w:t xml:space="preserve"> </w:t>
      </w:r>
    </w:p>
    <w:p w14:paraId="204B7B8A" w14:textId="77777777" w:rsidR="00B92D00" w:rsidRPr="007B7DC8" w:rsidRDefault="00B92D00" w:rsidP="00917E37">
      <w:r w:rsidRPr="007B7DC8">
        <w:t xml:space="preserve">Съгласно дефиницията за показателя „Фискален резерв“ в т. 41 </w:t>
      </w:r>
      <w:r w:rsidR="00DA70A4" w:rsidRPr="007B7DC8">
        <w:t xml:space="preserve">на § 1 </w:t>
      </w:r>
      <w:r w:rsidRPr="007B7DC8">
        <w:t>от допълнителните разпоредби на Закона за публичните финанси в неговия обхват се включват салдата по всички банкови сметки на бюджетните организации без тези на общините и техните разпоредители с бюджет, активите на Държавния фонд за гарантиране устойчивост на държавната пенсионна система (ДФГУДПС), вземания от фондове на Европейския съюз за сертифицирани разходи, аванси и други, и други финансови активи по чл. 154, ал. 22 и 23 от същия закон.</w:t>
      </w:r>
    </w:p>
    <w:p w14:paraId="0ACF3015" w14:textId="77777777" w:rsidR="00A613C0" w:rsidRDefault="00B92D00" w:rsidP="00917E37">
      <w:r w:rsidRPr="007B7DC8">
        <w:t>Минималният размер на показателя „Фискален резерв“ е определен на база необходимите средства на разположение към 31 декември 202</w:t>
      </w:r>
      <w:r w:rsidR="00904A17">
        <w:t>6</w:t>
      </w:r>
      <w:r w:rsidR="00FE064C" w:rsidRPr="007B7DC8">
        <w:t xml:space="preserve"> </w:t>
      </w:r>
      <w:r w:rsidRPr="007B7DC8">
        <w:t xml:space="preserve">г. за обезпечаване на наличностите на ДФГУДПС и текущите ликвидни нужди на бюджета. Следва обаче да се подчертае, че минималният размер на фискалния резерв не представлява целева стойност за показателя към даден период. Той представлява минимален праг за показателя, който има за цел да минимизира рисковете от ликвидни проблеми в краткосрочен хоризонт. </w:t>
      </w:r>
    </w:p>
    <w:p w14:paraId="49744C07" w14:textId="77777777" w:rsidR="00B92D00" w:rsidRPr="00AA3F66" w:rsidRDefault="00B92D00" w:rsidP="00917E37">
      <w:r w:rsidRPr="007B7DC8">
        <w:t>На тази база се предвижда запазване на определения към момента праг за минималния ра</w:t>
      </w:r>
      <w:r w:rsidR="007B7DC8">
        <w:t>змер на фискалния резерв за 202</w:t>
      </w:r>
      <w:r w:rsidR="00904A17">
        <w:t>5</w:t>
      </w:r>
      <w:r w:rsidRPr="007B7DC8">
        <w:t xml:space="preserve"> г. Предлага се минималният размер на фиска</w:t>
      </w:r>
      <w:r w:rsidR="007B7DC8">
        <w:t>лния резерв към 31 декември 202</w:t>
      </w:r>
      <w:r w:rsidR="00904A17">
        <w:t>6</w:t>
      </w:r>
      <w:r w:rsidRPr="007B7DC8">
        <w:t xml:space="preserve"> г. да бъде в размер </w:t>
      </w:r>
      <w:r w:rsidRPr="00057674">
        <w:t xml:space="preserve">на </w:t>
      </w:r>
      <w:r w:rsidR="00D20B98" w:rsidRPr="00057674">
        <w:t>2,4</w:t>
      </w:r>
      <w:r w:rsidRPr="007B7DC8">
        <w:t xml:space="preserve"> млрд. </w:t>
      </w:r>
      <w:r w:rsidR="00D20B98">
        <w:t>евро</w:t>
      </w:r>
      <w:r w:rsidRPr="007B7DC8">
        <w:t>.</w:t>
      </w:r>
    </w:p>
    <w:p w14:paraId="0D957D71" w14:textId="77777777" w:rsidR="00343412" w:rsidRPr="00AA3F66" w:rsidRDefault="00343412" w:rsidP="00B92D00"/>
    <w:p w14:paraId="3AFA03CF" w14:textId="77777777" w:rsidR="0012697B" w:rsidRDefault="0012697B" w:rsidP="002C702B">
      <w:pPr>
        <w:pStyle w:val="Heading1"/>
        <w:numPr>
          <w:ilvl w:val="0"/>
          <w:numId w:val="0"/>
        </w:numPr>
        <w:rPr>
          <w:color w:val="auto"/>
        </w:rPr>
        <w:sectPr w:rsidR="0012697B" w:rsidSect="002D7CED">
          <w:type w:val="oddPage"/>
          <w:pgSz w:w="11906" w:h="16838" w:code="9"/>
          <w:pgMar w:top="1418" w:right="1418" w:bottom="851" w:left="1418" w:header="708" w:footer="708" w:gutter="0"/>
          <w:cols w:space="708"/>
          <w:titlePg/>
          <w:docGrid w:linePitch="360"/>
        </w:sectPr>
      </w:pPr>
    </w:p>
    <w:bookmarkStart w:id="480" w:name="_Toc216029366"/>
    <w:p w14:paraId="2470F90A" w14:textId="77777777" w:rsidR="00AE23B8" w:rsidRPr="00AA15E0" w:rsidRDefault="001E0DF0" w:rsidP="00817F43">
      <w:pPr>
        <w:pStyle w:val="Heading1"/>
        <w:rPr>
          <w:color w:val="auto"/>
        </w:rPr>
      </w:pPr>
      <w:r w:rsidRPr="001E0DF0">
        <w:rPr>
          <w:noProof/>
        </w:rPr>
        <w:lastRenderedPageBreak/>
        <mc:AlternateContent>
          <mc:Choice Requires="wps">
            <w:drawing>
              <wp:anchor distT="0" distB="0" distL="114300" distR="114300" simplePos="0" relativeHeight="251681280" behindDoc="0" locked="0" layoutInCell="1" allowOverlap="1" wp14:anchorId="15D51AAD" wp14:editId="2B6D2E46">
                <wp:simplePos x="0" y="0"/>
                <wp:positionH relativeFrom="column">
                  <wp:posOffset>-898525</wp:posOffset>
                </wp:positionH>
                <wp:positionV relativeFrom="paragraph">
                  <wp:posOffset>1405255</wp:posOffset>
                </wp:positionV>
                <wp:extent cx="7560310" cy="0"/>
                <wp:effectExtent l="0" t="0" r="21590" b="19050"/>
                <wp:wrapNone/>
                <wp:docPr id="697" name="Straight Connector 697"/>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AA417" id="Straight Connector 697"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70.75pt,110.65pt" to="524.5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" strokecolor="#b32c16 [3206]"/>
            </w:pict>
          </mc:Fallback>
        </mc:AlternateContent>
      </w:r>
      <w:r w:rsidRPr="001E0DF0">
        <w:rPr>
          <w:noProof/>
        </w:rPr>
        <mc:AlternateContent>
          <mc:Choice Requires="wps">
            <w:drawing>
              <wp:anchor distT="0" distB="0" distL="114300" distR="114300" simplePos="0" relativeHeight="251678208" behindDoc="1" locked="0" layoutInCell="1" allowOverlap="1" wp14:anchorId="1694FB97" wp14:editId="6C848042">
                <wp:simplePos x="0" y="0"/>
                <wp:positionH relativeFrom="column">
                  <wp:posOffset>-898156</wp:posOffset>
                </wp:positionH>
                <wp:positionV relativeFrom="paragraph">
                  <wp:posOffset>-898155</wp:posOffset>
                </wp:positionV>
                <wp:extent cx="7560860" cy="2304000"/>
                <wp:effectExtent l="0" t="0" r="2540" b="1270"/>
                <wp:wrapNone/>
                <wp:docPr id="696" name="Rectangle 696"/>
                <wp:cNvGraphicFramePr/>
                <a:graphic xmlns:a="http://schemas.openxmlformats.org/drawingml/2006/main">
                  <a:graphicData uri="http://schemas.microsoft.com/office/word/2010/wordprocessingShape">
                    <wps:wsp>
                      <wps:cNvSpPr/>
                      <wps:spPr>
                        <a:xfrm>
                          <a:off x="0" y="0"/>
                          <a:ext cx="7560860" cy="2304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0FAD78" id="Rectangle 696" o:spid="_x0000_s1026" style="position:absolute;margin-left:-70.7pt;margin-top:-70.7pt;width:595.35pt;height:181.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" fillcolor="#f8cec7 [662]" stroked="f" strokeweight="1pt"/>
            </w:pict>
          </mc:Fallback>
        </mc:AlternateContent>
      </w:r>
      <w:r w:rsidR="00AA3035" w:rsidRPr="00512FF1">
        <w:br/>
      </w:r>
      <w:bookmarkStart w:id="481" w:name="_Toc465205575"/>
      <w:r w:rsidR="00AE23B8" w:rsidRPr="001E0DF0">
        <w:rPr>
          <w:color w:val="auto"/>
        </w:rPr>
        <w:t>Перспективи за развитието на публичните финанси</w:t>
      </w:r>
      <w:bookmarkEnd w:id="473"/>
      <w:bookmarkEnd w:id="474"/>
      <w:bookmarkEnd w:id="475"/>
      <w:bookmarkEnd w:id="476"/>
      <w:bookmarkEnd w:id="477"/>
      <w:bookmarkEnd w:id="478"/>
      <w:bookmarkEnd w:id="479"/>
      <w:bookmarkEnd w:id="480"/>
      <w:bookmarkEnd w:id="481"/>
    </w:p>
    <w:p w14:paraId="1D0EAA22" w14:textId="77777777" w:rsidR="00911809" w:rsidRDefault="00911809" w:rsidP="000B315F">
      <w:pPr>
        <w:pStyle w:val="Heading2"/>
        <w:numPr>
          <w:ilvl w:val="1"/>
          <w:numId w:val="3"/>
        </w:numPr>
        <w:ind w:hanging="270"/>
      </w:pPr>
      <w:bookmarkStart w:id="482" w:name="_Toc216029367"/>
      <w:bookmarkStart w:id="483" w:name="_Toc464224819"/>
      <w:bookmarkStart w:id="484" w:name="_Toc464225469"/>
      <w:bookmarkStart w:id="485" w:name="_Toc464459016"/>
      <w:bookmarkStart w:id="486" w:name="_Toc464459764"/>
      <w:bookmarkStart w:id="487" w:name="_Toc464460717"/>
      <w:bookmarkStart w:id="488" w:name="_Toc464463116"/>
      <w:bookmarkStart w:id="489" w:name="_Toc464464945"/>
      <w:bookmarkStart w:id="490" w:name="_Toc464465452"/>
      <w:bookmarkStart w:id="491" w:name="_Toc464465640"/>
      <w:bookmarkStart w:id="492" w:name="_Toc464466463"/>
      <w:bookmarkStart w:id="493" w:name="_Toc464466707"/>
      <w:bookmarkStart w:id="494" w:name="_Toc464645027"/>
      <w:bookmarkStart w:id="495" w:name="_Toc465205576"/>
      <w:r>
        <w:t>Устойчивост на публичните финанси</w:t>
      </w:r>
      <w:bookmarkEnd w:id="482"/>
    </w:p>
    <w:bookmarkEnd w:id="483"/>
    <w:bookmarkEnd w:id="484"/>
    <w:bookmarkEnd w:id="485"/>
    <w:bookmarkEnd w:id="486"/>
    <w:bookmarkEnd w:id="487"/>
    <w:bookmarkEnd w:id="488"/>
    <w:bookmarkEnd w:id="489"/>
    <w:bookmarkEnd w:id="490"/>
    <w:bookmarkEnd w:id="491"/>
    <w:bookmarkEnd w:id="492"/>
    <w:bookmarkEnd w:id="493"/>
    <w:bookmarkEnd w:id="494"/>
    <w:bookmarkEnd w:id="495"/>
    <w:p w14:paraId="56A1A85A" w14:textId="77777777" w:rsidR="00C6272B" w:rsidRPr="00C6272B" w:rsidRDefault="00C6272B" w:rsidP="00C6272B">
      <w:pPr>
        <w:tabs>
          <w:tab w:val="left" w:pos="0"/>
        </w:tabs>
        <w:spacing w:before="240" w:after="240"/>
        <w:rPr>
          <w:rFonts w:eastAsia="MS Mincho" w:cs="Times New Roman"/>
          <w:szCs w:val="24"/>
        </w:rPr>
      </w:pPr>
      <w:r w:rsidRPr="00C6272B">
        <w:rPr>
          <w:rFonts w:eastAsia="MS Mincho" w:cs="Times New Roman"/>
          <w:szCs w:val="24"/>
        </w:rPr>
        <w:t>В този раздел се разглежда дългосрочната устойчивостта на фискалната позиция, като се оценява текущото състояние на публичните финанси от гледна точка на бъдещото нарастване на публичните разходи</w:t>
      </w:r>
      <w:r w:rsidR="00A05985">
        <w:rPr>
          <w:rFonts w:eastAsia="MS Mincho" w:cs="Times New Roman"/>
          <w:szCs w:val="24"/>
        </w:rPr>
        <w:t>,</w:t>
      </w:r>
      <w:r w:rsidRPr="00C6272B">
        <w:rPr>
          <w:rFonts w:eastAsia="MS Mincho" w:cs="Times New Roman"/>
          <w:szCs w:val="24"/>
        </w:rPr>
        <w:t xml:space="preserve"> свързани със застаряването на населението. За тази цел се използват индикаторите за устойчивост S1 и S2, изчислени по методология разработена от ЕК</w:t>
      </w:r>
      <w:r w:rsidRPr="00C6272B">
        <w:rPr>
          <w:rFonts w:eastAsia="MS Mincho" w:cs="Times New Roman"/>
          <w:szCs w:val="24"/>
          <w:vertAlign w:val="superscript"/>
        </w:rPr>
        <w:footnoteReference w:id="49"/>
      </w:r>
      <w:r w:rsidRPr="00C6272B">
        <w:rPr>
          <w:rFonts w:eastAsia="MS Mincho" w:cs="Times New Roman"/>
          <w:szCs w:val="24"/>
        </w:rPr>
        <w:t>.</w:t>
      </w:r>
    </w:p>
    <w:p w14:paraId="12C461E9" w14:textId="77777777" w:rsidR="00C6272B" w:rsidRPr="00A05985" w:rsidRDefault="00C6272B" w:rsidP="002702AB">
      <w:pPr>
        <w:tabs>
          <w:tab w:val="left" w:pos="0"/>
        </w:tabs>
        <w:spacing w:before="240" w:after="240"/>
        <w:rPr>
          <w:rFonts w:eastAsia="MS Mincho" w:cs="Times New Roman"/>
          <w:szCs w:val="24"/>
        </w:rPr>
      </w:pPr>
      <w:r w:rsidRPr="00C6272B">
        <w:rPr>
          <w:rFonts w:eastAsia="MS Mincho" w:cs="Times New Roman"/>
          <w:szCs w:val="24"/>
        </w:rPr>
        <w:t xml:space="preserve">Индикаторът S1 показва необходимата корекция в структурното първично бюджетно салдо през първата прогнозна година </w:t>
      </w:r>
      <w:r w:rsidRPr="00202877">
        <w:rPr>
          <w:rFonts w:eastAsia="MS Mincho" w:cs="Times New Roman"/>
          <w:szCs w:val="24"/>
        </w:rPr>
        <w:t xml:space="preserve">(2026 </w:t>
      </w:r>
      <w:r w:rsidRPr="00C6272B">
        <w:rPr>
          <w:rFonts w:eastAsia="MS Mincho" w:cs="Times New Roman"/>
          <w:szCs w:val="24"/>
        </w:rPr>
        <w:t>г.) за да се задържи съотношението на държавен дълг към БВП под 60% към 2070 г. Индикаторът S2 показва корекцията в структурния първичния баланс през първата прогнозна година, която се изисква за да се стабилизира държавния дълг в дългосрочен план.</w:t>
      </w:r>
      <w:r w:rsidRPr="00202877">
        <w:rPr>
          <w:rFonts w:eastAsia="MS Mincho" w:cs="Times New Roman"/>
          <w:szCs w:val="24"/>
        </w:rPr>
        <w:t xml:space="preserve"> </w:t>
      </w:r>
      <w:r w:rsidRPr="00C6272B">
        <w:rPr>
          <w:rFonts w:eastAsia="MS Mincho" w:cs="Times New Roman"/>
          <w:szCs w:val="24"/>
        </w:rPr>
        <w:t>Положителна стойност на индикаторите означава необходимост от фискална консолидация или структурни реформи, които да намалят тежестта от застаряването на населението върху публичните финанси, докато отрицателната показва наличие на фискално пространство.</w:t>
      </w:r>
    </w:p>
    <w:p w14:paraId="12ECD9A0" w14:textId="77777777" w:rsidR="0023189B" w:rsidRDefault="0023189B" w:rsidP="0023189B">
      <w:pPr>
        <w:pStyle w:val="Caption"/>
        <w:ind w:left="0" w:firstLine="0"/>
        <w:rPr>
          <w:rFonts w:eastAsia="MS Mincho"/>
          <w:bCs w:val="0"/>
          <w:szCs w:val="24"/>
          <w:lang w:eastAsia="ar-SA"/>
        </w:rPr>
      </w:pPr>
      <w:bookmarkStart w:id="496" w:name="_Toc464645028"/>
      <w:bookmarkStart w:id="497" w:name="_Toc464646383"/>
      <w:bookmarkStart w:id="498" w:name="_Toc464737651"/>
      <w:bookmarkStart w:id="499" w:name="_Toc213229071"/>
      <w:r w:rsidRPr="00122D82">
        <w:t xml:space="preserve">Табл. </w:t>
      </w:r>
      <w:r w:rsidR="00974F02">
        <w:fldChar w:fldCharType="begin"/>
      </w:r>
      <w:r w:rsidR="00974F02">
        <w:instrText xml:space="preserve"> STYLEREF 1 \s </w:instrText>
      </w:r>
      <w:r w:rsidR="00974F02">
        <w:fldChar w:fldCharType="separate"/>
      </w:r>
      <w:r w:rsidR="00841DFA">
        <w:rPr>
          <w:noProof/>
        </w:rPr>
        <w:t>VII</w:t>
      </w:r>
      <w:r w:rsidR="00974F02">
        <w:rPr>
          <w:noProof/>
        </w:rPr>
        <w:fldChar w:fldCharType="end"/>
      </w:r>
      <w:r w:rsidRPr="00122D82">
        <w:noBreakHyphen/>
      </w:r>
      <w:r w:rsidR="00974F02">
        <w:fldChar w:fldCharType="begin"/>
      </w:r>
      <w:r w:rsidR="00974F02">
        <w:instrText xml:space="preserve"> SEQ Табл. \* ARABIC \s 1 </w:instrText>
      </w:r>
      <w:r w:rsidR="00974F02">
        <w:fldChar w:fldCharType="separate"/>
      </w:r>
      <w:r w:rsidR="00841DFA">
        <w:rPr>
          <w:noProof/>
        </w:rPr>
        <w:t>1</w:t>
      </w:r>
      <w:r w:rsidR="00974F02">
        <w:rPr>
          <w:noProof/>
        </w:rPr>
        <w:fldChar w:fldCharType="end"/>
      </w:r>
      <w:r w:rsidRPr="00122D82">
        <w:t>:</w:t>
      </w:r>
      <w:r w:rsidRPr="00122D82">
        <w:tab/>
      </w:r>
      <w:r w:rsidRPr="00122D82">
        <w:rPr>
          <w:rFonts w:eastAsia="MS Mincho"/>
          <w:bCs w:val="0"/>
          <w:szCs w:val="24"/>
          <w:lang w:eastAsia="ar-SA"/>
        </w:rPr>
        <w:t>Индикатори за устойчивост</w:t>
      </w:r>
      <w:bookmarkEnd w:id="496"/>
      <w:bookmarkEnd w:id="497"/>
      <w:bookmarkEnd w:id="498"/>
      <w:bookmarkEnd w:id="499"/>
    </w:p>
    <w:tbl>
      <w:tblPr>
        <w:tblStyle w:val="Style18"/>
        <w:tblW w:w="5000" w:type="pct"/>
        <w:jc w:val="center"/>
        <w:tblBorders>
          <w:top w:val="none" w:sz="0" w:space="0" w:color="auto"/>
          <w:bottom w:val="none" w:sz="0" w:space="0" w:color="auto"/>
          <w:insideH w:val="none" w:sz="0" w:space="0" w:color="auto"/>
          <w:insideV w:val="none" w:sz="0" w:space="0" w:color="auto"/>
        </w:tblBorders>
        <w:tblCellMar>
          <w:left w:w="57" w:type="dxa"/>
          <w:right w:w="57" w:type="dxa"/>
        </w:tblCellMar>
        <w:tblLook w:val="0620" w:firstRow="1" w:lastRow="0" w:firstColumn="0" w:lastColumn="0" w:noHBand="1" w:noVBand="1"/>
      </w:tblPr>
      <w:tblGrid>
        <w:gridCol w:w="3821"/>
        <w:gridCol w:w="1312"/>
        <w:gridCol w:w="1315"/>
        <w:gridCol w:w="1312"/>
        <w:gridCol w:w="1310"/>
      </w:tblGrid>
      <w:tr w:rsidR="000A0ED4" w:rsidRPr="0078764B" w14:paraId="36ABD8A1" w14:textId="77777777" w:rsidTr="000A0ED4">
        <w:trPr>
          <w:trHeight w:val="397"/>
          <w:jc w:val="center"/>
        </w:trPr>
        <w:tc>
          <w:tcPr>
            <w:tcW w:w="2107" w:type="pct"/>
            <w:tcBorders>
              <w:top w:val="single" w:sz="4" w:space="0" w:color="auto"/>
            </w:tcBorders>
            <w:shd w:val="clear" w:color="auto" w:fill="auto"/>
            <w:hideMark/>
          </w:tcPr>
          <w:p w14:paraId="23658886" w14:textId="77777777" w:rsidR="000A0ED4" w:rsidRPr="0078764B" w:rsidRDefault="000A0ED4" w:rsidP="000A0ED4">
            <w:pPr>
              <w:spacing w:after="0"/>
              <w:rPr>
                <w:b/>
                <w:sz w:val="20"/>
                <w:szCs w:val="18"/>
              </w:rPr>
            </w:pPr>
            <w:r w:rsidRPr="0078764B">
              <w:rPr>
                <w:b/>
                <w:sz w:val="20"/>
                <w:szCs w:val="18"/>
              </w:rPr>
              <w:t> </w:t>
            </w:r>
          </w:p>
        </w:tc>
        <w:tc>
          <w:tcPr>
            <w:tcW w:w="1448" w:type="pct"/>
            <w:gridSpan w:val="2"/>
            <w:tcBorders>
              <w:top w:val="single" w:sz="4" w:space="0" w:color="auto"/>
            </w:tcBorders>
            <w:shd w:val="clear" w:color="auto" w:fill="FEE6D6" w:themeFill="accent1" w:themeFillTint="33"/>
            <w:vAlign w:val="center"/>
            <w:hideMark/>
          </w:tcPr>
          <w:p w14:paraId="09333567" w14:textId="77777777" w:rsidR="000A0ED4" w:rsidRPr="0078764B" w:rsidRDefault="000A0ED4" w:rsidP="000A0ED4">
            <w:pPr>
              <w:spacing w:after="0"/>
              <w:jc w:val="center"/>
              <w:rPr>
                <w:b/>
                <w:sz w:val="20"/>
                <w:szCs w:val="18"/>
              </w:rPr>
            </w:pPr>
            <w:r w:rsidRPr="0078764B">
              <w:rPr>
                <w:b/>
                <w:sz w:val="20"/>
                <w:szCs w:val="18"/>
              </w:rPr>
              <w:t>МФ</w:t>
            </w:r>
          </w:p>
        </w:tc>
        <w:tc>
          <w:tcPr>
            <w:tcW w:w="1445" w:type="pct"/>
            <w:gridSpan w:val="2"/>
            <w:tcBorders>
              <w:top w:val="single" w:sz="4" w:space="0" w:color="auto"/>
            </w:tcBorders>
            <w:shd w:val="clear" w:color="auto" w:fill="auto"/>
            <w:vAlign w:val="center"/>
            <w:hideMark/>
          </w:tcPr>
          <w:p w14:paraId="0C947727" w14:textId="77777777" w:rsidR="000A0ED4" w:rsidRPr="0078764B" w:rsidRDefault="000A0ED4" w:rsidP="000A0ED4">
            <w:pPr>
              <w:spacing w:after="0"/>
              <w:jc w:val="center"/>
              <w:rPr>
                <w:b/>
                <w:sz w:val="20"/>
                <w:szCs w:val="18"/>
              </w:rPr>
            </w:pPr>
            <w:r w:rsidRPr="0078764B">
              <w:rPr>
                <w:b/>
                <w:sz w:val="20"/>
                <w:szCs w:val="18"/>
              </w:rPr>
              <w:t>ЕК</w:t>
            </w:r>
          </w:p>
        </w:tc>
      </w:tr>
      <w:tr w:rsidR="000A0ED4" w:rsidRPr="0078764B" w14:paraId="2A78F3A2" w14:textId="77777777" w:rsidTr="000A0ED4">
        <w:trPr>
          <w:trHeight w:val="80"/>
          <w:jc w:val="center"/>
        </w:trPr>
        <w:tc>
          <w:tcPr>
            <w:tcW w:w="2107" w:type="pct"/>
            <w:tcBorders>
              <w:bottom w:val="single" w:sz="4" w:space="0" w:color="auto"/>
            </w:tcBorders>
            <w:vAlign w:val="center"/>
          </w:tcPr>
          <w:p w14:paraId="79A25A92" w14:textId="77777777" w:rsidR="000A0ED4" w:rsidRPr="0078764B" w:rsidRDefault="000A0ED4" w:rsidP="000A0ED4">
            <w:pPr>
              <w:spacing w:after="0"/>
              <w:rPr>
                <w:b/>
                <w:sz w:val="20"/>
                <w:szCs w:val="18"/>
              </w:rPr>
            </w:pPr>
          </w:p>
        </w:tc>
        <w:tc>
          <w:tcPr>
            <w:tcW w:w="723" w:type="pct"/>
            <w:tcBorders>
              <w:bottom w:val="single" w:sz="4" w:space="0" w:color="auto"/>
            </w:tcBorders>
            <w:shd w:val="clear" w:color="auto" w:fill="FEE6D6" w:themeFill="accent1" w:themeFillTint="33"/>
            <w:vAlign w:val="center"/>
            <w:hideMark/>
          </w:tcPr>
          <w:p w14:paraId="64799B2F" w14:textId="77777777" w:rsidR="000A0ED4" w:rsidRPr="0078764B" w:rsidRDefault="000A0ED4" w:rsidP="000A0ED4">
            <w:pPr>
              <w:spacing w:after="0"/>
              <w:jc w:val="center"/>
              <w:rPr>
                <w:b/>
                <w:sz w:val="20"/>
                <w:szCs w:val="18"/>
              </w:rPr>
            </w:pPr>
            <w:r w:rsidRPr="0078764B">
              <w:rPr>
                <w:b/>
                <w:sz w:val="20"/>
                <w:szCs w:val="18"/>
              </w:rPr>
              <w:t>S1</w:t>
            </w:r>
          </w:p>
        </w:tc>
        <w:tc>
          <w:tcPr>
            <w:tcW w:w="724" w:type="pct"/>
            <w:tcBorders>
              <w:bottom w:val="single" w:sz="4" w:space="0" w:color="auto"/>
            </w:tcBorders>
            <w:shd w:val="clear" w:color="auto" w:fill="FEE6D6" w:themeFill="accent1" w:themeFillTint="33"/>
            <w:vAlign w:val="center"/>
            <w:hideMark/>
          </w:tcPr>
          <w:p w14:paraId="28433590" w14:textId="77777777" w:rsidR="000A0ED4" w:rsidRPr="0078764B" w:rsidRDefault="000A0ED4" w:rsidP="000A0ED4">
            <w:pPr>
              <w:spacing w:after="0"/>
              <w:jc w:val="center"/>
              <w:rPr>
                <w:b/>
                <w:sz w:val="20"/>
                <w:szCs w:val="18"/>
              </w:rPr>
            </w:pPr>
            <w:r w:rsidRPr="0078764B">
              <w:rPr>
                <w:b/>
                <w:sz w:val="20"/>
                <w:szCs w:val="18"/>
              </w:rPr>
              <w:t>S2</w:t>
            </w:r>
          </w:p>
        </w:tc>
        <w:tc>
          <w:tcPr>
            <w:tcW w:w="723" w:type="pct"/>
            <w:tcBorders>
              <w:bottom w:val="single" w:sz="4" w:space="0" w:color="auto"/>
            </w:tcBorders>
            <w:vAlign w:val="center"/>
            <w:hideMark/>
          </w:tcPr>
          <w:p w14:paraId="356AA6D6" w14:textId="77777777" w:rsidR="000A0ED4" w:rsidRPr="0078764B" w:rsidRDefault="000A0ED4" w:rsidP="000A0ED4">
            <w:pPr>
              <w:spacing w:after="0"/>
              <w:jc w:val="center"/>
              <w:rPr>
                <w:b/>
                <w:sz w:val="20"/>
                <w:szCs w:val="18"/>
              </w:rPr>
            </w:pPr>
            <w:r w:rsidRPr="0078764B">
              <w:rPr>
                <w:b/>
                <w:sz w:val="20"/>
                <w:szCs w:val="18"/>
              </w:rPr>
              <w:t>S1</w:t>
            </w:r>
          </w:p>
        </w:tc>
        <w:tc>
          <w:tcPr>
            <w:tcW w:w="722" w:type="pct"/>
            <w:tcBorders>
              <w:bottom w:val="single" w:sz="4" w:space="0" w:color="auto"/>
            </w:tcBorders>
            <w:vAlign w:val="center"/>
            <w:hideMark/>
          </w:tcPr>
          <w:p w14:paraId="578F2B32" w14:textId="77777777" w:rsidR="000A0ED4" w:rsidRPr="0078764B" w:rsidRDefault="000A0ED4" w:rsidP="000A0ED4">
            <w:pPr>
              <w:spacing w:after="0"/>
              <w:jc w:val="center"/>
              <w:rPr>
                <w:b/>
                <w:sz w:val="20"/>
                <w:szCs w:val="18"/>
              </w:rPr>
            </w:pPr>
            <w:r w:rsidRPr="0078764B">
              <w:rPr>
                <w:b/>
                <w:sz w:val="20"/>
                <w:szCs w:val="18"/>
              </w:rPr>
              <w:t>S2</w:t>
            </w:r>
          </w:p>
        </w:tc>
      </w:tr>
      <w:tr w:rsidR="000A0ED4" w:rsidRPr="0078764B" w14:paraId="17333065" w14:textId="77777777" w:rsidTr="000A0ED4">
        <w:trPr>
          <w:trHeight w:val="345"/>
          <w:jc w:val="center"/>
        </w:trPr>
        <w:tc>
          <w:tcPr>
            <w:tcW w:w="2107" w:type="pct"/>
            <w:tcBorders>
              <w:top w:val="single" w:sz="4" w:space="0" w:color="auto"/>
            </w:tcBorders>
            <w:vAlign w:val="center"/>
            <w:hideMark/>
          </w:tcPr>
          <w:p w14:paraId="7D2758DA" w14:textId="77777777" w:rsidR="000A0ED4" w:rsidRPr="0078764B" w:rsidRDefault="000A0ED4" w:rsidP="000A0ED4">
            <w:pPr>
              <w:spacing w:after="0"/>
              <w:rPr>
                <w:sz w:val="20"/>
                <w:szCs w:val="18"/>
              </w:rPr>
            </w:pPr>
            <w:r w:rsidRPr="0078764B">
              <w:rPr>
                <w:sz w:val="20"/>
                <w:szCs w:val="18"/>
              </w:rPr>
              <w:t>Стойност, от която:</w:t>
            </w:r>
          </w:p>
        </w:tc>
        <w:tc>
          <w:tcPr>
            <w:tcW w:w="723" w:type="pct"/>
            <w:tcBorders>
              <w:top w:val="single" w:sz="4" w:space="0" w:color="auto"/>
            </w:tcBorders>
            <w:shd w:val="clear" w:color="auto" w:fill="FEE6D6" w:themeFill="accent1" w:themeFillTint="33"/>
            <w:vAlign w:val="center"/>
            <w:hideMark/>
          </w:tcPr>
          <w:p w14:paraId="69889C94" w14:textId="77777777" w:rsidR="000A0ED4" w:rsidRPr="000D35C4" w:rsidRDefault="000A0ED4" w:rsidP="000A0ED4">
            <w:pPr>
              <w:spacing w:after="0"/>
              <w:jc w:val="center"/>
              <w:rPr>
                <w:sz w:val="20"/>
                <w:szCs w:val="18"/>
              </w:rPr>
            </w:pPr>
            <w:r>
              <w:rPr>
                <w:sz w:val="20"/>
                <w:szCs w:val="18"/>
                <w:lang w:val="en-US"/>
              </w:rPr>
              <w:t>0,</w:t>
            </w:r>
            <w:r>
              <w:rPr>
                <w:sz w:val="20"/>
                <w:szCs w:val="18"/>
              </w:rPr>
              <w:t>9</w:t>
            </w:r>
          </w:p>
        </w:tc>
        <w:tc>
          <w:tcPr>
            <w:tcW w:w="724" w:type="pct"/>
            <w:tcBorders>
              <w:top w:val="single" w:sz="4" w:space="0" w:color="auto"/>
            </w:tcBorders>
            <w:shd w:val="clear" w:color="auto" w:fill="FEE6D6" w:themeFill="accent1" w:themeFillTint="33"/>
            <w:vAlign w:val="center"/>
            <w:hideMark/>
          </w:tcPr>
          <w:p w14:paraId="38EBBD7F" w14:textId="77777777" w:rsidR="000A0ED4" w:rsidRPr="000D35C4" w:rsidRDefault="000A0ED4" w:rsidP="000A0ED4">
            <w:pPr>
              <w:spacing w:after="0"/>
              <w:jc w:val="center"/>
              <w:rPr>
                <w:sz w:val="20"/>
                <w:szCs w:val="18"/>
              </w:rPr>
            </w:pPr>
            <w:r>
              <w:rPr>
                <w:sz w:val="20"/>
                <w:szCs w:val="18"/>
                <w:lang w:val="en-US"/>
              </w:rPr>
              <w:t>1,</w:t>
            </w:r>
            <w:r>
              <w:rPr>
                <w:sz w:val="20"/>
                <w:szCs w:val="18"/>
              </w:rPr>
              <w:t>6</w:t>
            </w:r>
          </w:p>
        </w:tc>
        <w:tc>
          <w:tcPr>
            <w:tcW w:w="723" w:type="pct"/>
            <w:tcBorders>
              <w:top w:val="single" w:sz="4" w:space="0" w:color="auto"/>
            </w:tcBorders>
            <w:vAlign w:val="center"/>
            <w:hideMark/>
          </w:tcPr>
          <w:p w14:paraId="46D181E9" w14:textId="77777777" w:rsidR="000A0ED4" w:rsidRPr="00E90906" w:rsidRDefault="000A0ED4" w:rsidP="000A0ED4">
            <w:pPr>
              <w:spacing w:after="0"/>
              <w:jc w:val="center"/>
              <w:rPr>
                <w:sz w:val="20"/>
                <w:szCs w:val="18"/>
                <w:lang w:val="en-US"/>
              </w:rPr>
            </w:pPr>
            <w:r>
              <w:rPr>
                <w:sz w:val="20"/>
                <w:szCs w:val="18"/>
                <w:lang w:val="en-US"/>
              </w:rPr>
              <w:t>1,</w:t>
            </w:r>
            <w:r w:rsidRPr="00E90906">
              <w:rPr>
                <w:sz w:val="20"/>
                <w:szCs w:val="18"/>
                <w:lang w:val="en-US"/>
              </w:rPr>
              <w:t>2</w:t>
            </w:r>
          </w:p>
        </w:tc>
        <w:tc>
          <w:tcPr>
            <w:tcW w:w="722" w:type="pct"/>
            <w:tcBorders>
              <w:top w:val="single" w:sz="4" w:space="0" w:color="auto"/>
            </w:tcBorders>
            <w:vAlign w:val="center"/>
            <w:hideMark/>
          </w:tcPr>
          <w:p w14:paraId="6E719A23" w14:textId="77777777" w:rsidR="000A0ED4" w:rsidRPr="00E90906" w:rsidRDefault="000A0ED4" w:rsidP="000A0ED4">
            <w:pPr>
              <w:spacing w:after="0"/>
              <w:jc w:val="center"/>
              <w:rPr>
                <w:sz w:val="20"/>
                <w:szCs w:val="18"/>
                <w:lang w:val="en-US"/>
              </w:rPr>
            </w:pPr>
            <w:r>
              <w:rPr>
                <w:sz w:val="20"/>
                <w:szCs w:val="18"/>
                <w:lang w:val="en-US"/>
              </w:rPr>
              <w:t>2,</w:t>
            </w:r>
            <w:r w:rsidRPr="00E90906">
              <w:rPr>
                <w:sz w:val="20"/>
                <w:szCs w:val="18"/>
                <w:lang w:val="en-US"/>
              </w:rPr>
              <w:t>0</w:t>
            </w:r>
          </w:p>
        </w:tc>
      </w:tr>
      <w:tr w:rsidR="000A0ED4" w:rsidRPr="0078764B" w14:paraId="58177E1D" w14:textId="77777777" w:rsidTr="000A0ED4">
        <w:trPr>
          <w:trHeight w:val="265"/>
          <w:jc w:val="center"/>
        </w:trPr>
        <w:tc>
          <w:tcPr>
            <w:tcW w:w="2107" w:type="pct"/>
            <w:vAlign w:val="center"/>
            <w:hideMark/>
          </w:tcPr>
          <w:p w14:paraId="21D459F3" w14:textId="77777777" w:rsidR="000A0ED4" w:rsidRPr="0078764B" w:rsidRDefault="000A0ED4" w:rsidP="000A0ED4">
            <w:pPr>
              <w:spacing w:after="0"/>
              <w:ind w:left="170"/>
              <w:rPr>
                <w:sz w:val="20"/>
                <w:szCs w:val="18"/>
              </w:rPr>
            </w:pPr>
            <w:r w:rsidRPr="0078764B">
              <w:rPr>
                <w:sz w:val="20"/>
                <w:szCs w:val="18"/>
              </w:rPr>
              <w:t>Начална бюджетна позиция</w:t>
            </w:r>
          </w:p>
        </w:tc>
        <w:tc>
          <w:tcPr>
            <w:tcW w:w="723" w:type="pct"/>
            <w:shd w:val="clear" w:color="auto" w:fill="FEE6D6" w:themeFill="accent1" w:themeFillTint="33"/>
            <w:vAlign w:val="center"/>
            <w:hideMark/>
          </w:tcPr>
          <w:p w14:paraId="6A8B8F26" w14:textId="77777777" w:rsidR="000A0ED4" w:rsidRPr="000D35C4" w:rsidRDefault="000A0ED4" w:rsidP="000A0ED4">
            <w:pPr>
              <w:spacing w:after="0"/>
              <w:jc w:val="center"/>
              <w:rPr>
                <w:sz w:val="20"/>
                <w:szCs w:val="18"/>
              </w:rPr>
            </w:pPr>
            <w:r>
              <w:rPr>
                <w:sz w:val="20"/>
                <w:szCs w:val="18"/>
                <w:lang w:val="en-US"/>
              </w:rPr>
              <w:t>2,</w:t>
            </w:r>
            <w:r>
              <w:rPr>
                <w:sz w:val="20"/>
                <w:szCs w:val="18"/>
              </w:rPr>
              <w:t>1</w:t>
            </w:r>
          </w:p>
        </w:tc>
        <w:tc>
          <w:tcPr>
            <w:tcW w:w="724" w:type="pct"/>
            <w:shd w:val="clear" w:color="auto" w:fill="FEE6D6" w:themeFill="accent1" w:themeFillTint="33"/>
            <w:vAlign w:val="center"/>
            <w:hideMark/>
          </w:tcPr>
          <w:p w14:paraId="06FF96C6" w14:textId="77777777" w:rsidR="000A0ED4" w:rsidRPr="000D35C4" w:rsidRDefault="000A0ED4" w:rsidP="000A0ED4">
            <w:pPr>
              <w:spacing w:after="0"/>
              <w:jc w:val="center"/>
              <w:rPr>
                <w:sz w:val="20"/>
                <w:szCs w:val="18"/>
              </w:rPr>
            </w:pPr>
            <w:r>
              <w:rPr>
                <w:sz w:val="20"/>
                <w:szCs w:val="18"/>
                <w:lang w:val="en-US"/>
              </w:rPr>
              <w:t>2,</w:t>
            </w:r>
            <w:r>
              <w:rPr>
                <w:sz w:val="20"/>
                <w:szCs w:val="18"/>
              </w:rPr>
              <w:t>2</w:t>
            </w:r>
          </w:p>
        </w:tc>
        <w:tc>
          <w:tcPr>
            <w:tcW w:w="723" w:type="pct"/>
            <w:vAlign w:val="center"/>
            <w:hideMark/>
          </w:tcPr>
          <w:p w14:paraId="1647E7F9" w14:textId="77777777" w:rsidR="000A0ED4" w:rsidRPr="00E90906" w:rsidRDefault="000A0ED4" w:rsidP="000A0ED4">
            <w:pPr>
              <w:spacing w:after="0"/>
              <w:jc w:val="center"/>
              <w:rPr>
                <w:sz w:val="20"/>
                <w:szCs w:val="18"/>
                <w:lang w:val="en-US"/>
              </w:rPr>
            </w:pPr>
            <w:r>
              <w:rPr>
                <w:sz w:val="20"/>
                <w:szCs w:val="18"/>
                <w:lang w:val="en-US"/>
              </w:rPr>
              <w:t>2,</w:t>
            </w:r>
            <w:r w:rsidRPr="00E90906">
              <w:rPr>
                <w:sz w:val="20"/>
                <w:szCs w:val="18"/>
                <w:lang w:val="en-US"/>
              </w:rPr>
              <w:t>5</w:t>
            </w:r>
          </w:p>
        </w:tc>
        <w:tc>
          <w:tcPr>
            <w:tcW w:w="722" w:type="pct"/>
            <w:vAlign w:val="center"/>
            <w:hideMark/>
          </w:tcPr>
          <w:p w14:paraId="5F9AFE37" w14:textId="77777777" w:rsidR="000A0ED4" w:rsidRPr="00E90906" w:rsidRDefault="000A0ED4" w:rsidP="000A0ED4">
            <w:pPr>
              <w:spacing w:after="0"/>
              <w:jc w:val="center"/>
              <w:rPr>
                <w:sz w:val="20"/>
                <w:szCs w:val="18"/>
                <w:lang w:val="en-US"/>
              </w:rPr>
            </w:pPr>
            <w:r>
              <w:rPr>
                <w:sz w:val="20"/>
                <w:szCs w:val="18"/>
                <w:lang w:val="en-US"/>
              </w:rPr>
              <w:t>2,</w:t>
            </w:r>
            <w:r w:rsidRPr="00E90906">
              <w:rPr>
                <w:sz w:val="20"/>
                <w:szCs w:val="18"/>
                <w:lang w:val="en-US"/>
              </w:rPr>
              <w:t>7</w:t>
            </w:r>
          </w:p>
        </w:tc>
      </w:tr>
      <w:tr w:rsidR="000A0ED4" w:rsidRPr="0078764B" w14:paraId="13D170C3" w14:textId="77777777" w:rsidTr="000A0ED4">
        <w:trPr>
          <w:trHeight w:val="274"/>
          <w:jc w:val="center"/>
        </w:trPr>
        <w:tc>
          <w:tcPr>
            <w:tcW w:w="2107" w:type="pct"/>
            <w:vAlign w:val="center"/>
            <w:hideMark/>
          </w:tcPr>
          <w:p w14:paraId="184DFB39" w14:textId="77777777" w:rsidR="000A0ED4" w:rsidRPr="0078764B" w:rsidRDefault="000A0ED4" w:rsidP="000A0ED4">
            <w:pPr>
              <w:spacing w:after="0"/>
              <w:ind w:left="170"/>
              <w:rPr>
                <w:sz w:val="20"/>
                <w:szCs w:val="18"/>
              </w:rPr>
            </w:pPr>
            <w:r w:rsidRPr="0078764B">
              <w:rPr>
                <w:sz w:val="20"/>
                <w:szCs w:val="18"/>
              </w:rPr>
              <w:t xml:space="preserve">Дългово ограничение </w:t>
            </w:r>
          </w:p>
        </w:tc>
        <w:tc>
          <w:tcPr>
            <w:tcW w:w="723" w:type="pct"/>
            <w:shd w:val="clear" w:color="auto" w:fill="FEE6D6" w:themeFill="accent1" w:themeFillTint="33"/>
            <w:vAlign w:val="center"/>
            <w:hideMark/>
          </w:tcPr>
          <w:p w14:paraId="02AB87A3" w14:textId="77777777" w:rsidR="000A0ED4" w:rsidRPr="000D35C4" w:rsidRDefault="000A0ED4" w:rsidP="000A0ED4">
            <w:pPr>
              <w:spacing w:after="0"/>
              <w:jc w:val="center"/>
              <w:rPr>
                <w:sz w:val="20"/>
                <w:szCs w:val="18"/>
              </w:rPr>
            </w:pPr>
            <w:r>
              <w:rPr>
                <w:sz w:val="20"/>
                <w:szCs w:val="18"/>
                <w:lang w:val="en-US"/>
              </w:rPr>
              <w:t>-0,</w:t>
            </w:r>
            <w:r>
              <w:rPr>
                <w:sz w:val="20"/>
                <w:szCs w:val="18"/>
              </w:rPr>
              <w:t>5</w:t>
            </w:r>
          </w:p>
        </w:tc>
        <w:tc>
          <w:tcPr>
            <w:tcW w:w="724" w:type="pct"/>
            <w:shd w:val="clear" w:color="auto" w:fill="FEE6D6" w:themeFill="accent1" w:themeFillTint="33"/>
            <w:vAlign w:val="center"/>
          </w:tcPr>
          <w:p w14:paraId="097F2819" w14:textId="77777777" w:rsidR="000A0ED4" w:rsidRPr="00453D58" w:rsidRDefault="000A0ED4" w:rsidP="000A0ED4">
            <w:pPr>
              <w:spacing w:after="0"/>
              <w:jc w:val="center"/>
              <w:rPr>
                <w:sz w:val="20"/>
                <w:szCs w:val="18"/>
              </w:rPr>
            </w:pPr>
          </w:p>
        </w:tc>
        <w:tc>
          <w:tcPr>
            <w:tcW w:w="723" w:type="pct"/>
            <w:vAlign w:val="center"/>
            <w:hideMark/>
          </w:tcPr>
          <w:p w14:paraId="6E31FD2E"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7</w:t>
            </w:r>
          </w:p>
        </w:tc>
        <w:tc>
          <w:tcPr>
            <w:tcW w:w="722" w:type="pct"/>
            <w:vAlign w:val="center"/>
          </w:tcPr>
          <w:p w14:paraId="0ECAC417" w14:textId="77777777" w:rsidR="000A0ED4" w:rsidRPr="00E90906" w:rsidRDefault="000A0ED4" w:rsidP="000A0ED4">
            <w:pPr>
              <w:spacing w:after="0"/>
              <w:jc w:val="center"/>
              <w:rPr>
                <w:sz w:val="20"/>
                <w:szCs w:val="18"/>
                <w:lang w:val="en-US"/>
              </w:rPr>
            </w:pPr>
          </w:p>
        </w:tc>
      </w:tr>
      <w:tr w:rsidR="000A0ED4" w:rsidRPr="0078764B" w14:paraId="17456118" w14:textId="77777777" w:rsidTr="005228EF">
        <w:trPr>
          <w:trHeight w:val="310"/>
          <w:jc w:val="center"/>
        </w:trPr>
        <w:tc>
          <w:tcPr>
            <w:tcW w:w="2107" w:type="pct"/>
            <w:vAlign w:val="center"/>
            <w:hideMark/>
          </w:tcPr>
          <w:p w14:paraId="64DFAA7A" w14:textId="77777777" w:rsidR="000A0ED4" w:rsidRPr="0078764B" w:rsidRDefault="000A0ED4" w:rsidP="000A0ED4">
            <w:pPr>
              <w:spacing w:after="0"/>
              <w:ind w:left="170"/>
              <w:rPr>
                <w:sz w:val="20"/>
                <w:szCs w:val="18"/>
              </w:rPr>
            </w:pPr>
            <w:r w:rsidRPr="0078764B">
              <w:rPr>
                <w:sz w:val="20"/>
                <w:szCs w:val="18"/>
              </w:rPr>
              <w:t>Бъдещи промени в бюджетната позиция</w:t>
            </w:r>
          </w:p>
        </w:tc>
        <w:tc>
          <w:tcPr>
            <w:tcW w:w="723" w:type="pct"/>
            <w:shd w:val="clear" w:color="auto" w:fill="FEE6D6" w:themeFill="accent1" w:themeFillTint="33"/>
            <w:vAlign w:val="center"/>
            <w:hideMark/>
          </w:tcPr>
          <w:p w14:paraId="739BE8A7" w14:textId="77777777" w:rsidR="000A0ED4" w:rsidRPr="00453D58" w:rsidRDefault="000A0ED4" w:rsidP="000A0ED4">
            <w:pPr>
              <w:spacing w:after="0"/>
              <w:jc w:val="center"/>
              <w:rPr>
                <w:sz w:val="20"/>
                <w:szCs w:val="18"/>
                <w:lang w:val="en-US"/>
              </w:rPr>
            </w:pPr>
            <w:r w:rsidRPr="00453D58">
              <w:rPr>
                <w:sz w:val="20"/>
                <w:szCs w:val="18"/>
                <w:lang w:val="en-US"/>
              </w:rPr>
              <w:t>-</w:t>
            </w:r>
            <w:r>
              <w:rPr>
                <w:sz w:val="20"/>
                <w:szCs w:val="18"/>
              </w:rPr>
              <w:t>0,</w:t>
            </w:r>
            <w:r w:rsidRPr="00453D58">
              <w:rPr>
                <w:sz w:val="20"/>
                <w:szCs w:val="18"/>
                <w:lang w:val="en-US"/>
              </w:rPr>
              <w:t>7</w:t>
            </w:r>
          </w:p>
        </w:tc>
        <w:tc>
          <w:tcPr>
            <w:tcW w:w="724" w:type="pct"/>
            <w:shd w:val="clear" w:color="auto" w:fill="FEE6D6" w:themeFill="accent1" w:themeFillTint="33"/>
            <w:vAlign w:val="center"/>
            <w:hideMark/>
          </w:tcPr>
          <w:p w14:paraId="3F3942CF" w14:textId="77777777" w:rsidR="000A0ED4" w:rsidRPr="00453D58" w:rsidRDefault="000A0ED4" w:rsidP="000A0ED4">
            <w:pPr>
              <w:spacing w:after="0"/>
              <w:jc w:val="center"/>
              <w:rPr>
                <w:sz w:val="20"/>
                <w:szCs w:val="18"/>
                <w:lang w:val="en-US"/>
              </w:rPr>
            </w:pPr>
            <w:r>
              <w:rPr>
                <w:sz w:val="20"/>
                <w:szCs w:val="18"/>
                <w:lang w:val="en-US"/>
              </w:rPr>
              <w:t>-0,</w:t>
            </w:r>
            <w:r w:rsidRPr="00453D58">
              <w:rPr>
                <w:sz w:val="20"/>
                <w:szCs w:val="18"/>
                <w:lang w:val="en-US"/>
              </w:rPr>
              <w:t>6</w:t>
            </w:r>
          </w:p>
        </w:tc>
        <w:tc>
          <w:tcPr>
            <w:tcW w:w="723" w:type="pct"/>
            <w:vAlign w:val="center"/>
            <w:hideMark/>
          </w:tcPr>
          <w:p w14:paraId="12C4C7A8"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7</w:t>
            </w:r>
          </w:p>
        </w:tc>
        <w:tc>
          <w:tcPr>
            <w:tcW w:w="722" w:type="pct"/>
            <w:vAlign w:val="center"/>
            <w:hideMark/>
          </w:tcPr>
          <w:p w14:paraId="222C444F"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8</w:t>
            </w:r>
          </w:p>
        </w:tc>
      </w:tr>
      <w:tr w:rsidR="000A0ED4" w:rsidRPr="0078764B" w14:paraId="6941729D" w14:textId="77777777" w:rsidTr="005228EF">
        <w:trPr>
          <w:trHeight w:val="397"/>
          <w:jc w:val="center"/>
        </w:trPr>
        <w:tc>
          <w:tcPr>
            <w:tcW w:w="2107" w:type="pct"/>
            <w:tcBorders>
              <w:bottom w:val="single" w:sz="4" w:space="0" w:color="auto"/>
            </w:tcBorders>
            <w:vAlign w:val="center"/>
          </w:tcPr>
          <w:p w14:paraId="5BAA99C1" w14:textId="77777777" w:rsidR="000A0ED4" w:rsidRPr="0078764B" w:rsidRDefault="000A0ED4" w:rsidP="000A0ED4">
            <w:pPr>
              <w:spacing w:after="0"/>
              <w:ind w:left="170"/>
              <w:rPr>
                <w:sz w:val="20"/>
                <w:szCs w:val="18"/>
              </w:rPr>
            </w:pPr>
            <w:r w:rsidRPr="0078764B">
              <w:rPr>
                <w:rFonts w:eastAsia="Times New Roman"/>
                <w:bCs/>
                <w:sz w:val="20"/>
                <w:szCs w:val="20"/>
              </w:rPr>
              <w:t>Необходим структурен първичен баланс през първата прогнозна година</w:t>
            </w:r>
          </w:p>
        </w:tc>
        <w:tc>
          <w:tcPr>
            <w:tcW w:w="723" w:type="pct"/>
            <w:tcBorders>
              <w:bottom w:val="single" w:sz="4" w:space="0" w:color="auto"/>
            </w:tcBorders>
            <w:shd w:val="clear" w:color="auto" w:fill="FEE6D6" w:themeFill="accent1" w:themeFillTint="33"/>
            <w:vAlign w:val="center"/>
          </w:tcPr>
          <w:p w14:paraId="3AD95841" w14:textId="77777777" w:rsidR="000A0ED4" w:rsidRPr="000D35C4" w:rsidRDefault="000A0ED4" w:rsidP="000A0ED4">
            <w:pPr>
              <w:spacing w:after="0"/>
              <w:jc w:val="center"/>
              <w:rPr>
                <w:sz w:val="20"/>
                <w:szCs w:val="18"/>
              </w:rPr>
            </w:pPr>
            <w:r>
              <w:rPr>
                <w:sz w:val="20"/>
                <w:szCs w:val="18"/>
                <w:lang w:val="en-US"/>
              </w:rPr>
              <w:t>-1,</w:t>
            </w:r>
            <w:r>
              <w:rPr>
                <w:sz w:val="20"/>
                <w:szCs w:val="18"/>
              </w:rPr>
              <w:t>1</w:t>
            </w:r>
          </w:p>
        </w:tc>
        <w:tc>
          <w:tcPr>
            <w:tcW w:w="724" w:type="pct"/>
            <w:tcBorders>
              <w:bottom w:val="single" w:sz="4" w:space="0" w:color="auto"/>
            </w:tcBorders>
            <w:shd w:val="clear" w:color="auto" w:fill="FEE6D6" w:themeFill="accent1" w:themeFillTint="33"/>
            <w:vAlign w:val="center"/>
          </w:tcPr>
          <w:p w14:paraId="3F1B98F8" w14:textId="77777777" w:rsidR="000A0ED4" w:rsidRPr="00453D58" w:rsidRDefault="000A0ED4" w:rsidP="000A0ED4">
            <w:pPr>
              <w:spacing w:after="0"/>
              <w:jc w:val="center"/>
              <w:rPr>
                <w:sz w:val="20"/>
                <w:szCs w:val="18"/>
                <w:lang w:val="en-US"/>
              </w:rPr>
            </w:pPr>
            <w:r>
              <w:rPr>
                <w:sz w:val="20"/>
                <w:szCs w:val="18"/>
                <w:lang w:val="en-US"/>
              </w:rPr>
              <w:t>-0,</w:t>
            </w:r>
            <w:r w:rsidRPr="00453D58">
              <w:rPr>
                <w:sz w:val="20"/>
                <w:szCs w:val="18"/>
                <w:lang w:val="en-US"/>
              </w:rPr>
              <w:t>4</w:t>
            </w:r>
          </w:p>
        </w:tc>
        <w:tc>
          <w:tcPr>
            <w:tcW w:w="723" w:type="pct"/>
            <w:tcBorders>
              <w:bottom w:val="single" w:sz="4" w:space="0" w:color="auto"/>
            </w:tcBorders>
            <w:vAlign w:val="center"/>
          </w:tcPr>
          <w:p w14:paraId="20C83664" w14:textId="77777777" w:rsidR="000A0ED4" w:rsidRPr="00E90906" w:rsidRDefault="000A0ED4" w:rsidP="000A0ED4">
            <w:pPr>
              <w:spacing w:after="0"/>
              <w:jc w:val="center"/>
              <w:rPr>
                <w:sz w:val="20"/>
                <w:szCs w:val="18"/>
                <w:lang w:val="en-US"/>
              </w:rPr>
            </w:pPr>
            <w:r>
              <w:rPr>
                <w:sz w:val="20"/>
                <w:szCs w:val="18"/>
                <w:lang w:val="en-US"/>
              </w:rPr>
              <w:t>-1,</w:t>
            </w:r>
            <w:r w:rsidRPr="00E90906">
              <w:rPr>
                <w:sz w:val="20"/>
                <w:szCs w:val="18"/>
                <w:lang w:val="en-US"/>
              </w:rPr>
              <w:t>1</w:t>
            </w:r>
          </w:p>
        </w:tc>
        <w:tc>
          <w:tcPr>
            <w:tcW w:w="722" w:type="pct"/>
            <w:tcBorders>
              <w:bottom w:val="single" w:sz="4" w:space="0" w:color="auto"/>
            </w:tcBorders>
            <w:vAlign w:val="center"/>
          </w:tcPr>
          <w:p w14:paraId="3BDB5B11" w14:textId="77777777" w:rsidR="000A0ED4" w:rsidRPr="00E90906" w:rsidRDefault="000A0ED4" w:rsidP="000A0ED4">
            <w:pPr>
              <w:spacing w:after="0"/>
              <w:jc w:val="center"/>
              <w:rPr>
                <w:sz w:val="20"/>
                <w:szCs w:val="18"/>
                <w:lang w:val="en-US"/>
              </w:rPr>
            </w:pPr>
            <w:r>
              <w:rPr>
                <w:sz w:val="20"/>
                <w:szCs w:val="18"/>
                <w:lang w:val="en-US"/>
              </w:rPr>
              <w:t>-0,</w:t>
            </w:r>
            <w:r w:rsidRPr="00E90906">
              <w:rPr>
                <w:sz w:val="20"/>
                <w:szCs w:val="18"/>
                <w:lang w:val="en-US"/>
              </w:rPr>
              <w:t>4</w:t>
            </w:r>
          </w:p>
        </w:tc>
      </w:tr>
    </w:tbl>
    <w:p w14:paraId="0ED6F044" w14:textId="77777777" w:rsidR="0023189B" w:rsidRPr="00122D82" w:rsidRDefault="0023189B" w:rsidP="0023189B">
      <w:pPr>
        <w:spacing w:after="0"/>
        <w:contextualSpacing/>
        <w:jc w:val="right"/>
        <w:rPr>
          <w:rFonts w:eastAsia="Times New Roman" w:cs="Times New Roman"/>
          <w:sz w:val="18"/>
          <w:szCs w:val="18"/>
        </w:rPr>
      </w:pPr>
      <w:r w:rsidRPr="00A05985">
        <w:rPr>
          <w:rFonts w:eastAsia="Times New Roman" w:cs="Times New Roman"/>
          <w:sz w:val="18"/>
          <w:szCs w:val="18"/>
        </w:rPr>
        <w:t>Източник:</w:t>
      </w:r>
      <w:r w:rsidRPr="00A05985">
        <w:rPr>
          <w:rFonts w:eastAsia="Calibri" w:cs="Times New Roman"/>
          <w:sz w:val="18"/>
          <w:szCs w:val="24"/>
        </w:rPr>
        <w:t xml:space="preserve"> </w:t>
      </w:r>
      <w:r w:rsidRPr="00A05985">
        <w:rPr>
          <w:rFonts w:eastAsia="Times New Roman" w:cs="Times New Roman"/>
          <w:sz w:val="18"/>
          <w:szCs w:val="18"/>
        </w:rPr>
        <w:t xml:space="preserve">МФ, </w:t>
      </w:r>
      <w:r w:rsidR="00A05985" w:rsidRPr="00A05985">
        <w:rPr>
          <w:rFonts w:eastAsia="Times New Roman" w:cs="Times New Roman"/>
          <w:sz w:val="18"/>
          <w:szCs w:val="18"/>
          <w:lang w:val="en-US"/>
        </w:rPr>
        <w:t>Debt Sustainability Monitor 2024</w:t>
      </w:r>
    </w:p>
    <w:p w14:paraId="66CC2483" w14:textId="77777777" w:rsidR="0023189B" w:rsidRPr="00122D82" w:rsidRDefault="0023189B" w:rsidP="0023189B">
      <w:pPr>
        <w:rPr>
          <w:rFonts w:eastAsia="Calibri" w:cs="Times New Roman"/>
          <w:bCs/>
          <w:szCs w:val="24"/>
        </w:rPr>
      </w:pPr>
    </w:p>
    <w:p w14:paraId="40A19E31" w14:textId="77777777" w:rsidR="00A05985" w:rsidRPr="00A05985" w:rsidRDefault="00A05985" w:rsidP="002702AB">
      <w:pPr>
        <w:spacing w:before="120" w:after="0"/>
        <w:rPr>
          <w:rFonts w:eastAsia="MS Mincho" w:cs="Times New Roman"/>
        </w:rPr>
      </w:pPr>
      <w:r w:rsidRPr="00A05985">
        <w:rPr>
          <w:rFonts w:eastAsia="MS Mincho" w:cs="Times New Roman"/>
        </w:rPr>
        <w:t xml:space="preserve">Според оценките на МФ и </w:t>
      </w:r>
      <w:r w:rsidRPr="00A05985">
        <w:rPr>
          <w:rFonts w:eastAsia="MS Mincho" w:cs="Times New Roman"/>
          <w:lang w:val="en-US"/>
        </w:rPr>
        <w:t>S</w:t>
      </w:r>
      <w:r w:rsidRPr="00202877">
        <w:rPr>
          <w:rFonts w:eastAsia="MS Mincho" w:cs="Times New Roman"/>
        </w:rPr>
        <w:t xml:space="preserve">1 </w:t>
      </w:r>
      <w:r w:rsidRPr="00A05985">
        <w:rPr>
          <w:rFonts w:eastAsia="MS Mincho" w:cs="Times New Roman"/>
        </w:rPr>
        <w:t xml:space="preserve">и </w:t>
      </w:r>
      <w:r w:rsidRPr="00A05985">
        <w:rPr>
          <w:rFonts w:eastAsia="MS Mincho" w:cs="Times New Roman"/>
          <w:lang w:val="en-US"/>
        </w:rPr>
        <w:t>S</w:t>
      </w:r>
      <w:r w:rsidRPr="00202877">
        <w:rPr>
          <w:rFonts w:eastAsia="MS Mincho" w:cs="Times New Roman"/>
        </w:rPr>
        <w:t xml:space="preserve">2 </w:t>
      </w:r>
      <w:r w:rsidRPr="00A05985">
        <w:rPr>
          <w:rFonts w:eastAsia="MS Mincho" w:cs="Times New Roman"/>
        </w:rPr>
        <w:t>са под 2%, което според референтните стойности на ЕК</w:t>
      </w:r>
      <w:r w:rsidRPr="00A05985">
        <w:rPr>
          <w:rFonts w:eastAsia="MS Mincho" w:cs="Times New Roman"/>
          <w:vertAlign w:val="superscript"/>
        </w:rPr>
        <w:footnoteReference w:id="50"/>
      </w:r>
      <w:r w:rsidRPr="00A05985">
        <w:rPr>
          <w:rFonts w:eastAsia="MS Mincho" w:cs="Times New Roman"/>
        </w:rPr>
        <w:t xml:space="preserve"> показват нисък риск за фискалната устойчивост в дългосрочен план. Все пак за да се поддържа нивото на дълга под 60% от БВП до 2070 г. е необходима корекция в структурно коригирания първичен дефицит. </w:t>
      </w:r>
      <w:r w:rsidRPr="00A05985">
        <w:rPr>
          <w:rFonts w:eastAsia="MS Mincho" w:cs="Times New Roman"/>
          <w:bCs/>
        </w:rPr>
        <w:t>Мониторинговия доклад за устойчивостта на дълга на ЕК от 202</w:t>
      </w:r>
      <w:r w:rsidRPr="00202877">
        <w:rPr>
          <w:rFonts w:eastAsia="MS Mincho" w:cs="Times New Roman"/>
          <w:bCs/>
        </w:rPr>
        <w:t>4</w:t>
      </w:r>
      <w:r w:rsidRPr="00A05985">
        <w:rPr>
          <w:rFonts w:eastAsia="MS Mincho" w:cs="Times New Roman"/>
          <w:bCs/>
        </w:rPr>
        <w:t xml:space="preserve"> г. също оценява риска пред публичните финанси на България в дългосрочен план като нисък. </w:t>
      </w:r>
    </w:p>
    <w:p w14:paraId="133E8729" w14:textId="77777777" w:rsidR="00E42934" w:rsidRPr="00F75999" w:rsidRDefault="007E3876" w:rsidP="00F75999">
      <w:pPr>
        <w:pStyle w:val="Heading3"/>
        <w:ind w:left="0"/>
        <w:rPr>
          <w:szCs w:val="24"/>
        </w:rPr>
      </w:pPr>
      <w:r w:rsidRPr="00F75999">
        <w:rPr>
          <w:szCs w:val="24"/>
        </w:rPr>
        <w:lastRenderedPageBreak/>
        <w:t>Оценка на структурния бюджетен баланс</w:t>
      </w:r>
      <w:r w:rsidR="00D427A3" w:rsidRPr="00F75999">
        <w:rPr>
          <w:szCs w:val="24"/>
        </w:rPr>
        <w:t xml:space="preserve"> и годишния ръст на разходите спрямо референтния растеж на потенциалния БВП</w:t>
      </w:r>
    </w:p>
    <w:p w14:paraId="60D3DCB3" w14:textId="77777777" w:rsidR="007E3876" w:rsidRPr="00F75999" w:rsidRDefault="00536081" w:rsidP="00F75999">
      <w:pPr>
        <w:pStyle w:val="Heading4"/>
        <w:jc w:val="both"/>
      </w:pPr>
      <w:bookmarkStart w:id="500" w:name="_Toc448227285"/>
      <w:bookmarkStart w:id="501" w:name="_Toc479332433"/>
      <w:bookmarkStart w:id="502" w:name="_Toc163642487"/>
      <w:r w:rsidRPr="00F75999">
        <w:t xml:space="preserve">Структурен баланс (циклични компоненти на баланса, </w:t>
      </w:r>
      <w:r w:rsidRPr="00F75999">
        <w:br/>
        <w:t>еднократни и временни мерки) и фискална позиция, вкл. бенчмарк за правителствените разходи</w:t>
      </w:r>
      <w:bookmarkEnd w:id="500"/>
      <w:bookmarkEnd w:id="501"/>
      <w:bookmarkEnd w:id="502"/>
    </w:p>
    <w:p w14:paraId="3AC6B0B2" w14:textId="77777777" w:rsidR="00AC035A" w:rsidRPr="00B96432" w:rsidRDefault="00AC035A" w:rsidP="00AC035A">
      <w:pPr>
        <w:rPr>
          <w:rFonts w:eastAsia="MS Mincho" w:cs="Times New Roman"/>
        </w:rPr>
      </w:pPr>
      <w:r w:rsidRPr="00AC035A">
        <w:rPr>
          <w:rFonts w:eastAsia="MS Mincho" w:cs="Times New Roman"/>
        </w:rPr>
        <w:t>На база макроикономическата прогноза и плана за бюджетните параметри за 2025 г., оценката за структурния бюджетен баланс през текущата година е за дефицит от 3,1% от БВП. Тази стойност съответства на планирания фактически бюджетен дефицит на сектор „Държавно управление“ (3%) и допълнителна отрицателна корекция, отразяваща функционирането на икономиката над потенциала.</w:t>
      </w:r>
    </w:p>
    <w:p w14:paraId="73756531" w14:textId="77777777" w:rsidR="00AC035A" w:rsidRPr="00AC035A" w:rsidRDefault="00AC035A" w:rsidP="00AC035A">
      <w:pPr>
        <w:rPr>
          <w:rFonts w:eastAsia="MS Mincho" w:cs="Times New Roman"/>
        </w:rPr>
      </w:pPr>
      <w:r w:rsidRPr="00AC035A">
        <w:rPr>
          <w:rFonts w:eastAsia="MS Mincho" w:cs="Times New Roman"/>
        </w:rPr>
        <w:t xml:space="preserve">През 2026 г. се планира запазване на фактическия дефицит на сектор „Държавно управление“ в размер на 3% от БВП. </w:t>
      </w:r>
      <w:r w:rsidRPr="00AC035A">
        <w:rPr>
          <w:rFonts w:eastAsia="MS Mincho" w:cs="Times New Roman"/>
          <w:bCs/>
        </w:rPr>
        <w:t>К</w:t>
      </w:r>
      <w:r w:rsidRPr="00AC035A">
        <w:rPr>
          <w:rFonts w:eastAsia="MS Mincho" w:cs="Times New Roman"/>
        </w:rPr>
        <w:t>орекцията спрямо фазата от икономическия цикъл е по-малка, но отново води до понижаване на оценката спрямо фактическия бюджетен баланс. Влиянието по линия на еднократни приходни мерки е минимално</w:t>
      </w:r>
      <w:r w:rsidRPr="00AC035A">
        <w:rPr>
          <w:rFonts w:eastAsia="MS Mincho" w:cs="Times New Roman"/>
          <w:bCs/>
        </w:rPr>
        <w:t xml:space="preserve">. </w:t>
      </w:r>
      <w:r w:rsidRPr="00AC035A">
        <w:rPr>
          <w:rFonts w:eastAsia="MS Mincho" w:cs="Times New Roman"/>
        </w:rPr>
        <w:t xml:space="preserve">В резултат, структурният бюджетен дефицит е оценен на 3% от БВП през 2026 г. </w:t>
      </w:r>
    </w:p>
    <w:p w14:paraId="79B80268" w14:textId="77777777" w:rsidR="00AC035A" w:rsidRPr="00AC035A" w:rsidRDefault="00AC035A" w:rsidP="00AC035A">
      <w:pPr>
        <w:rPr>
          <w:rFonts w:eastAsia="MS Mincho" w:cs="Times New Roman"/>
        </w:rPr>
      </w:pPr>
      <w:r w:rsidRPr="00AC035A">
        <w:rPr>
          <w:rFonts w:eastAsia="MS Mincho" w:cs="Times New Roman"/>
        </w:rPr>
        <w:t xml:space="preserve">През 2027-2028 г. </w:t>
      </w:r>
      <w:r w:rsidRPr="00AC035A">
        <w:rPr>
          <w:rFonts w:eastAsia="MS Mincho" w:cs="Times New Roman"/>
          <w:bCs/>
        </w:rPr>
        <w:t>се планира дефицитът на сектор „Държавно управление“ да бъде съответно 4</w:t>
      </w:r>
      <w:r w:rsidRPr="00B96432">
        <w:rPr>
          <w:rFonts w:eastAsia="MS Mincho" w:cs="Times New Roman"/>
          <w:bCs/>
        </w:rPr>
        <w:t>,1</w:t>
      </w:r>
      <w:r w:rsidRPr="00AC035A">
        <w:rPr>
          <w:rFonts w:eastAsia="MS Mincho" w:cs="Times New Roman"/>
          <w:bCs/>
        </w:rPr>
        <w:t xml:space="preserve"> и </w:t>
      </w:r>
      <w:r w:rsidRPr="00B96432">
        <w:rPr>
          <w:rFonts w:eastAsia="MS Mincho" w:cs="Times New Roman"/>
          <w:bCs/>
        </w:rPr>
        <w:t>2,9</w:t>
      </w:r>
      <w:r w:rsidRPr="00AC035A">
        <w:rPr>
          <w:rFonts w:eastAsia="MS Mincho" w:cs="Times New Roman"/>
          <w:bCs/>
        </w:rPr>
        <w:t>% от БВП. До края на периода не се предвиждат фискални мерки с еднократно въздействие. Очаква се о</w:t>
      </w:r>
      <w:r w:rsidRPr="00AC035A">
        <w:rPr>
          <w:rFonts w:eastAsia="MS Mincho" w:cs="Times New Roman"/>
        </w:rPr>
        <w:t>тклонението на икономиката от потенциала да премине от леко положително през 2026 г. до леко отрицателно през 2028 г. По този начин, корекцията на фактическото салдо спрямо фазата на икономическия цикъл е в посока по-малък дефицит в периода 2027-2028 г. Съответно, оценката за структурния бюджетен дефицит е 4,</w:t>
      </w:r>
      <w:r w:rsidRPr="00B96432">
        <w:rPr>
          <w:rFonts w:eastAsia="MS Mincho" w:cs="Times New Roman"/>
        </w:rPr>
        <w:t>0</w:t>
      </w:r>
      <w:r w:rsidRPr="00AC035A">
        <w:rPr>
          <w:rFonts w:eastAsia="MS Mincho" w:cs="Times New Roman"/>
        </w:rPr>
        <w:t xml:space="preserve">% от БВП през 2027 и </w:t>
      </w:r>
      <w:r w:rsidRPr="00B96432">
        <w:rPr>
          <w:rFonts w:eastAsia="MS Mincho" w:cs="Times New Roman"/>
        </w:rPr>
        <w:t>2,8</w:t>
      </w:r>
      <w:r w:rsidRPr="00AC035A">
        <w:rPr>
          <w:rFonts w:eastAsia="MS Mincho" w:cs="Times New Roman"/>
        </w:rPr>
        <w:t>% от БВП през 2028 г.</w:t>
      </w:r>
    </w:p>
    <w:p w14:paraId="2341487E" w14:textId="77777777" w:rsidR="007D3C51" w:rsidRDefault="007D3C51" w:rsidP="00CC1098">
      <w:pPr>
        <w:pStyle w:val="Caption"/>
        <w:ind w:left="0" w:firstLine="0"/>
      </w:pPr>
    </w:p>
    <w:p w14:paraId="1A86D53B" w14:textId="77777777" w:rsidR="00CC1098" w:rsidRDefault="00F9111B" w:rsidP="00CC1098">
      <w:pPr>
        <w:pStyle w:val="Caption"/>
        <w:ind w:left="0" w:firstLine="0"/>
      </w:pPr>
      <w:r w:rsidRPr="00AA3F66">
        <w:t xml:space="preserve">Граф. </w:t>
      </w:r>
      <w:r w:rsidR="00974F02">
        <w:fldChar w:fldCharType="begin"/>
      </w:r>
      <w:r w:rsidR="00974F02">
        <w:instrText xml:space="preserve"> STYLEREF 1 \s </w:instrText>
      </w:r>
      <w:r w:rsidR="00974F02">
        <w:fldChar w:fldCharType="separate"/>
      </w:r>
      <w:r w:rsidR="00841DFA">
        <w:rPr>
          <w:noProof/>
        </w:rPr>
        <w:t>VII</w:t>
      </w:r>
      <w:r w:rsidR="00974F02">
        <w:rPr>
          <w:noProof/>
        </w:rPr>
        <w:fldChar w:fldCharType="end"/>
      </w:r>
      <w:r w:rsidRPr="00AA3F66">
        <w:noBreakHyphen/>
      </w:r>
      <w:r w:rsidR="00974F02">
        <w:fldChar w:fldCharType="begin"/>
      </w:r>
      <w:r w:rsidR="00974F02">
        <w:instrText xml:space="preserve"> SEQ Граф. \* ARABIC \s 1 </w:instrText>
      </w:r>
      <w:r w:rsidR="00974F02">
        <w:fldChar w:fldCharType="separate"/>
      </w:r>
      <w:r w:rsidR="00841DFA">
        <w:rPr>
          <w:noProof/>
        </w:rPr>
        <w:t>1</w:t>
      </w:r>
      <w:r w:rsidR="00974F02">
        <w:rPr>
          <w:noProof/>
        </w:rPr>
        <w:fldChar w:fldCharType="end"/>
      </w:r>
      <w:r w:rsidR="001B116E" w:rsidRPr="00AA3F66">
        <w:t xml:space="preserve">: </w:t>
      </w:r>
      <w:r w:rsidRPr="00AA3F66">
        <w:t>Структурен бюджетен баланс (% от БВП)</w:t>
      </w:r>
    </w:p>
    <w:p w14:paraId="41AEE88A" w14:textId="77777777" w:rsidR="00BF5F9A" w:rsidRDefault="00BF5F9A" w:rsidP="00E71766"/>
    <w:p w14:paraId="6E1BC122" w14:textId="77777777" w:rsidR="00AC035A" w:rsidRDefault="00BF5F9A" w:rsidP="00E71766">
      <w:pPr>
        <w:jc w:val="center"/>
      </w:pPr>
      <w:r>
        <w:rPr>
          <w:noProof/>
        </w:rPr>
        <w:drawing>
          <wp:inline distT="0" distB="0" distL="0" distR="0" wp14:anchorId="32394ADB" wp14:editId="5AF9762B">
            <wp:extent cx="2560320" cy="260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2603500"/>
                    </a:xfrm>
                    <a:prstGeom prst="rect">
                      <a:avLst/>
                    </a:prstGeom>
                    <a:noFill/>
                  </pic:spPr>
                </pic:pic>
              </a:graphicData>
            </a:graphic>
          </wp:inline>
        </w:drawing>
      </w:r>
    </w:p>
    <w:p w14:paraId="39CD2EBC" w14:textId="77777777" w:rsidR="00AC035A" w:rsidRPr="00AC035A" w:rsidRDefault="00AC035A" w:rsidP="00E71766"/>
    <w:p w14:paraId="0F86C608" w14:textId="77777777" w:rsidR="000A0ED4" w:rsidRDefault="000A0ED4" w:rsidP="008D4BF0"/>
    <w:p w14:paraId="4067CB51" w14:textId="77777777" w:rsidR="00CF1BC4" w:rsidRDefault="00CF1BC4" w:rsidP="008D4BF0">
      <w:pPr>
        <w:jc w:val="center"/>
      </w:pPr>
    </w:p>
    <w:p w14:paraId="68EFB4EB" w14:textId="77777777" w:rsidR="00AC035A" w:rsidRDefault="00AC035A" w:rsidP="00E71766">
      <w:pPr>
        <w:spacing w:line="276" w:lineRule="auto"/>
        <w:jc w:val="center"/>
        <w:rPr>
          <w:rFonts w:eastAsia="Calibri" w:cs="Times New Roman"/>
          <w:sz w:val="18"/>
          <w:szCs w:val="18"/>
          <w:lang w:eastAsia="en-US"/>
        </w:rPr>
      </w:pPr>
    </w:p>
    <w:p w14:paraId="4EFC9B0C" w14:textId="77777777" w:rsidR="005D2074" w:rsidRDefault="003A06A0" w:rsidP="008B5C04">
      <w:pPr>
        <w:spacing w:line="276" w:lineRule="auto"/>
        <w:jc w:val="right"/>
        <w:rPr>
          <w:rFonts w:eastAsia="Calibri" w:cs="Times New Roman"/>
          <w:sz w:val="18"/>
          <w:szCs w:val="18"/>
          <w:lang w:eastAsia="en-US"/>
        </w:rPr>
      </w:pPr>
      <w:r w:rsidRPr="00AA3F66">
        <w:rPr>
          <w:rFonts w:eastAsia="Calibri" w:cs="Times New Roman"/>
          <w:sz w:val="18"/>
          <w:szCs w:val="18"/>
          <w:lang w:eastAsia="en-US"/>
        </w:rPr>
        <w:t>Из</w:t>
      </w:r>
      <w:r w:rsidR="005D2074">
        <w:rPr>
          <w:rFonts w:eastAsia="Calibri" w:cs="Times New Roman"/>
          <w:sz w:val="18"/>
          <w:szCs w:val="18"/>
          <w:lang w:eastAsia="en-US"/>
        </w:rPr>
        <w:t>точник: МФ</w:t>
      </w:r>
    </w:p>
    <w:p w14:paraId="4BD508FB" w14:textId="77777777" w:rsidR="00D64C28" w:rsidRDefault="00EF2F5C" w:rsidP="0064339F">
      <w:pPr>
        <w:pStyle w:val="Caption"/>
        <w:keepNext/>
        <w:ind w:left="0" w:firstLine="0"/>
      </w:pPr>
      <w:r w:rsidRPr="00AA3F66">
        <w:t xml:space="preserve">Граф. </w:t>
      </w:r>
      <w:r w:rsidR="00974F02">
        <w:fldChar w:fldCharType="begin"/>
      </w:r>
      <w:r w:rsidR="00974F02">
        <w:instrText xml:space="preserve"> STYLEREF 1 \s </w:instrText>
      </w:r>
      <w:r w:rsidR="00974F02">
        <w:fldChar w:fldCharType="separate"/>
      </w:r>
      <w:r w:rsidR="00841DFA">
        <w:rPr>
          <w:noProof/>
        </w:rPr>
        <w:t>VII</w:t>
      </w:r>
      <w:r w:rsidR="00974F02">
        <w:rPr>
          <w:noProof/>
        </w:rPr>
        <w:fldChar w:fldCharType="end"/>
      </w:r>
      <w:r w:rsidRPr="00AA3F66">
        <w:noBreakHyphen/>
      </w:r>
      <w:r w:rsidR="00974F02">
        <w:fldChar w:fldCharType="begin"/>
      </w:r>
      <w:r w:rsidR="00974F02">
        <w:instrText xml:space="preserve"> SEQ Граф. \* ARABIC \s 1 </w:instrText>
      </w:r>
      <w:r w:rsidR="00974F02">
        <w:fldChar w:fldCharType="separate"/>
      </w:r>
      <w:r w:rsidR="00841DFA">
        <w:rPr>
          <w:noProof/>
        </w:rPr>
        <w:t>2</w:t>
      </w:r>
      <w:r w:rsidR="00974F02">
        <w:rPr>
          <w:noProof/>
        </w:rPr>
        <w:fldChar w:fldCharType="end"/>
      </w:r>
      <w:r w:rsidR="001B116E" w:rsidRPr="00AA3F66">
        <w:t xml:space="preserve">: </w:t>
      </w:r>
      <w:r w:rsidRPr="00AA3F66">
        <w:t>Фискална позиция</w:t>
      </w:r>
    </w:p>
    <w:p w14:paraId="46C6550F" w14:textId="77777777" w:rsidR="00BF5F9A" w:rsidRPr="00BF5F9A" w:rsidRDefault="00BF5F9A" w:rsidP="00E71766">
      <w:pPr>
        <w:jc w:val="center"/>
      </w:pPr>
      <w:r>
        <w:rPr>
          <w:noProof/>
        </w:rPr>
        <w:drawing>
          <wp:inline distT="0" distB="0" distL="0" distR="0" wp14:anchorId="2F373BD2" wp14:editId="74FEA5DA">
            <wp:extent cx="3383280" cy="22072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3280" cy="2207260"/>
                    </a:xfrm>
                    <a:prstGeom prst="rect">
                      <a:avLst/>
                    </a:prstGeom>
                    <a:noFill/>
                  </pic:spPr>
                </pic:pic>
              </a:graphicData>
            </a:graphic>
          </wp:inline>
        </w:drawing>
      </w:r>
    </w:p>
    <w:p w14:paraId="41B9EC0D" w14:textId="77777777" w:rsidR="000A0ED4" w:rsidRDefault="000A0ED4" w:rsidP="008D4BF0">
      <w:pPr>
        <w:jc w:val="center"/>
        <w:rPr>
          <w:noProof/>
        </w:rPr>
      </w:pPr>
    </w:p>
    <w:p w14:paraId="14A19321" w14:textId="77777777" w:rsidR="00820490" w:rsidRDefault="00820490" w:rsidP="008D4BF0">
      <w:pPr>
        <w:jc w:val="center"/>
        <w:rPr>
          <w:noProof/>
        </w:rPr>
      </w:pPr>
    </w:p>
    <w:p w14:paraId="15961BC1" w14:textId="77777777" w:rsidR="00BC2A08" w:rsidRPr="00AA3F66" w:rsidRDefault="007026B8" w:rsidP="00BC2A08">
      <w:pPr>
        <w:spacing w:line="276" w:lineRule="auto"/>
        <w:jc w:val="right"/>
        <w:rPr>
          <w:rFonts w:eastAsia="Calibri"/>
          <w:sz w:val="18"/>
          <w:szCs w:val="18"/>
          <w:lang w:eastAsia="en-US"/>
        </w:rPr>
      </w:pPr>
      <w:r w:rsidRPr="00AA3F66">
        <w:rPr>
          <w:rFonts w:eastAsia="Calibri"/>
          <w:sz w:val="18"/>
          <w:szCs w:val="18"/>
          <w:lang w:eastAsia="en-US"/>
        </w:rPr>
        <w:t>Из</w:t>
      </w:r>
      <w:r w:rsidR="005D2074">
        <w:rPr>
          <w:rFonts w:eastAsia="Calibri"/>
          <w:sz w:val="18"/>
          <w:szCs w:val="18"/>
          <w:lang w:eastAsia="en-US"/>
        </w:rPr>
        <w:t>точник: МФ</w:t>
      </w:r>
    </w:p>
    <w:p w14:paraId="3AB36885" w14:textId="77777777" w:rsidR="00D427A3" w:rsidRPr="00F75999" w:rsidRDefault="00D427A3" w:rsidP="00D708C4">
      <w:pPr>
        <w:pStyle w:val="Heading4"/>
        <w:spacing w:before="0" w:after="200"/>
        <w:jc w:val="both"/>
      </w:pPr>
      <w:r w:rsidRPr="00F75999">
        <w:t>Разходно правило</w:t>
      </w:r>
    </w:p>
    <w:p w14:paraId="0FBD9302" w14:textId="77777777" w:rsidR="00BF5F9A" w:rsidRPr="00BF5F9A" w:rsidRDefault="00BF5F9A" w:rsidP="00BF5F9A">
      <w:pPr>
        <w:rPr>
          <w:rFonts w:eastAsia="MS Mincho" w:cs="Times New Roman"/>
        </w:rPr>
      </w:pPr>
      <w:r w:rsidRPr="00BF5F9A">
        <w:rPr>
          <w:rFonts w:eastAsia="MS Mincho" w:cs="Times New Roman"/>
        </w:rPr>
        <w:t>Оценката на съответствието с изискванията на Пакта за стабилност и растеж и ЗПФ по отношение на растежа на бюджетните разходи се базира на общата методология на Европейската комисия за т. нар. бенчмарк на разходите, при отчитането на разделението между финансираните с национални средства и със средства от ЕС публични инвестиции. Бенчмаркът на разходите се сравнява с нивото на потенциалния средносрочен растеж на БВП, изчислен от ЕК. След реформата на Пакта за стабилност и растеж през 2024 г. изпълнението на бенчмарка на разходите вече не е показател, който се следи от ЕК при оценката за спазване на фискалните правила в ЕС.</w:t>
      </w:r>
    </w:p>
    <w:p w14:paraId="76BD5B49" w14:textId="77777777" w:rsidR="00BF5F9A" w:rsidRPr="00BF5F9A" w:rsidRDefault="00BF5F9A" w:rsidP="00BF5F9A">
      <w:pPr>
        <w:rPr>
          <w:rFonts w:eastAsia="MS Mincho" w:cs="Times New Roman"/>
        </w:rPr>
      </w:pPr>
      <w:r w:rsidRPr="00BF5F9A">
        <w:rPr>
          <w:rFonts w:eastAsia="MS Mincho" w:cs="Times New Roman"/>
        </w:rPr>
        <w:t xml:space="preserve">На база направени изчисления от Министерството на финансите изменението в реално изражение на разходния индикатор се оценява съответно на 4% за 2025 г., </w:t>
      </w:r>
      <w:r w:rsidRPr="00B96432">
        <w:rPr>
          <w:rFonts w:eastAsia="MS Mincho" w:cs="Times New Roman"/>
        </w:rPr>
        <w:t>4</w:t>
      </w:r>
      <w:r w:rsidRPr="00BF5F9A">
        <w:rPr>
          <w:rFonts w:eastAsia="MS Mincho" w:cs="Times New Roman"/>
        </w:rPr>
        <w:t>% за 2026 г., 0,</w:t>
      </w:r>
      <w:r w:rsidRPr="00B96432">
        <w:rPr>
          <w:rFonts w:eastAsia="MS Mincho" w:cs="Times New Roman"/>
        </w:rPr>
        <w:t>2</w:t>
      </w:r>
      <w:r w:rsidRPr="00BF5F9A">
        <w:rPr>
          <w:rFonts w:eastAsia="MS Mincho" w:cs="Times New Roman"/>
        </w:rPr>
        <w:t xml:space="preserve">% за 2027 г и </w:t>
      </w:r>
      <w:r w:rsidRPr="00B96432">
        <w:rPr>
          <w:rFonts w:eastAsia="MS Mincho" w:cs="Times New Roman"/>
        </w:rPr>
        <w:t>-</w:t>
      </w:r>
      <w:r w:rsidRPr="00BF5F9A">
        <w:rPr>
          <w:rFonts w:eastAsia="MS Mincho" w:cs="Times New Roman"/>
        </w:rPr>
        <w:t>0,</w:t>
      </w:r>
      <w:r w:rsidRPr="00B96432">
        <w:rPr>
          <w:rFonts w:eastAsia="MS Mincho" w:cs="Times New Roman"/>
        </w:rPr>
        <w:t>1</w:t>
      </w:r>
      <w:r w:rsidRPr="00BF5F9A">
        <w:rPr>
          <w:rFonts w:eastAsia="MS Mincho" w:cs="Times New Roman"/>
        </w:rPr>
        <w:t>% за 2028 г. Според изчисленията на ЕК нивото на референтния растеж се оценява средно на 2,2% за периода 2024-2028 г.</w:t>
      </w:r>
    </w:p>
    <w:p w14:paraId="5963FC20" w14:textId="77777777" w:rsidR="00D708C4" w:rsidRPr="00820490" w:rsidRDefault="00D708C4" w:rsidP="00D708C4">
      <w:pPr>
        <w:rPr>
          <w:rFonts w:eastAsia="MS Mincho" w:cs="Times New Roman"/>
        </w:rPr>
      </w:pPr>
    </w:p>
    <w:p w14:paraId="6BCC3429" w14:textId="77777777" w:rsidR="00CE4781" w:rsidRPr="00AA3F66" w:rsidRDefault="002A7C29" w:rsidP="00D708C4">
      <w:pPr>
        <w:pStyle w:val="Heading2"/>
        <w:numPr>
          <w:ilvl w:val="1"/>
          <w:numId w:val="3"/>
        </w:numPr>
        <w:spacing w:before="0" w:after="200"/>
        <w:ind w:hanging="270"/>
      </w:pPr>
      <w:bookmarkStart w:id="503" w:name="_Toc216029368"/>
      <w:r w:rsidRPr="00AA3F66">
        <w:t>А</w:t>
      </w:r>
      <w:r w:rsidR="00E46B2B" w:rsidRPr="00AA3F66">
        <w:t>нализ на чувствителността</w:t>
      </w:r>
      <w:bookmarkEnd w:id="503"/>
    </w:p>
    <w:p w14:paraId="13F9EF40" w14:textId="77777777" w:rsidR="00CE4781" w:rsidRPr="00AA3F66" w:rsidRDefault="00CE4781" w:rsidP="00D708C4">
      <w:pPr>
        <w:rPr>
          <w:rFonts w:eastAsia="Times New Roman" w:cs="Calibri"/>
          <w:b/>
          <w:color w:val="852010" w:themeColor="accent3" w:themeShade="BF"/>
        </w:rPr>
      </w:pPr>
      <w:r w:rsidRPr="00AA3F66">
        <w:rPr>
          <w:rFonts w:eastAsia="Times New Roman" w:cs="Calibri"/>
          <w:b/>
          <w:color w:val="852010" w:themeColor="accent3" w:themeShade="BF"/>
        </w:rPr>
        <w:t>Макроикономически симулационен модел</w:t>
      </w:r>
    </w:p>
    <w:p w14:paraId="765C2285" w14:textId="77777777" w:rsidR="00996556" w:rsidRDefault="00996556" w:rsidP="00D708C4">
      <w:pPr>
        <w:rPr>
          <w:rFonts w:eastAsia="Times New Roman" w:cs="Calibri"/>
          <w:bCs/>
        </w:rPr>
      </w:pPr>
      <w:r w:rsidRPr="00996556">
        <w:rPr>
          <w:rFonts w:eastAsia="Times New Roman" w:cs="Calibri"/>
          <w:bCs/>
        </w:rPr>
        <w:t>Според чл. 75, ал. 3 от Закона за публичните финанси разработването на средносрочната бюджетна прогноза и на проекта на държавния бюджет се съпровожда с изготвянето на алтернативни сценарии, свързани със съответни рискове, при различни допускания. Макроикономическият симулационен модел на МФ оценява ефекти върху основни макроикономически и бюджетни показатели от промени в глобалната и/или вътрешната икономическа среда.</w:t>
      </w:r>
    </w:p>
    <w:p w14:paraId="47A531F7" w14:textId="77777777" w:rsidR="00E46B2B" w:rsidRPr="00F75999" w:rsidRDefault="00E46B2B" w:rsidP="00D708C4">
      <w:pPr>
        <w:pStyle w:val="Heading3"/>
        <w:spacing w:before="0" w:after="200"/>
        <w:ind w:left="0"/>
        <w:rPr>
          <w:szCs w:val="24"/>
        </w:rPr>
      </w:pPr>
      <w:r w:rsidRPr="00F75999">
        <w:rPr>
          <w:szCs w:val="24"/>
        </w:rPr>
        <w:lastRenderedPageBreak/>
        <w:t>Алтернативен сценарий на избрани макроикономически показатели</w:t>
      </w:r>
      <w:r w:rsidR="006A36D3" w:rsidRPr="00F75999">
        <w:rPr>
          <w:szCs w:val="24"/>
        </w:rPr>
        <w:t xml:space="preserve"> за периода 2025</w:t>
      </w:r>
      <w:r w:rsidR="0098294A" w:rsidRPr="00F75999">
        <w:rPr>
          <w:szCs w:val="24"/>
        </w:rPr>
        <w:t>-202</w:t>
      </w:r>
      <w:r w:rsidR="006A36D3" w:rsidRPr="00F75999">
        <w:rPr>
          <w:szCs w:val="24"/>
        </w:rPr>
        <w:t>8</w:t>
      </w:r>
      <w:r w:rsidR="00606CA0" w:rsidRPr="00F75999">
        <w:rPr>
          <w:szCs w:val="24"/>
        </w:rPr>
        <w:t xml:space="preserve"> г.</w:t>
      </w:r>
    </w:p>
    <w:p w14:paraId="277AAF11" w14:textId="77777777" w:rsidR="00360F1D" w:rsidRPr="00360F1D" w:rsidRDefault="00360F1D" w:rsidP="00D708C4">
      <w:r w:rsidRPr="00360F1D">
        <w:t xml:space="preserve">В допълнение към основния сценарий е разгледан и алтернативен вариант на развитие на външната среда. Глобалната несигурност в икономически и политически план продължава да ограничава перспективите пред икономическия растеж на света. След </w:t>
      </w:r>
      <w:r w:rsidR="00C13CC1">
        <w:t>февруари 2025 г.</w:t>
      </w:r>
      <w:r w:rsidRPr="00360F1D">
        <w:t xml:space="preserve"> САЩ </w:t>
      </w:r>
      <w:r w:rsidR="00C13CC1">
        <w:t>предприеха</w:t>
      </w:r>
      <w:r w:rsidRPr="00360F1D">
        <w:t xml:space="preserve"> редица </w:t>
      </w:r>
      <w:r w:rsidR="009010EA">
        <w:t xml:space="preserve">търговски </w:t>
      </w:r>
      <w:r w:rsidRPr="00360F1D">
        <w:t>мерки</w:t>
      </w:r>
      <w:r w:rsidR="00301501">
        <w:t>,</w:t>
      </w:r>
      <w:r w:rsidR="00C13CC1">
        <w:t xml:space="preserve"> част от които засегнаха </w:t>
      </w:r>
      <w:r w:rsidRPr="00360F1D">
        <w:t>и страните от ЕС. Останалите страни по света продължиха да се придържат към принципите на търговската политика</w:t>
      </w:r>
      <w:r w:rsidR="00301501">
        <w:t>,</w:t>
      </w:r>
      <w:r w:rsidRPr="00360F1D">
        <w:t xml:space="preserve"> основана на правила, което ограничи негативните последици върху международната търговия. Засега </w:t>
      </w:r>
      <w:r w:rsidR="00AD496E">
        <w:t>тези</w:t>
      </w:r>
      <w:r w:rsidRPr="00360F1D">
        <w:t xml:space="preserve"> мерки имаха ограничен ефект върху икономическата активност и цените на международно търгуемите суровини.</w:t>
      </w:r>
    </w:p>
    <w:p w14:paraId="289AECF4" w14:textId="77777777" w:rsidR="00360F1D" w:rsidRPr="00360F1D" w:rsidRDefault="00360F1D" w:rsidP="00D708C4">
      <w:r w:rsidRPr="00360F1D">
        <w:t>Ниската предвидимост, липсата на яснота и трайни търговски споразумения създава рискове както за инвестиционната активност, потреблението на домакинствата в редица страни по света, така и за международните цени на суровините. В алтернативния сценарий е заложена именно хипотезата за по-ниска икономическа активност в световен план</w:t>
      </w:r>
      <w:r w:rsidR="00803888">
        <w:t>,</w:t>
      </w:r>
      <w:r w:rsidRPr="00360F1D">
        <w:t xml:space="preserve"> породена от високата степен на несигурност и в</w:t>
      </w:r>
      <w:r w:rsidR="00820490">
        <w:t>ече наложените търговски</w:t>
      </w:r>
      <w:r w:rsidRPr="00360F1D">
        <w:t xml:space="preserve"> мерки. С оглед на това възможно развитие, външните допускания, използвани в алтернативния сценарий, са за по-нисък растеж на световната и европейската икономика. По-съществено е отклонението спрямо базовия сценарий през 2026 г., когато повишените търговски бариери ще са в сила през цялата година. Влиянието им постепенно ще затихва към края на прогнозния период. Нивата на БВП както в глобален план, така и в рамките на ЕС остават по-ниски спрямо базовия сценарий. В този сценарий се очаква, че </w:t>
      </w:r>
      <w:r w:rsidR="001D600F">
        <w:t xml:space="preserve">в резултат на </w:t>
      </w:r>
      <w:r w:rsidR="00117427">
        <w:t xml:space="preserve">лихвената политика на </w:t>
      </w:r>
      <w:r w:rsidR="001D600F">
        <w:t>Федералният резерв на САЩ</w:t>
      </w:r>
      <w:r w:rsidR="00117427">
        <w:t xml:space="preserve"> </w:t>
      </w:r>
      <w:r w:rsidRPr="00360F1D">
        <w:t xml:space="preserve">ще </w:t>
      </w:r>
      <w:r w:rsidR="00117427">
        <w:t>продължи леко</w:t>
      </w:r>
      <w:r w:rsidR="001D600F">
        <w:t>то</w:t>
      </w:r>
      <w:r w:rsidRPr="00360F1D">
        <w:t xml:space="preserve"> обезценяване на валутния курс на долара спрямо еврото. По-слабото международно търсене и обявените намерения на страните от ОПЕК+ да увеличат предлагането на суров петрол ще понижи цената на енергийните суровини. От своя страна това ще се отрази на селскостопанските суровини и хранителните продукти на международните пазари.</w:t>
      </w:r>
    </w:p>
    <w:p w14:paraId="5A8114F2" w14:textId="77777777" w:rsidR="00360F1D" w:rsidRDefault="00360F1D" w:rsidP="00D708C4">
      <w:r w:rsidRPr="00360F1D">
        <w:t>Резултатите от извършената симулация показват, че инфлацията в България ще е по-ниска спрямо базовия сценарий</w:t>
      </w:r>
      <w:r w:rsidR="00803888">
        <w:t>,</w:t>
      </w:r>
      <w:r w:rsidRPr="00360F1D">
        <w:t xml:space="preserve"> като ефект</w:t>
      </w:r>
      <w:r w:rsidR="00803888">
        <w:t>ът</w:t>
      </w:r>
      <w:r w:rsidRPr="00360F1D">
        <w:t xml:space="preserve"> ще е най-осезателен пре</w:t>
      </w:r>
      <w:r w:rsidR="00301501">
        <w:t xml:space="preserve">з 2026 </w:t>
      </w:r>
      <w:r w:rsidR="00513F9B">
        <w:t xml:space="preserve">г. </w:t>
      </w:r>
      <w:r w:rsidR="00301501">
        <w:t>и 2027 г., съответно с 0,</w:t>
      </w:r>
      <w:r w:rsidRPr="00360F1D">
        <w:t xml:space="preserve">9 и 1 </w:t>
      </w:r>
      <w:proofErr w:type="spellStart"/>
      <w:r w:rsidRPr="00360F1D">
        <w:t>пр.п</w:t>
      </w:r>
      <w:proofErr w:type="spellEnd"/>
      <w:r w:rsidRPr="00360F1D">
        <w:t xml:space="preserve">. Цените на вноса ще се понижат през 2026 г., а </w:t>
      </w:r>
      <w:proofErr w:type="spellStart"/>
      <w:r w:rsidRPr="00360F1D">
        <w:t>дефлаторът</w:t>
      </w:r>
      <w:proofErr w:type="spellEnd"/>
      <w:r w:rsidRPr="00360F1D">
        <w:t xml:space="preserve"> на вноса ще остане по-нисък през 2027 г. Под влияние на по-ниската инфлация и международни цени всички компоненти на крайното търсене ще допринесат за това </w:t>
      </w:r>
      <w:proofErr w:type="spellStart"/>
      <w:r w:rsidRPr="00360F1D">
        <w:t>дефлаторът</w:t>
      </w:r>
      <w:proofErr w:type="spellEnd"/>
      <w:r w:rsidRPr="00360F1D">
        <w:t xml:space="preserve"> на БВП да остане по-нисък спрямо базовия сценарий в периода 2025-2027 г. Високата степен на неопределеност и по-слабата икономическа динамика в търговските ни партньори ще ограничат износа на стоки и услуги, което от своя страна леко ще понижи инвестиционната активност в страната. Отрицателният принос на нетния износ към растежа на БВП ще се увеличи през 2025-2026 г. Предвид ограниченото предлагане на работна сила в страната не се очаква това да се отрази на коефициента на безработица. Към края на прогнозния период се очаква ефектите от повишената несигурност да бъдат по-ограничени, но неблагоприятните условия на търговия ще продължат да оказват негативно въздействие върху текущата сметка до края на прогнозния период.</w:t>
      </w:r>
    </w:p>
    <w:p w14:paraId="250D6C9F" w14:textId="77777777" w:rsidR="00360F1D" w:rsidRDefault="00360F1D" w:rsidP="00D708C4">
      <w:r w:rsidRPr="00360F1D">
        <w:t xml:space="preserve">Растежът на реалния БВП ще бъде по-нисък спрямо базовия сценарий през 2025-2026 г. По-ниският </w:t>
      </w:r>
      <w:proofErr w:type="spellStart"/>
      <w:r w:rsidRPr="00360F1D">
        <w:t>дефлатор</w:t>
      </w:r>
      <w:proofErr w:type="spellEnd"/>
      <w:r w:rsidRPr="00360F1D">
        <w:t xml:space="preserve"> ще компенсира лекото повишение на реалния растеж и номиналният БВП ще се запази на нива по-ниски спрямо базовия сценарий през целия прогнозен период.</w:t>
      </w:r>
    </w:p>
    <w:p w14:paraId="0F0CC809" w14:textId="77777777" w:rsidR="00A5686E" w:rsidRDefault="00A5686E" w:rsidP="00D708C4"/>
    <w:p w14:paraId="7862C48D" w14:textId="77777777" w:rsidR="00A5686E" w:rsidRDefault="00A5686E" w:rsidP="00D708C4"/>
    <w:p w14:paraId="001B59C6" w14:textId="77777777" w:rsidR="00A5686E" w:rsidRDefault="00A5686E" w:rsidP="00917E37"/>
    <w:p w14:paraId="344FC0D8" w14:textId="77777777" w:rsidR="00A5686E" w:rsidRPr="00360F1D" w:rsidRDefault="00A5686E" w:rsidP="00917E37"/>
    <w:p w14:paraId="72A5F5FC" w14:textId="77777777" w:rsidR="00854036" w:rsidRPr="00AA3F66" w:rsidRDefault="001202DA" w:rsidP="00854036">
      <w:pPr>
        <w:pStyle w:val="Caption"/>
        <w:spacing w:after="240"/>
      </w:pPr>
      <w:bookmarkStart w:id="504" w:name="_Toc213229072"/>
      <w:r w:rsidRPr="00AA3F66">
        <w:t xml:space="preserve">Табл. </w:t>
      </w:r>
      <w:r w:rsidR="00974F02">
        <w:fldChar w:fldCharType="begin"/>
      </w:r>
      <w:r w:rsidR="00974F02">
        <w:instrText xml:space="preserve"> STYLEREF 1 \s </w:instrText>
      </w:r>
      <w:r w:rsidR="00974F02">
        <w:fldChar w:fldCharType="separate"/>
      </w:r>
      <w:r w:rsidR="00841DFA">
        <w:rPr>
          <w:noProof/>
        </w:rPr>
        <w:t>VII</w:t>
      </w:r>
      <w:r w:rsidR="00974F02">
        <w:rPr>
          <w:noProof/>
        </w:rPr>
        <w:fldChar w:fldCharType="end"/>
      </w:r>
      <w:r w:rsidRPr="00AA3F66">
        <w:noBreakHyphen/>
      </w:r>
      <w:r w:rsidR="00974F02">
        <w:fldChar w:fldCharType="begin"/>
      </w:r>
      <w:r w:rsidR="00974F02">
        <w:instrText xml:space="preserve"> SEQ Табл. \* ARABIC \s 1 </w:instrText>
      </w:r>
      <w:r w:rsidR="00974F02">
        <w:fldChar w:fldCharType="separate"/>
      </w:r>
      <w:r w:rsidR="00841DFA">
        <w:rPr>
          <w:noProof/>
        </w:rPr>
        <w:t>2</w:t>
      </w:r>
      <w:r w:rsidR="00974F02">
        <w:rPr>
          <w:noProof/>
        </w:rPr>
        <w:fldChar w:fldCharType="end"/>
      </w:r>
      <w:r w:rsidRPr="00AA3F66">
        <w:t>:</w:t>
      </w:r>
      <w:r w:rsidR="00C54080" w:rsidRPr="00AA3F66">
        <w:tab/>
      </w:r>
      <w:r w:rsidR="00854036" w:rsidRPr="00AA3F66">
        <w:t>Обобщение на допусканията, използвани в алтернативния сцен</w:t>
      </w:r>
      <w:r w:rsidR="00610B40">
        <w:t>арий (отклонение спрямо базовия</w:t>
      </w:r>
      <w:r w:rsidR="00854036" w:rsidRPr="00AA3F66">
        <w:t>)</w:t>
      </w:r>
      <w:bookmarkEnd w:id="504"/>
    </w:p>
    <w:tbl>
      <w:tblPr>
        <w:tblStyle w:val="TableGrid7"/>
        <w:tblW w:w="9114"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1083"/>
        <w:gridCol w:w="1083"/>
        <w:gridCol w:w="1083"/>
        <w:gridCol w:w="1083"/>
      </w:tblGrid>
      <w:tr w:rsidR="00570ECB" w:rsidRPr="00703A70" w14:paraId="18A33895" w14:textId="77777777" w:rsidTr="00B8683D">
        <w:trPr>
          <w:trHeight w:val="299"/>
          <w:tblHeader/>
          <w:jc w:val="center"/>
        </w:trPr>
        <w:tc>
          <w:tcPr>
            <w:tcW w:w="4782" w:type="dxa"/>
            <w:tcBorders>
              <w:top w:val="single" w:sz="8" w:space="0" w:color="auto"/>
              <w:bottom w:val="single" w:sz="8" w:space="0" w:color="auto"/>
            </w:tcBorders>
            <w:vAlign w:val="center"/>
          </w:tcPr>
          <w:p w14:paraId="63DAB2C4" w14:textId="77777777" w:rsidR="00570ECB" w:rsidRPr="00703A70" w:rsidRDefault="000E379F" w:rsidP="000E379F">
            <w:pPr>
              <w:jc w:val="left"/>
              <w:rPr>
                <w:rFonts w:eastAsiaTheme="minorEastAsia"/>
                <w:b/>
              </w:rPr>
            </w:pPr>
            <w:r w:rsidRPr="000E379F">
              <w:rPr>
                <w:rFonts w:eastAsiaTheme="minorEastAsia"/>
                <w:b/>
                <w:sz w:val="20"/>
                <w:szCs w:val="20"/>
                <w:lang w:eastAsia="en-GB"/>
              </w:rPr>
              <w:t>Международна среда</w:t>
            </w:r>
          </w:p>
        </w:tc>
        <w:tc>
          <w:tcPr>
            <w:tcW w:w="1083" w:type="dxa"/>
            <w:tcBorders>
              <w:top w:val="single" w:sz="8" w:space="0" w:color="auto"/>
              <w:bottom w:val="single" w:sz="8" w:space="0" w:color="auto"/>
            </w:tcBorders>
            <w:vAlign w:val="center"/>
          </w:tcPr>
          <w:p w14:paraId="5808EA89"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2025</w:t>
            </w:r>
          </w:p>
        </w:tc>
        <w:tc>
          <w:tcPr>
            <w:tcW w:w="1083" w:type="dxa"/>
            <w:tcBorders>
              <w:top w:val="single" w:sz="8" w:space="0" w:color="auto"/>
              <w:bottom w:val="single" w:sz="8" w:space="0" w:color="auto"/>
            </w:tcBorders>
            <w:vAlign w:val="center"/>
          </w:tcPr>
          <w:p w14:paraId="691A61BC"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2026</w:t>
            </w:r>
          </w:p>
        </w:tc>
        <w:tc>
          <w:tcPr>
            <w:tcW w:w="1083" w:type="dxa"/>
            <w:tcBorders>
              <w:top w:val="single" w:sz="8" w:space="0" w:color="auto"/>
              <w:bottom w:val="single" w:sz="8" w:space="0" w:color="auto"/>
            </w:tcBorders>
            <w:vAlign w:val="center"/>
          </w:tcPr>
          <w:p w14:paraId="34244C94"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2027</w:t>
            </w:r>
          </w:p>
        </w:tc>
        <w:tc>
          <w:tcPr>
            <w:tcW w:w="1083" w:type="dxa"/>
            <w:tcBorders>
              <w:top w:val="single" w:sz="8" w:space="0" w:color="auto"/>
              <w:bottom w:val="single" w:sz="8" w:space="0" w:color="auto"/>
            </w:tcBorders>
            <w:vAlign w:val="center"/>
          </w:tcPr>
          <w:p w14:paraId="6F9A9717" w14:textId="77777777" w:rsidR="00570ECB" w:rsidRPr="00703A70" w:rsidRDefault="00703A70" w:rsidP="00C973BA">
            <w:pPr>
              <w:jc w:val="center"/>
              <w:rPr>
                <w:rFonts w:cs="Times New Roman"/>
                <w:b/>
                <w:bCs/>
                <w:color w:val="262626" w:themeColor="text1" w:themeTint="D9"/>
                <w:sz w:val="20"/>
                <w:szCs w:val="14"/>
                <w:lang w:eastAsia="ja-JP"/>
              </w:rPr>
            </w:pPr>
            <w:r w:rsidRPr="00703A70">
              <w:rPr>
                <w:rFonts w:cs="Times New Roman"/>
                <w:b/>
                <w:bCs/>
                <w:color w:val="262626" w:themeColor="text1" w:themeTint="D9"/>
                <w:sz w:val="20"/>
                <w:szCs w:val="14"/>
                <w:lang w:eastAsia="ja-JP"/>
              </w:rPr>
              <w:t xml:space="preserve">         </w:t>
            </w:r>
            <w:r w:rsidR="00570ECB" w:rsidRPr="00703A70">
              <w:rPr>
                <w:rFonts w:cs="Times New Roman"/>
                <w:b/>
                <w:bCs/>
                <w:color w:val="262626" w:themeColor="text1" w:themeTint="D9"/>
                <w:sz w:val="20"/>
                <w:szCs w:val="14"/>
                <w:lang w:eastAsia="ja-JP"/>
              </w:rPr>
              <w:t>2028</w:t>
            </w:r>
          </w:p>
        </w:tc>
      </w:tr>
      <w:tr w:rsidR="00703A70" w:rsidRPr="00703A70" w14:paraId="2BC8E2DF" w14:textId="77777777" w:rsidTr="00C973BA">
        <w:trPr>
          <w:trHeight w:hRule="exact" w:val="312"/>
          <w:jc w:val="center"/>
        </w:trPr>
        <w:tc>
          <w:tcPr>
            <w:tcW w:w="4782" w:type="dxa"/>
            <w:tcBorders>
              <w:top w:val="single" w:sz="8" w:space="0" w:color="auto"/>
            </w:tcBorders>
          </w:tcPr>
          <w:p w14:paraId="48BE5CE8"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 xml:space="preserve">Световна икономика (реален растеж, </w:t>
            </w:r>
            <w:proofErr w:type="spellStart"/>
            <w:r w:rsidRPr="00703A70">
              <w:rPr>
                <w:rFonts w:cs="Times New Roman"/>
                <w:color w:val="262626" w:themeColor="text1" w:themeTint="D9"/>
                <w:sz w:val="20"/>
                <w:szCs w:val="14"/>
                <w:lang w:eastAsia="ja-JP"/>
              </w:rPr>
              <w:t>пр.п</w:t>
            </w:r>
            <w:proofErr w:type="spellEnd"/>
            <w:r w:rsidRPr="00703A70">
              <w:rPr>
                <w:rFonts w:cs="Times New Roman"/>
                <w:color w:val="262626" w:themeColor="text1" w:themeTint="D9"/>
                <w:sz w:val="20"/>
                <w:szCs w:val="14"/>
                <w:lang w:eastAsia="ja-JP"/>
              </w:rPr>
              <w:t>.)</w:t>
            </w:r>
          </w:p>
        </w:tc>
        <w:tc>
          <w:tcPr>
            <w:tcW w:w="1083" w:type="dxa"/>
            <w:tcBorders>
              <w:top w:val="single" w:sz="8" w:space="0" w:color="auto"/>
            </w:tcBorders>
          </w:tcPr>
          <w:p w14:paraId="49FF13A3"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c>
          <w:tcPr>
            <w:tcW w:w="1083" w:type="dxa"/>
            <w:tcBorders>
              <w:top w:val="single" w:sz="8" w:space="0" w:color="auto"/>
            </w:tcBorders>
          </w:tcPr>
          <w:p w14:paraId="59A12882"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2</w:t>
            </w:r>
          </w:p>
        </w:tc>
        <w:tc>
          <w:tcPr>
            <w:tcW w:w="1083" w:type="dxa"/>
            <w:tcBorders>
              <w:top w:val="single" w:sz="8" w:space="0" w:color="auto"/>
            </w:tcBorders>
          </w:tcPr>
          <w:p w14:paraId="169BEA55"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c>
          <w:tcPr>
            <w:tcW w:w="1083" w:type="dxa"/>
            <w:tcBorders>
              <w:top w:val="single" w:sz="8" w:space="0" w:color="auto"/>
            </w:tcBorders>
          </w:tcPr>
          <w:p w14:paraId="76796FF4"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r>
      <w:tr w:rsidR="00703A70" w:rsidRPr="00703A70" w14:paraId="7B878C24" w14:textId="77777777" w:rsidTr="008C0F1F">
        <w:trPr>
          <w:trHeight w:hRule="exact" w:val="312"/>
          <w:jc w:val="center"/>
        </w:trPr>
        <w:tc>
          <w:tcPr>
            <w:tcW w:w="4782" w:type="dxa"/>
            <w:shd w:val="clear" w:color="auto" w:fill="F2F2F2" w:themeFill="background1" w:themeFillShade="F2"/>
          </w:tcPr>
          <w:p w14:paraId="54B448F9"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 xml:space="preserve">Европейска икономика – ЕС (реален растеж, </w:t>
            </w:r>
            <w:proofErr w:type="spellStart"/>
            <w:r w:rsidRPr="00703A70">
              <w:rPr>
                <w:rFonts w:cs="Times New Roman"/>
                <w:color w:val="262626" w:themeColor="text1" w:themeTint="D9"/>
                <w:sz w:val="20"/>
                <w:szCs w:val="14"/>
                <w:lang w:eastAsia="ja-JP"/>
              </w:rPr>
              <w:t>пр.п</w:t>
            </w:r>
            <w:proofErr w:type="spellEnd"/>
            <w:r w:rsidRPr="00703A70">
              <w:rPr>
                <w:rFonts w:cs="Times New Roman"/>
                <w:color w:val="262626" w:themeColor="text1" w:themeTint="D9"/>
                <w:sz w:val="20"/>
                <w:szCs w:val="14"/>
                <w:lang w:eastAsia="ja-JP"/>
              </w:rPr>
              <w:t>.)</w:t>
            </w:r>
          </w:p>
        </w:tc>
        <w:tc>
          <w:tcPr>
            <w:tcW w:w="1083" w:type="dxa"/>
            <w:shd w:val="clear" w:color="auto" w:fill="F2F2F2" w:themeFill="background1" w:themeFillShade="F2"/>
          </w:tcPr>
          <w:p w14:paraId="236048A2"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1</w:t>
            </w:r>
          </w:p>
        </w:tc>
        <w:tc>
          <w:tcPr>
            <w:tcW w:w="1083" w:type="dxa"/>
            <w:shd w:val="clear" w:color="auto" w:fill="F2F2F2" w:themeFill="background1" w:themeFillShade="F2"/>
          </w:tcPr>
          <w:p w14:paraId="3FCF2FF7"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4</w:t>
            </w:r>
          </w:p>
        </w:tc>
        <w:tc>
          <w:tcPr>
            <w:tcW w:w="1083" w:type="dxa"/>
            <w:shd w:val="clear" w:color="auto" w:fill="F2F2F2" w:themeFill="background1" w:themeFillShade="F2"/>
          </w:tcPr>
          <w:p w14:paraId="0A6FEAA7"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2</w:t>
            </w:r>
          </w:p>
        </w:tc>
        <w:tc>
          <w:tcPr>
            <w:tcW w:w="1083" w:type="dxa"/>
            <w:shd w:val="clear" w:color="auto" w:fill="F2F2F2" w:themeFill="background1" w:themeFillShade="F2"/>
          </w:tcPr>
          <w:p w14:paraId="0289CCEF"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0</w:t>
            </w:r>
          </w:p>
        </w:tc>
      </w:tr>
      <w:tr w:rsidR="00703A70" w:rsidRPr="00703A70" w14:paraId="30687C5F" w14:textId="77777777" w:rsidTr="00C973BA">
        <w:trPr>
          <w:trHeight w:hRule="exact" w:val="312"/>
          <w:jc w:val="center"/>
        </w:trPr>
        <w:tc>
          <w:tcPr>
            <w:tcW w:w="4782" w:type="dxa"/>
          </w:tcPr>
          <w:p w14:paraId="1A183E70"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 xml:space="preserve">Валутен курс </w:t>
            </w:r>
            <w:proofErr w:type="spellStart"/>
            <w:r w:rsidRPr="00703A70">
              <w:rPr>
                <w:rFonts w:cs="Times New Roman"/>
                <w:color w:val="262626" w:themeColor="text1" w:themeTint="D9"/>
                <w:sz w:val="20"/>
                <w:szCs w:val="14"/>
                <w:lang w:eastAsia="ja-JP"/>
              </w:rPr>
              <w:t>щ.д</w:t>
            </w:r>
            <w:proofErr w:type="spellEnd"/>
            <w:r w:rsidRPr="00703A70">
              <w:rPr>
                <w:rFonts w:cs="Times New Roman"/>
                <w:color w:val="262626" w:themeColor="text1" w:themeTint="D9"/>
                <w:sz w:val="20"/>
                <w:szCs w:val="14"/>
                <w:lang w:eastAsia="ja-JP"/>
              </w:rPr>
              <w:t>./евро (%)</w:t>
            </w:r>
          </w:p>
        </w:tc>
        <w:tc>
          <w:tcPr>
            <w:tcW w:w="1083" w:type="dxa"/>
          </w:tcPr>
          <w:p w14:paraId="2F2014BF"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1%</w:t>
            </w:r>
          </w:p>
        </w:tc>
        <w:tc>
          <w:tcPr>
            <w:tcW w:w="1083" w:type="dxa"/>
          </w:tcPr>
          <w:p w14:paraId="7CC8B6DA" w14:textId="77777777" w:rsidR="00703A70" w:rsidRPr="00703A70" w:rsidRDefault="00703A70" w:rsidP="00703A70">
            <w:pPr>
              <w:jc w:val="right"/>
              <w:rPr>
                <w:rFonts w:eastAsiaTheme="minorEastAsia"/>
                <w:sz w:val="20"/>
                <w:szCs w:val="20"/>
              </w:rPr>
            </w:pPr>
            <w:r>
              <w:rPr>
                <w:sz w:val="20"/>
                <w:szCs w:val="20"/>
              </w:rPr>
              <w:t>6,</w:t>
            </w:r>
            <w:r w:rsidRPr="00703A70">
              <w:rPr>
                <w:sz w:val="20"/>
                <w:szCs w:val="20"/>
              </w:rPr>
              <w:t>5%</w:t>
            </w:r>
          </w:p>
        </w:tc>
        <w:tc>
          <w:tcPr>
            <w:tcW w:w="1083" w:type="dxa"/>
          </w:tcPr>
          <w:p w14:paraId="3B1BD6BC" w14:textId="77777777" w:rsidR="00703A70" w:rsidRPr="00703A70" w:rsidRDefault="00703A70" w:rsidP="00703A70">
            <w:pPr>
              <w:jc w:val="right"/>
              <w:rPr>
                <w:rFonts w:eastAsiaTheme="minorEastAsia"/>
                <w:sz w:val="20"/>
                <w:szCs w:val="20"/>
              </w:rPr>
            </w:pPr>
            <w:r>
              <w:rPr>
                <w:sz w:val="20"/>
                <w:szCs w:val="20"/>
              </w:rPr>
              <w:t>9,</w:t>
            </w:r>
            <w:r w:rsidRPr="00703A70">
              <w:rPr>
                <w:sz w:val="20"/>
                <w:szCs w:val="20"/>
              </w:rPr>
              <w:t>8%</w:t>
            </w:r>
          </w:p>
        </w:tc>
        <w:tc>
          <w:tcPr>
            <w:tcW w:w="1083" w:type="dxa"/>
          </w:tcPr>
          <w:p w14:paraId="3609C8C8" w14:textId="77777777" w:rsidR="00703A70" w:rsidRPr="00703A70" w:rsidRDefault="00703A70" w:rsidP="00703A70">
            <w:pPr>
              <w:jc w:val="right"/>
              <w:rPr>
                <w:rFonts w:eastAsiaTheme="minorEastAsia"/>
                <w:sz w:val="20"/>
                <w:szCs w:val="20"/>
              </w:rPr>
            </w:pPr>
            <w:r>
              <w:rPr>
                <w:sz w:val="20"/>
                <w:szCs w:val="20"/>
              </w:rPr>
              <w:t>0,</w:t>
            </w:r>
            <w:r w:rsidRPr="00703A70">
              <w:rPr>
                <w:sz w:val="20"/>
                <w:szCs w:val="20"/>
              </w:rPr>
              <w:t>0%</w:t>
            </w:r>
          </w:p>
        </w:tc>
      </w:tr>
      <w:tr w:rsidR="00703A70" w:rsidRPr="00703A70" w14:paraId="268FF283" w14:textId="77777777" w:rsidTr="008C0F1F">
        <w:trPr>
          <w:trHeight w:hRule="exact" w:val="312"/>
          <w:jc w:val="center"/>
        </w:trPr>
        <w:tc>
          <w:tcPr>
            <w:tcW w:w="4782" w:type="dxa"/>
            <w:shd w:val="clear" w:color="auto" w:fill="F2F2F2" w:themeFill="background1" w:themeFillShade="F2"/>
          </w:tcPr>
          <w:p w14:paraId="33780894"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Цена на петрол „Брент“ (</w:t>
            </w:r>
            <w:proofErr w:type="spellStart"/>
            <w:r w:rsidRPr="00703A70">
              <w:rPr>
                <w:rFonts w:cs="Times New Roman"/>
                <w:color w:val="262626" w:themeColor="text1" w:themeTint="D9"/>
                <w:sz w:val="20"/>
                <w:szCs w:val="14"/>
                <w:lang w:eastAsia="ja-JP"/>
              </w:rPr>
              <w:t>щ.д</w:t>
            </w:r>
            <w:proofErr w:type="spellEnd"/>
            <w:r w:rsidRPr="00703A70">
              <w:rPr>
                <w:rFonts w:cs="Times New Roman"/>
                <w:color w:val="262626" w:themeColor="text1" w:themeTint="D9"/>
                <w:sz w:val="20"/>
                <w:szCs w:val="14"/>
                <w:lang w:eastAsia="ja-JP"/>
              </w:rPr>
              <w:t>./барел,%)</w:t>
            </w:r>
          </w:p>
        </w:tc>
        <w:tc>
          <w:tcPr>
            <w:tcW w:w="1083" w:type="dxa"/>
            <w:shd w:val="clear" w:color="auto" w:fill="F2F2F2" w:themeFill="background1" w:themeFillShade="F2"/>
          </w:tcPr>
          <w:p w14:paraId="1EEDD4DC" w14:textId="77777777" w:rsidR="00703A70" w:rsidRPr="00703A70" w:rsidRDefault="00703A70" w:rsidP="00703A70">
            <w:pPr>
              <w:jc w:val="right"/>
              <w:rPr>
                <w:rFonts w:eastAsiaTheme="minorEastAsia"/>
                <w:sz w:val="20"/>
                <w:szCs w:val="20"/>
              </w:rPr>
            </w:pPr>
            <w:r>
              <w:rPr>
                <w:sz w:val="20"/>
                <w:szCs w:val="20"/>
              </w:rPr>
              <w:t>-2,</w:t>
            </w:r>
            <w:r w:rsidRPr="00703A70">
              <w:rPr>
                <w:sz w:val="20"/>
                <w:szCs w:val="20"/>
              </w:rPr>
              <w:t>3%</w:t>
            </w:r>
          </w:p>
        </w:tc>
        <w:tc>
          <w:tcPr>
            <w:tcW w:w="1083" w:type="dxa"/>
            <w:shd w:val="clear" w:color="auto" w:fill="F2F2F2" w:themeFill="background1" w:themeFillShade="F2"/>
          </w:tcPr>
          <w:p w14:paraId="250BAD27" w14:textId="77777777" w:rsidR="00703A70" w:rsidRPr="00703A70" w:rsidRDefault="00703A70" w:rsidP="00703A70">
            <w:pPr>
              <w:jc w:val="right"/>
              <w:rPr>
                <w:rFonts w:eastAsiaTheme="minorEastAsia"/>
                <w:sz w:val="20"/>
                <w:szCs w:val="20"/>
              </w:rPr>
            </w:pPr>
            <w:r>
              <w:rPr>
                <w:sz w:val="20"/>
                <w:szCs w:val="20"/>
              </w:rPr>
              <w:t>-8,</w:t>
            </w:r>
            <w:r w:rsidRPr="00703A70">
              <w:rPr>
                <w:sz w:val="20"/>
                <w:szCs w:val="20"/>
              </w:rPr>
              <w:t>1%</w:t>
            </w:r>
          </w:p>
        </w:tc>
        <w:tc>
          <w:tcPr>
            <w:tcW w:w="1083" w:type="dxa"/>
            <w:shd w:val="clear" w:color="auto" w:fill="F2F2F2" w:themeFill="background1" w:themeFillShade="F2"/>
          </w:tcPr>
          <w:p w14:paraId="4BFE719B" w14:textId="77777777" w:rsidR="00703A70" w:rsidRPr="00703A70" w:rsidRDefault="00703A70" w:rsidP="00703A70">
            <w:pPr>
              <w:jc w:val="right"/>
              <w:rPr>
                <w:rFonts w:eastAsiaTheme="minorEastAsia"/>
                <w:sz w:val="20"/>
                <w:szCs w:val="20"/>
              </w:rPr>
            </w:pPr>
            <w:r>
              <w:rPr>
                <w:sz w:val="20"/>
                <w:szCs w:val="20"/>
              </w:rPr>
              <w:t>-8,</w:t>
            </w:r>
            <w:r w:rsidRPr="00703A70">
              <w:rPr>
                <w:sz w:val="20"/>
                <w:szCs w:val="20"/>
              </w:rPr>
              <w:t>9%</w:t>
            </w:r>
          </w:p>
        </w:tc>
        <w:tc>
          <w:tcPr>
            <w:tcW w:w="1083" w:type="dxa"/>
            <w:shd w:val="clear" w:color="auto" w:fill="F2F2F2" w:themeFill="background1" w:themeFillShade="F2"/>
          </w:tcPr>
          <w:p w14:paraId="7B59293D" w14:textId="77777777" w:rsidR="00703A70" w:rsidRPr="00703A70" w:rsidRDefault="00703A70" w:rsidP="00703A70">
            <w:pPr>
              <w:jc w:val="right"/>
              <w:rPr>
                <w:rFonts w:eastAsiaTheme="minorEastAsia"/>
                <w:sz w:val="20"/>
                <w:szCs w:val="20"/>
              </w:rPr>
            </w:pPr>
            <w:r>
              <w:rPr>
                <w:sz w:val="20"/>
                <w:szCs w:val="20"/>
              </w:rPr>
              <w:t>-8,</w:t>
            </w:r>
            <w:r w:rsidRPr="00703A70">
              <w:rPr>
                <w:sz w:val="20"/>
                <w:szCs w:val="20"/>
              </w:rPr>
              <w:t>5%</w:t>
            </w:r>
          </w:p>
        </w:tc>
      </w:tr>
      <w:tr w:rsidR="00703A70" w:rsidRPr="00703A70" w14:paraId="647CB96F" w14:textId="77777777" w:rsidTr="00C973BA">
        <w:trPr>
          <w:trHeight w:hRule="exact" w:val="312"/>
          <w:jc w:val="center"/>
        </w:trPr>
        <w:tc>
          <w:tcPr>
            <w:tcW w:w="4782" w:type="dxa"/>
          </w:tcPr>
          <w:p w14:paraId="7B574E0C"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Цена на природен газ (евро/</w:t>
            </w:r>
            <w:r w:rsidRPr="00703A70">
              <w:rPr>
                <w:rFonts w:cs="Times New Roman"/>
                <w:color w:val="262626" w:themeColor="text1" w:themeTint="D9"/>
                <w:sz w:val="20"/>
                <w:szCs w:val="14"/>
                <w:lang w:val="en-US" w:eastAsia="ja-JP"/>
              </w:rPr>
              <w:t>MWh</w:t>
            </w:r>
            <w:r w:rsidRPr="00703A70">
              <w:rPr>
                <w:rFonts w:cs="Times New Roman"/>
                <w:color w:val="262626" w:themeColor="text1" w:themeTint="D9"/>
                <w:sz w:val="20"/>
                <w:szCs w:val="14"/>
                <w:lang w:eastAsia="ja-JP"/>
              </w:rPr>
              <w:t>, %)</w:t>
            </w:r>
          </w:p>
        </w:tc>
        <w:tc>
          <w:tcPr>
            <w:tcW w:w="1083" w:type="dxa"/>
          </w:tcPr>
          <w:p w14:paraId="5F5A26FB" w14:textId="77777777" w:rsidR="00703A70" w:rsidRPr="00703A70" w:rsidRDefault="00703A70" w:rsidP="00703A70">
            <w:pPr>
              <w:jc w:val="right"/>
              <w:rPr>
                <w:rFonts w:eastAsiaTheme="minorEastAsia"/>
                <w:sz w:val="20"/>
                <w:szCs w:val="20"/>
              </w:rPr>
            </w:pPr>
            <w:r>
              <w:rPr>
                <w:sz w:val="20"/>
                <w:szCs w:val="20"/>
              </w:rPr>
              <w:t>-3,</w:t>
            </w:r>
            <w:r w:rsidRPr="00703A70">
              <w:rPr>
                <w:sz w:val="20"/>
                <w:szCs w:val="20"/>
              </w:rPr>
              <w:t>1%</w:t>
            </w:r>
          </w:p>
        </w:tc>
        <w:tc>
          <w:tcPr>
            <w:tcW w:w="1083" w:type="dxa"/>
          </w:tcPr>
          <w:p w14:paraId="20965882" w14:textId="77777777" w:rsidR="00703A70" w:rsidRPr="00703A70" w:rsidRDefault="00703A70" w:rsidP="00703A70">
            <w:pPr>
              <w:jc w:val="right"/>
              <w:rPr>
                <w:rFonts w:eastAsiaTheme="minorEastAsia"/>
                <w:sz w:val="20"/>
                <w:szCs w:val="20"/>
              </w:rPr>
            </w:pPr>
            <w:r>
              <w:rPr>
                <w:sz w:val="20"/>
                <w:szCs w:val="20"/>
              </w:rPr>
              <w:t>-9,</w:t>
            </w:r>
            <w:r w:rsidRPr="00703A70">
              <w:rPr>
                <w:sz w:val="20"/>
                <w:szCs w:val="20"/>
              </w:rPr>
              <w:t>4%</w:t>
            </w:r>
          </w:p>
        </w:tc>
        <w:tc>
          <w:tcPr>
            <w:tcW w:w="1083" w:type="dxa"/>
          </w:tcPr>
          <w:p w14:paraId="42CE273A" w14:textId="77777777" w:rsidR="00703A70" w:rsidRPr="00703A70" w:rsidRDefault="00703A70" w:rsidP="00703A70">
            <w:pPr>
              <w:jc w:val="right"/>
              <w:rPr>
                <w:rFonts w:eastAsiaTheme="minorEastAsia"/>
                <w:sz w:val="20"/>
                <w:szCs w:val="20"/>
              </w:rPr>
            </w:pPr>
            <w:r>
              <w:rPr>
                <w:sz w:val="20"/>
                <w:szCs w:val="20"/>
              </w:rPr>
              <w:t>-11,</w:t>
            </w:r>
            <w:r w:rsidRPr="00703A70">
              <w:rPr>
                <w:sz w:val="20"/>
                <w:szCs w:val="20"/>
              </w:rPr>
              <w:t>9%</w:t>
            </w:r>
          </w:p>
        </w:tc>
        <w:tc>
          <w:tcPr>
            <w:tcW w:w="1083" w:type="dxa"/>
          </w:tcPr>
          <w:p w14:paraId="79C3B827" w14:textId="77777777" w:rsidR="00703A70" w:rsidRPr="00703A70" w:rsidRDefault="00703A70" w:rsidP="00703A70">
            <w:pPr>
              <w:jc w:val="right"/>
              <w:rPr>
                <w:rFonts w:eastAsiaTheme="minorEastAsia"/>
                <w:sz w:val="20"/>
                <w:szCs w:val="20"/>
              </w:rPr>
            </w:pPr>
            <w:r>
              <w:rPr>
                <w:sz w:val="20"/>
                <w:szCs w:val="20"/>
              </w:rPr>
              <w:t>-10,</w:t>
            </w:r>
            <w:r w:rsidRPr="00703A70">
              <w:rPr>
                <w:sz w:val="20"/>
                <w:szCs w:val="20"/>
              </w:rPr>
              <w:t>0%</w:t>
            </w:r>
          </w:p>
        </w:tc>
      </w:tr>
      <w:tr w:rsidR="00703A70" w:rsidRPr="00703A70" w14:paraId="4D774436" w14:textId="77777777" w:rsidTr="008C0F1F">
        <w:trPr>
          <w:trHeight w:hRule="exact" w:val="312"/>
          <w:jc w:val="center"/>
        </w:trPr>
        <w:tc>
          <w:tcPr>
            <w:tcW w:w="4782" w:type="dxa"/>
            <w:shd w:val="clear" w:color="auto" w:fill="F2F2F2" w:themeFill="background1" w:themeFillShade="F2"/>
          </w:tcPr>
          <w:p w14:paraId="1FE2CE8A"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 xml:space="preserve">Цени на селскостопански суровини (в </w:t>
            </w:r>
            <w:proofErr w:type="spellStart"/>
            <w:r w:rsidRPr="00703A70">
              <w:rPr>
                <w:rFonts w:cs="Times New Roman"/>
                <w:color w:val="262626" w:themeColor="text1" w:themeTint="D9"/>
                <w:sz w:val="20"/>
                <w:szCs w:val="14"/>
                <w:lang w:eastAsia="ja-JP"/>
              </w:rPr>
              <w:t>щ.д</w:t>
            </w:r>
            <w:proofErr w:type="spellEnd"/>
            <w:r w:rsidRPr="00703A70">
              <w:rPr>
                <w:rFonts w:cs="Times New Roman"/>
                <w:color w:val="262626" w:themeColor="text1" w:themeTint="D9"/>
                <w:sz w:val="20"/>
                <w:szCs w:val="14"/>
                <w:lang w:eastAsia="ja-JP"/>
              </w:rPr>
              <w:t>., %)</w:t>
            </w:r>
          </w:p>
        </w:tc>
        <w:tc>
          <w:tcPr>
            <w:tcW w:w="1083" w:type="dxa"/>
            <w:shd w:val="clear" w:color="auto" w:fill="F2F2F2" w:themeFill="background1" w:themeFillShade="F2"/>
          </w:tcPr>
          <w:p w14:paraId="5B1A373C"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1%</w:t>
            </w:r>
          </w:p>
        </w:tc>
        <w:tc>
          <w:tcPr>
            <w:tcW w:w="1083" w:type="dxa"/>
            <w:shd w:val="clear" w:color="auto" w:fill="F2F2F2" w:themeFill="background1" w:themeFillShade="F2"/>
          </w:tcPr>
          <w:p w14:paraId="17C5CDFE" w14:textId="77777777" w:rsidR="00703A70" w:rsidRPr="00703A70" w:rsidRDefault="00703A70" w:rsidP="00703A70">
            <w:pPr>
              <w:jc w:val="right"/>
              <w:rPr>
                <w:rFonts w:eastAsiaTheme="minorEastAsia"/>
                <w:sz w:val="20"/>
                <w:szCs w:val="20"/>
              </w:rPr>
            </w:pPr>
            <w:r>
              <w:rPr>
                <w:sz w:val="20"/>
                <w:szCs w:val="20"/>
              </w:rPr>
              <w:t>-4,</w:t>
            </w:r>
            <w:r w:rsidRPr="00703A70">
              <w:rPr>
                <w:sz w:val="20"/>
                <w:szCs w:val="20"/>
              </w:rPr>
              <w:t>2%</w:t>
            </w:r>
          </w:p>
        </w:tc>
        <w:tc>
          <w:tcPr>
            <w:tcW w:w="1083" w:type="dxa"/>
            <w:shd w:val="clear" w:color="auto" w:fill="F2F2F2" w:themeFill="background1" w:themeFillShade="F2"/>
          </w:tcPr>
          <w:p w14:paraId="1A7C50E8" w14:textId="77777777" w:rsidR="00703A70" w:rsidRPr="00703A70" w:rsidRDefault="00703A70" w:rsidP="00703A70">
            <w:pPr>
              <w:jc w:val="right"/>
              <w:rPr>
                <w:rFonts w:eastAsiaTheme="minorEastAsia"/>
                <w:sz w:val="20"/>
                <w:szCs w:val="20"/>
              </w:rPr>
            </w:pPr>
            <w:r>
              <w:rPr>
                <w:sz w:val="20"/>
                <w:szCs w:val="20"/>
              </w:rPr>
              <w:t>-3,</w:t>
            </w:r>
            <w:r w:rsidRPr="00703A70">
              <w:rPr>
                <w:sz w:val="20"/>
                <w:szCs w:val="20"/>
              </w:rPr>
              <w:t>4%</w:t>
            </w:r>
          </w:p>
        </w:tc>
        <w:tc>
          <w:tcPr>
            <w:tcW w:w="1083" w:type="dxa"/>
            <w:shd w:val="clear" w:color="auto" w:fill="F2F2F2" w:themeFill="background1" w:themeFillShade="F2"/>
          </w:tcPr>
          <w:p w14:paraId="2E38A0A2"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9%</w:t>
            </w:r>
          </w:p>
        </w:tc>
      </w:tr>
      <w:tr w:rsidR="00703A70" w:rsidRPr="00904A17" w14:paraId="61CC70CA" w14:textId="77777777" w:rsidTr="00C973BA">
        <w:trPr>
          <w:trHeight w:hRule="exact" w:val="312"/>
          <w:jc w:val="center"/>
        </w:trPr>
        <w:tc>
          <w:tcPr>
            <w:tcW w:w="4782" w:type="dxa"/>
          </w:tcPr>
          <w:p w14:paraId="7380B1E4" w14:textId="77777777" w:rsidR="00703A70" w:rsidRPr="00703A70" w:rsidRDefault="00703A70" w:rsidP="00703A70">
            <w:pPr>
              <w:rPr>
                <w:rFonts w:cs="Times New Roman"/>
                <w:color w:val="262626" w:themeColor="text1" w:themeTint="D9"/>
                <w:sz w:val="20"/>
                <w:szCs w:val="14"/>
                <w:lang w:eastAsia="ja-JP"/>
              </w:rPr>
            </w:pPr>
            <w:r w:rsidRPr="00703A70">
              <w:rPr>
                <w:rFonts w:cs="Times New Roman"/>
                <w:color w:val="262626" w:themeColor="text1" w:themeTint="D9"/>
                <w:sz w:val="20"/>
                <w:szCs w:val="14"/>
                <w:lang w:eastAsia="ja-JP"/>
              </w:rPr>
              <w:t xml:space="preserve">Цени на хранителни продукти (в </w:t>
            </w:r>
            <w:proofErr w:type="spellStart"/>
            <w:r w:rsidRPr="00703A70">
              <w:rPr>
                <w:rFonts w:cs="Times New Roman"/>
                <w:color w:val="262626" w:themeColor="text1" w:themeTint="D9"/>
                <w:sz w:val="20"/>
                <w:szCs w:val="14"/>
                <w:lang w:eastAsia="ja-JP"/>
              </w:rPr>
              <w:t>щ.д</w:t>
            </w:r>
            <w:proofErr w:type="spellEnd"/>
            <w:r w:rsidRPr="00703A70">
              <w:rPr>
                <w:rFonts w:cs="Times New Roman"/>
                <w:color w:val="262626" w:themeColor="text1" w:themeTint="D9"/>
                <w:sz w:val="20"/>
                <w:szCs w:val="14"/>
                <w:lang w:eastAsia="ja-JP"/>
              </w:rPr>
              <w:t>., %)</w:t>
            </w:r>
          </w:p>
        </w:tc>
        <w:tc>
          <w:tcPr>
            <w:tcW w:w="1083" w:type="dxa"/>
          </w:tcPr>
          <w:p w14:paraId="2B3575B6" w14:textId="77777777" w:rsidR="00703A70" w:rsidRPr="00703A70" w:rsidRDefault="00703A70" w:rsidP="00703A70">
            <w:pPr>
              <w:jc w:val="right"/>
              <w:rPr>
                <w:rFonts w:eastAsiaTheme="minorEastAsia"/>
                <w:sz w:val="20"/>
                <w:szCs w:val="20"/>
              </w:rPr>
            </w:pPr>
            <w:r>
              <w:rPr>
                <w:sz w:val="20"/>
                <w:szCs w:val="20"/>
              </w:rPr>
              <w:t>-1,</w:t>
            </w:r>
            <w:r w:rsidRPr="00703A70">
              <w:rPr>
                <w:sz w:val="20"/>
                <w:szCs w:val="20"/>
              </w:rPr>
              <w:t>3%</w:t>
            </w:r>
          </w:p>
        </w:tc>
        <w:tc>
          <w:tcPr>
            <w:tcW w:w="1083" w:type="dxa"/>
          </w:tcPr>
          <w:p w14:paraId="3CF18096" w14:textId="77777777" w:rsidR="00703A70" w:rsidRPr="00703A70" w:rsidRDefault="00703A70" w:rsidP="00703A70">
            <w:pPr>
              <w:jc w:val="right"/>
              <w:rPr>
                <w:rFonts w:eastAsiaTheme="minorEastAsia"/>
                <w:sz w:val="20"/>
                <w:szCs w:val="20"/>
              </w:rPr>
            </w:pPr>
            <w:r>
              <w:rPr>
                <w:sz w:val="20"/>
                <w:szCs w:val="20"/>
              </w:rPr>
              <w:t>-4,</w:t>
            </w:r>
            <w:r w:rsidRPr="00703A70">
              <w:rPr>
                <w:sz w:val="20"/>
                <w:szCs w:val="20"/>
              </w:rPr>
              <w:t>7%</w:t>
            </w:r>
          </w:p>
        </w:tc>
        <w:tc>
          <w:tcPr>
            <w:tcW w:w="1083" w:type="dxa"/>
          </w:tcPr>
          <w:p w14:paraId="17DEE08C" w14:textId="77777777" w:rsidR="00703A70" w:rsidRPr="00703A70" w:rsidRDefault="00703A70" w:rsidP="00703A70">
            <w:pPr>
              <w:jc w:val="right"/>
              <w:rPr>
                <w:rFonts w:eastAsiaTheme="minorEastAsia"/>
                <w:sz w:val="20"/>
                <w:szCs w:val="20"/>
              </w:rPr>
            </w:pPr>
            <w:r>
              <w:rPr>
                <w:sz w:val="20"/>
                <w:szCs w:val="20"/>
              </w:rPr>
              <w:t>-3,</w:t>
            </w:r>
            <w:r w:rsidRPr="00703A70">
              <w:rPr>
                <w:sz w:val="20"/>
                <w:szCs w:val="20"/>
              </w:rPr>
              <w:t>2%</w:t>
            </w:r>
          </w:p>
        </w:tc>
        <w:tc>
          <w:tcPr>
            <w:tcW w:w="1083" w:type="dxa"/>
          </w:tcPr>
          <w:p w14:paraId="5C591D78" w14:textId="77777777" w:rsidR="00703A70" w:rsidRPr="00703A70" w:rsidRDefault="00703A70" w:rsidP="00703A70">
            <w:pPr>
              <w:jc w:val="right"/>
              <w:rPr>
                <w:rFonts w:eastAsiaTheme="minorEastAsia"/>
                <w:sz w:val="20"/>
                <w:szCs w:val="20"/>
              </w:rPr>
            </w:pPr>
            <w:r>
              <w:rPr>
                <w:sz w:val="20"/>
                <w:szCs w:val="20"/>
              </w:rPr>
              <w:t>-2,</w:t>
            </w:r>
            <w:r w:rsidRPr="00703A70">
              <w:rPr>
                <w:sz w:val="20"/>
                <w:szCs w:val="20"/>
              </w:rPr>
              <w:t>5%</w:t>
            </w:r>
          </w:p>
        </w:tc>
      </w:tr>
    </w:tbl>
    <w:p w14:paraId="7B0FDA4F" w14:textId="77777777" w:rsidR="005228EF" w:rsidRDefault="005228EF" w:rsidP="005228EF">
      <w:pPr>
        <w:spacing w:before="120"/>
        <w:jc w:val="right"/>
        <w:rPr>
          <w:sz w:val="18"/>
          <w:szCs w:val="18"/>
        </w:rPr>
      </w:pPr>
      <w:r>
        <w:rPr>
          <w:sz w:val="18"/>
          <w:szCs w:val="18"/>
        </w:rPr>
        <w:t>Източник: МФ</w:t>
      </w:r>
    </w:p>
    <w:p w14:paraId="2A36FC3E" w14:textId="77777777" w:rsidR="00301501" w:rsidRPr="00570ECB" w:rsidRDefault="00301501" w:rsidP="00985F66">
      <w:pPr>
        <w:rPr>
          <w:bCs/>
        </w:rPr>
      </w:pPr>
    </w:p>
    <w:p w14:paraId="1A778D99" w14:textId="77777777" w:rsidR="002702AB" w:rsidRPr="002702AB" w:rsidRDefault="008C2A11" w:rsidP="00CB4657">
      <w:pPr>
        <w:pStyle w:val="Caption"/>
        <w:spacing w:after="240"/>
      </w:pPr>
      <w:bookmarkStart w:id="505" w:name="_Toc213229073"/>
      <w:r w:rsidRPr="00AA3F66">
        <w:t xml:space="preserve">Табл. </w:t>
      </w:r>
      <w:r w:rsidR="00974F02">
        <w:fldChar w:fldCharType="begin"/>
      </w:r>
      <w:r w:rsidR="00974F02">
        <w:instrText xml:space="preserve"> STYLEREF 1 \s </w:instrText>
      </w:r>
      <w:r w:rsidR="00974F02">
        <w:fldChar w:fldCharType="separate"/>
      </w:r>
      <w:r w:rsidR="00841DFA">
        <w:rPr>
          <w:noProof/>
        </w:rPr>
        <w:t>VII</w:t>
      </w:r>
      <w:r w:rsidR="00974F02">
        <w:rPr>
          <w:noProof/>
        </w:rPr>
        <w:fldChar w:fldCharType="end"/>
      </w:r>
      <w:r w:rsidRPr="00AA3F66">
        <w:noBreakHyphen/>
      </w:r>
      <w:r w:rsidR="00974F02">
        <w:fldChar w:fldCharType="begin"/>
      </w:r>
      <w:r w:rsidR="00974F02">
        <w:instrText xml:space="preserve"> SEQ Табл. \* ARABIC \s 1 </w:instrText>
      </w:r>
      <w:r w:rsidR="00974F02">
        <w:fldChar w:fldCharType="separate"/>
      </w:r>
      <w:r w:rsidR="00841DFA">
        <w:rPr>
          <w:noProof/>
        </w:rPr>
        <w:t>3</w:t>
      </w:r>
      <w:r w:rsidR="00974F02">
        <w:rPr>
          <w:noProof/>
        </w:rPr>
        <w:fldChar w:fldCharType="end"/>
      </w:r>
      <w:r w:rsidRPr="00AA3F66">
        <w:t>:</w:t>
      </w:r>
      <w:r w:rsidRPr="00AA3F66">
        <w:tab/>
      </w:r>
      <w:r w:rsidR="00610B40">
        <w:t>О</w:t>
      </w:r>
      <w:r w:rsidR="00985F66" w:rsidRPr="00AA3F66">
        <w:t>сно</w:t>
      </w:r>
      <w:r w:rsidR="00610B40">
        <w:t>вни</w:t>
      </w:r>
      <w:r w:rsidR="00985F66" w:rsidRPr="00AA3F66">
        <w:t xml:space="preserve"> макроикономически показатели</w:t>
      </w:r>
      <w:r w:rsidR="00610B40" w:rsidRPr="00610B40">
        <w:rPr>
          <w:rFonts w:asciiTheme="minorHAnsi" w:eastAsiaTheme="minorHAnsi" w:hAnsiTheme="minorHAnsi"/>
          <w:b w:val="0"/>
          <w:bCs w:val="0"/>
          <w:sz w:val="22"/>
          <w:szCs w:val="22"/>
          <w:lang w:eastAsia="en-US"/>
        </w:rPr>
        <w:t xml:space="preserve"> </w:t>
      </w:r>
      <w:r w:rsidR="00610B40" w:rsidRPr="00610B40">
        <w:t>при алтернативния сценарий</w:t>
      </w:r>
      <w:r w:rsidR="00610B40">
        <w:t xml:space="preserve"> (отклонение спрямо базовия</w:t>
      </w:r>
      <w:r w:rsidR="00985F66" w:rsidRPr="00AA3F66">
        <w:t>)</w:t>
      </w:r>
      <w:bookmarkEnd w:id="505"/>
    </w:p>
    <w:tbl>
      <w:tblPr>
        <w:tblStyle w:val="TableGrid"/>
        <w:tblW w:w="8969" w:type="dxa"/>
        <w:jc w:val="center"/>
        <w:tblLook w:val="04A0" w:firstRow="1" w:lastRow="0" w:firstColumn="1" w:lastColumn="0" w:noHBand="0" w:noVBand="1"/>
      </w:tblPr>
      <w:tblGrid>
        <w:gridCol w:w="4548"/>
        <w:gridCol w:w="1111"/>
        <w:gridCol w:w="1104"/>
        <w:gridCol w:w="1104"/>
        <w:gridCol w:w="1102"/>
      </w:tblGrid>
      <w:tr w:rsidR="006E7B2C" w:rsidRPr="000E379F" w14:paraId="2E425229" w14:textId="77777777" w:rsidTr="002702AB">
        <w:trPr>
          <w:trHeight w:val="20"/>
          <w:tblHeader/>
          <w:jc w:val="center"/>
        </w:trPr>
        <w:tc>
          <w:tcPr>
            <w:tcW w:w="4548" w:type="dxa"/>
            <w:tcBorders>
              <w:left w:val="nil"/>
              <w:bottom w:val="single" w:sz="4" w:space="0" w:color="auto"/>
              <w:right w:val="nil"/>
            </w:tcBorders>
            <w:shd w:val="clear" w:color="auto" w:fill="auto"/>
            <w:vAlign w:val="center"/>
          </w:tcPr>
          <w:p w14:paraId="777FED76" w14:textId="77777777" w:rsidR="006E7B2C" w:rsidRPr="000E379F" w:rsidRDefault="006E7B2C" w:rsidP="000E379F">
            <w:pPr>
              <w:jc w:val="left"/>
              <w:rPr>
                <w:rFonts w:eastAsiaTheme="minorEastAsia"/>
                <w:b/>
                <w:sz w:val="20"/>
                <w:szCs w:val="20"/>
              </w:rPr>
            </w:pPr>
            <w:r w:rsidRPr="000E379F">
              <w:rPr>
                <w:rFonts w:eastAsiaTheme="minorEastAsia"/>
                <w:b/>
                <w:sz w:val="20"/>
                <w:szCs w:val="20"/>
                <w:lang w:eastAsia="en-GB"/>
              </w:rPr>
              <w:t>Основни макроикономически показатели</w:t>
            </w:r>
          </w:p>
        </w:tc>
        <w:tc>
          <w:tcPr>
            <w:tcW w:w="1111" w:type="dxa"/>
            <w:tcBorders>
              <w:left w:val="nil"/>
              <w:bottom w:val="single" w:sz="4" w:space="0" w:color="auto"/>
              <w:right w:val="nil"/>
            </w:tcBorders>
            <w:shd w:val="clear" w:color="auto" w:fill="auto"/>
            <w:vAlign w:val="center"/>
          </w:tcPr>
          <w:p w14:paraId="01C5C1A1"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2025</w:t>
            </w:r>
          </w:p>
        </w:tc>
        <w:tc>
          <w:tcPr>
            <w:tcW w:w="1104" w:type="dxa"/>
            <w:tcBorders>
              <w:left w:val="nil"/>
              <w:bottom w:val="single" w:sz="4" w:space="0" w:color="auto"/>
              <w:right w:val="nil"/>
            </w:tcBorders>
            <w:shd w:val="clear" w:color="auto" w:fill="auto"/>
            <w:vAlign w:val="center"/>
          </w:tcPr>
          <w:p w14:paraId="1AA1F769"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2026</w:t>
            </w:r>
          </w:p>
        </w:tc>
        <w:tc>
          <w:tcPr>
            <w:tcW w:w="1104" w:type="dxa"/>
            <w:tcBorders>
              <w:left w:val="nil"/>
              <w:bottom w:val="single" w:sz="4" w:space="0" w:color="auto"/>
              <w:right w:val="nil"/>
            </w:tcBorders>
            <w:shd w:val="clear" w:color="auto" w:fill="auto"/>
            <w:vAlign w:val="center"/>
          </w:tcPr>
          <w:p w14:paraId="529D3A48"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2027</w:t>
            </w:r>
          </w:p>
        </w:tc>
        <w:tc>
          <w:tcPr>
            <w:tcW w:w="1102" w:type="dxa"/>
            <w:tcBorders>
              <w:left w:val="nil"/>
              <w:bottom w:val="single" w:sz="4" w:space="0" w:color="auto"/>
              <w:right w:val="nil"/>
            </w:tcBorders>
            <w:vAlign w:val="center"/>
          </w:tcPr>
          <w:p w14:paraId="74D1C368" w14:textId="77777777" w:rsidR="006E7B2C" w:rsidRPr="000E379F" w:rsidRDefault="006E7B2C" w:rsidP="00C973BA">
            <w:pPr>
              <w:jc w:val="right"/>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2028</w:t>
            </w:r>
          </w:p>
        </w:tc>
      </w:tr>
      <w:tr w:rsidR="006E7B2C" w:rsidRPr="000E379F" w14:paraId="4129F877" w14:textId="77777777" w:rsidTr="00C973BA">
        <w:trPr>
          <w:trHeight w:hRule="exact" w:val="340"/>
          <w:jc w:val="center"/>
        </w:trPr>
        <w:tc>
          <w:tcPr>
            <w:tcW w:w="4548" w:type="dxa"/>
            <w:tcBorders>
              <w:top w:val="single" w:sz="4" w:space="0" w:color="auto"/>
              <w:left w:val="nil"/>
              <w:bottom w:val="nil"/>
              <w:right w:val="nil"/>
            </w:tcBorders>
            <w:shd w:val="clear" w:color="auto" w:fill="auto"/>
          </w:tcPr>
          <w:p w14:paraId="4156BF98" w14:textId="77777777" w:rsidR="006E7B2C" w:rsidRPr="000E379F" w:rsidRDefault="006E7B2C" w:rsidP="00C973BA">
            <w:pPr>
              <w:rPr>
                <w:rFonts w:cs="Times New Roman"/>
                <w:b/>
                <w:color w:val="262626" w:themeColor="text1" w:themeTint="D9"/>
                <w:sz w:val="20"/>
                <w:szCs w:val="20"/>
                <w:lang w:eastAsia="ja-JP"/>
              </w:rPr>
            </w:pPr>
            <w:r w:rsidRPr="000E379F">
              <w:rPr>
                <w:rFonts w:cs="Times New Roman"/>
                <w:b/>
                <w:bCs/>
                <w:color w:val="262626" w:themeColor="text1" w:themeTint="D9"/>
                <w:sz w:val="20"/>
                <w:szCs w:val="20"/>
                <w:lang w:eastAsia="ja-JP"/>
              </w:rPr>
              <w:t>БРУТЕН ВЪТРЕШЕН ПРОДУКТ</w:t>
            </w:r>
          </w:p>
        </w:tc>
        <w:tc>
          <w:tcPr>
            <w:tcW w:w="1111" w:type="dxa"/>
            <w:tcBorders>
              <w:top w:val="single" w:sz="4" w:space="0" w:color="auto"/>
              <w:left w:val="nil"/>
              <w:bottom w:val="nil"/>
              <w:right w:val="nil"/>
            </w:tcBorders>
            <w:shd w:val="clear" w:color="auto" w:fill="auto"/>
          </w:tcPr>
          <w:p w14:paraId="3800F5BF" w14:textId="77777777" w:rsidR="006E7B2C" w:rsidRPr="000E379F" w:rsidRDefault="006E7B2C" w:rsidP="00C973BA">
            <w:pPr>
              <w:rPr>
                <w:rFonts w:cs="Times New Roman"/>
                <w:color w:val="262626" w:themeColor="text1" w:themeTint="D9"/>
                <w:sz w:val="20"/>
                <w:szCs w:val="20"/>
                <w:lang w:eastAsia="ja-JP"/>
              </w:rPr>
            </w:pPr>
          </w:p>
        </w:tc>
        <w:tc>
          <w:tcPr>
            <w:tcW w:w="1104" w:type="dxa"/>
            <w:tcBorders>
              <w:top w:val="single" w:sz="4" w:space="0" w:color="auto"/>
              <w:left w:val="nil"/>
              <w:bottom w:val="nil"/>
              <w:right w:val="nil"/>
            </w:tcBorders>
            <w:shd w:val="clear" w:color="auto" w:fill="auto"/>
          </w:tcPr>
          <w:p w14:paraId="17E07DD3" w14:textId="77777777" w:rsidR="006E7B2C" w:rsidRPr="000E379F" w:rsidRDefault="006E7B2C" w:rsidP="00C973BA">
            <w:pPr>
              <w:rPr>
                <w:rFonts w:cs="Times New Roman"/>
                <w:color w:val="262626" w:themeColor="text1" w:themeTint="D9"/>
                <w:sz w:val="20"/>
                <w:szCs w:val="20"/>
                <w:lang w:eastAsia="ja-JP"/>
              </w:rPr>
            </w:pPr>
          </w:p>
        </w:tc>
        <w:tc>
          <w:tcPr>
            <w:tcW w:w="1104" w:type="dxa"/>
            <w:tcBorders>
              <w:top w:val="single" w:sz="4" w:space="0" w:color="auto"/>
              <w:left w:val="nil"/>
              <w:bottom w:val="nil"/>
              <w:right w:val="nil"/>
            </w:tcBorders>
            <w:shd w:val="clear" w:color="auto" w:fill="auto"/>
          </w:tcPr>
          <w:p w14:paraId="1A47CE8A" w14:textId="77777777" w:rsidR="006E7B2C" w:rsidRPr="000E379F" w:rsidRDefault="006E7B2C" w:rsidP="00C973BA">
            <w:pPr>
              <w:rPr>
                <w:rFonts w:cs="Times New Roman"/>
                <w:color w:val="262626" w:themeColor="text1" w:themeTint="D9"/>
                <w:sz w:val="20"/>
                <w:szCs w:val="20"/>
                <w:lang w:eastAsia="ja-JP"/>
              </w:rPr>
            </w:pPr>
          </w:p>
        </w:tc>
        <w:tc>
          <w:tcPr>
            <w:tcW w:w="1102" w:type="dxa"/>
            <w:tcBorders>
              <w:top w:val="single" w:sz="4" w:space="0" w:color="auto"/>
              <w:left w:val="nil"/>
              <w:bottom w:val="nil"/>
              <w:right w:val="nil"/>
            </w:tcBorders>
          </w:tcPr>
          <w:p w14:paraId="4FCB312A" w14:textId="77777777" w:rsidR="006E7B2C" w:rsidRPr="000E379F" w:rsidRDefault="006E7B2C" w:rsidP="00C973BA">
            <w:pPr>
              <w:rPr>
                <w:rFonts w:cs="Times New Roman"/>
                <w:color w:val="262626" w:themeColor="text1" w:themeTint="D9"/>
                <w:sz w:val="20"/>
                <w:szCs w:val="20"/>
                <w:lang w:eastAsia="ja-JP"/>
              </w:rPr>
            </w:pPr>
          </w:p>
        </w:tc>
      </w:tr>
      <w:tr w:rsidR="005D0F91" w:rsidRPr="000E379F" w14:paraId="6CF1C63F"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022DCFC4"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БВП ниво по текущи цени (%)</w:t>
            </w:r>
          </w:p>
        </w:tc>
        <w:tc>
          <w:tcPr>
            <w:tcW w:w="1111" w:type="dxa"/>
            <w:tcBorders>
              <w:top w:val="nil"/>
              <w:left w:val="nil"/>
              <w:bottom w:val="nil"/>
              <w:right w:val="nil"/>
            </w:tcBorders>
            <w:shd w:val="clear" w:color="auto" w:fill="F2F2F2" w:themeFill="background1" w:themeFillShade="F2"/>
          </w:tcPr>
          <w:p w14:paraId="32884036"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c>
          <w:tcPr>
            <w:tcW w:w="1104" w:type="dxa"/>
            <w:tcBorders>
              <w:top w:val="nil"/>
              <w:left w:val="nil"/>
              <w:bottom w:val="nil"/>
              <w:right w:val="nil"/>
            </w:tcBorders>
            <w:shd w:val="clear" w:color="auto" w:fill="F2F2F2" w:themeFill="background1" w:themeFillShade="F2"/>
          </w:tcPr>
          <w:p w14:paraId="30141F54"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9%</w:t>
            </w:r>
          </w:p>
        </w:tc>
        <w:tc>
          <w:tcPr>
            <w:tcW w:w="1104" w:type="dxa"/>
            <w:tcBorders>
              <w:top w:val="nil"/>
              <w:left w:val="nil"/>
              <w:bottom w:val="nil"/>
              <w:right w:val="nil"/>
            </w:tcBorders>
            <w:shd w:val="clear" w:color="auto" w:fill="F2F2F2" w:themeFill="background1" w:themeFillShade="F2"/>
          </w:tcPr>
          <w:p w14:paraId="0F029D7B" w14:textId="77777777" w:rsidR="005D0F91" w:rsidRPr="000E379F" w:rsidRDefault="00675419" w:rsidP="005D0F91">
            <w:pPr>
              <w:jc w:val="right"/>
              <w:rPr>
                <w:rFonts w:eastAsiaTheme="minorEastAsia" w:cs="Times New Roman"/>
                <w:sz w:val="20"/>
                <w:szCs w:val="20"/>
              </w:rPr>
            </w:pPr>
            <w:r>
              <w:rPr>
                <w:rFonts w:cs="Times New Roman"/>
                <w:sz w:val="20"/>
                <w:szCs w:val="20"/>
              </w:rPr>
              <w:t>-1,</w:t>
            </w:r>
            <w:r w:rsidR="005D0F91" w:rsidRPr="000E379F">
              <w:rPr>
                <w:rFonts w:cs="Times New Roman"/>
                <w:sz w:val="20"/>
                <w:szCs w:val="20"/>
              </w:rPr>
              <w:t>2%</w:t>
            </w:r>
          </w:p>
        </w:tc>
        <w:tc>
          <w:tcPr>
            <w:tcW w:w="1102" w:type="dxa"/>
            <w:tcBorders>
              <w:top w:val="nil"/>
              <w:left w:val="nil"/>
              <w:bottom w:val="nil"/>
              <w:right w:val="nil"/>
            </w:tcBorders>
            <w:shd w:val="clear" w:color="auto" w:fill="F2F2F2" w:themeFill="background1" w:themeFillShade="F2"/>
          </w:tcPr>
          <w:p w14:paraId="7260217E" w14:textId="77777777" w:rsidR="005D0F91" w:rsidRPr="000E379F" w:rsidRDefault="00675419"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8%</w:t>
            </w:r>
          </w:p>
        </w:tc>
      </w:tr>
      <w:tr w:rsidR="005D0F91" w:rsidRPr="000E379F" w14:paraId="0AC655F8" w14:textId="77777777" w:rsidTr="00C973BA">
        <w:trPr>
          <w:trHeight w:hRule="exact" w:val="340"/>
          <w:jc w:val="center"/>
        </w:trPr>
        <w:tc>
          <w:tcPr>
            <w:tcW w:w="4548" w:type="dxa"/>
            <w:tcBorders>
              <w:top w:val="nil"/>
              <w:left w:val="nil"/>
              <w:bottom w:val="nil"/>
              <w:right w:val="nil"/>
            </w:tcBorders>
            <w:shd w:val="clear" w:color="auto" w:fill="auto"/>
          </w:tcPr>
          <w:p w14:paraId="124F593F"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БВП (реален растеж, </w:t>
            </w:r>
            <w:proofErr w:type="spellStart"/>
            <w:r w:rsidRPr="000E379F">
              <w:rPr>
                <w:rFonts w:cs="Times New Roman"/>
                <w:color w:val="262626" w:themeColor="text1" w:themeTint="D9"/>
                <w:sz w:val="20"/>
                <w:szCs w:val="20"/>
                <w:lang w:eastAsia="ja-JP"/>
              </w:rPr>
              <w:t>пр.п</w:t>
            </w:r>
            <w:proofErr w:type="spellEnd"/>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auto"/>
          </w:tcPr>
          <w:p w14:paraId="091F9131"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1B11CD55"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14FF0921"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2" w:type="dxa"/>
            <w:tcBorders>
              <w:top w:val="nil"/>
              <w:left w:val="nil"/>
              <w:bottom w:val="nil"/>
              <w:right w:val="nil"/>
            </w:tcBorders>
          </w:tcPr>
          <w:p w14:paraId="170DE2E6"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r>
      <w:tr w:rsidR="005D0F91" w:rsidRPr="000E379F" w14:paraId="3A0C3936"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75DCB859"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Потребление</w:t>
            </w:r>
          </w:p>
        </w:tc>
        <w:tc>
          <w:tcPr>
            <w:tcW w:w="1111" w:type="dxa"/>
            <w:tcBorders>
              <w:top w:val="nil"/>
              <w:left w:val="nil"/>
              <w:bottom w:val="nil"/>
              <w:right w:val="nil"/>
            </w:tcBorders>
            <w:shd w:val="clear" w:color="auto" w:fill="F2F2F2" w:themeFill="background1" w:themeFillShade="F2"/>
          </w:tcPr>
          <w:p w14:paraId="2F992372"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F2F2F2" w:themeFill="background1" w:themeFillShade="F2"/>
          </w:tcPr>
          <w:p w14:paraId="20F1A2A9"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F2F2F2" w:themeFill="background1" w:themeFillShade="F2"/>
          </w:tcPr>
          <w:p w14:paraId="70F9E37D"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3D993828"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r>
      <w:tr w:rsidR="005D0F91" w:rsidRPr="000E379F" w14:paraId="0DAD8030" w14:textId="77777777" w:rsidTr="00C973BA">
        <w:trPr>
          <w:trHeight w:hRule="exact" w:val="340"/>
          <w:jc w:val="center"/>
        </w:trPr>
        <w:tc>
          <w:tcPr>
            <w:tcW w:w="4548" w:type="dxa"/>
            <w:tcBorders>
              <w:top w:val="nil"/>
              <w:left w:val="nil"/>
              <w:bottom w:val="nil"/>
              <w:right w:val="nil"/>
            </w:tcBorders>
            <w:shd w:val="clear" w:color="auto" w:fill="auto"/>
          </w:tcPr>
          <w:p w14:paraId="01FBAEED"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w:t>
            </w:r>
            <w:proofErr w:type="spellStart"/>
            <w:r w:rsidRPr="000E379F">
              <w:rPr>
                <w:rFonts w:cs="Times New Roman"/>
                <w:color w:val="262626" w:themeColor="text1" w:themeTint="D9"/>
                <w:sz w:val="20"/>
                <w:szCs w:val="20"/>
                <w:lang w:eastAsia="ja-JP"/>
              </w:rPr>
              <w:t>Брутообразуване</w:t>
            </w:r>
            <w:proofErr w:type="spellEnd"/>
            <w:r w:rsidRPr="000E379F">
              <w:rPr>
                <w:rFonts w:cs="Times New Roman"/>
                <w:color w:val="262626" w:themeColor="text1" w:themeTint="D9"/>
                <w:sz w:val="20"/>
                <w:szCs w:val="20"/>
                <w:lang w:eastAsia="ja-JP"/>
              </w:rPr>
              <w:t xml:space="preserve"> на основен капитал</w:t>
            </w:r>
          </w:p>
        </w:tc>
        <w:tc>
          <w:tcPr>
            <w:tcW w:w="1111" w:type="dxa"/>
            <w:tcBorders>
              <w:top w:val="nil"/>
              <w:left w:val="nil"/>
              <w:bottom w:val="nil"/>
              <w:right w:val="nil"/>
            </w:tcBorders>
            <w:shd w:val="clear" w:color="auto" w:fill="auto"/>
          </w:tcPr>
          <w:p w14:paraId="2F727990"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auto"/>
          </w:tcPr>
          <w:p w14:paraId="55AE5D62"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1D4161CE"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2" w:type="dxa"/>
            <w:tcBorders>
              <w:top w:val="nil"/>
              <w:left w:val="nil"/>
              <w:bottom w:val="nil"/>
              <w:right w:val="nil"/>
            </w:tcBorders>
          </w:tcPr>
          <w:p w14:paraId="7051D035"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6</w:t>
            </w:r>
          </w:p>
        </w:tc>
      </w:tr>
      <w:tr w:rsidR="005D0F91" w:rsidRPr="000E379F" w14:paraId="5D287FDB"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541B5986"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Износ на стоки и услуги</w:t>
            </w:r>
          </w:p>
        </w:tc>
        <w:tc>
          <w:tcPr>
            <w:tcW w:w="1111" w:type="dxa"/>
            <w:tcBorders>
              <w:top w:val="nil"/>
              <w:left w:val="nil"/>
              <w:bottom w:val="nil"/>
              <w:right w:val="nil"/>
            </w:tcBorders>
            <w:shd w:val="clear" w:color="auto" w:fill="F2F2F2" w:themeFill="background1" w:themeFillShade="F2"/>
          </w:tcPr>
          <w:p w14:paraId="38464A57"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c>
          <w:tcPr>
            <w:tcW w:w="1104" w:type="dxa"/>
            <w:tcBorders>
              <w:top w:val="nil"/>
              <w:left w:val="nil"/>
              <w:bottom w:val="nil"/>
              <w:right w:val="nil"/>
            </w:tcBorders>
            <w:shd w:val="clear" w:color="auto" w:fill="F2F2F2" w:themeFill="background1" w:themeFillShade="F2"/>
          </w:tcPr>
          <w:p w14:paraId="7B9EAB37"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6</w:t>
            </w:r>
          </w:p>
        </w:tc>
        <w:tc>
          <w:tcPr>
            <w:tcW w:w="1104" w:type="dxa"/>
            <w:tcBorders>
              <w:top w:val="nil"/>
              <w:left w:val="nil"/>
              <w:bottom w:val="nil"/>
              <w:right w:val="nil"/>
            </w:tcBorders>
            <w:shd w:val="clear" w:color="auto" w:fill="F2F2F2" w:themeFill="background1" w:themeFillShade="F2"/>
          </w:tcPr>
          <w:p w14:paraId="111B655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630BF7A6"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r>
      <w:tr w:rsidR="005D0F91" w:rsidRPr="000E379F" w14:paraId="3CC4DEF2" w14:textId="77777777" w:rsidTr="00C973BA">
        <w:trPr>
          <w:trHeight w:hRule="exact" w:val="340"/>
          <w:jc w:val="center"/>
        </w:trPr>
        <w:tc>
          <w:tcPr>
            <w:tcW w:w="4548" w:type="dxa"/>
            <w:tcBorders>
              <w:top w:val="nil"/>
              <w:left w:val="nil"/>
              <w:bottom w:val="nil"/>
              <w:right w:val="nil"/>
            </w:tcBorders>
            <w:shd w:val="clear" w:color="auto" w:fill="auto"/>
          </w:tcPr>
          <w:p w14:paraId="75BDEB9E"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Внос на стоки и услуги</w:t>
            </w:r>
          </w:p>
        </w:tc>
        <w:tc>
          <w:tcPr>
            <w:tcW w:w="1111" w:type="dxa"/>
            <w:tcBorders>
              <w:top w:val="nil"/>
              <w:left w:val="nil"/>
              <w:bottom w:val="nil"/>
              <w:right w:val="nil"/>
            </w:tcBorders>
            <w:shd w:val="clear" w:color="auto" w:fill="auto"/>
          </w:tcPr>
          <w:p w14:paraId="1204FE4B"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649C3A51"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3</w:t>
            </w:r>
          </w:p>
        </w:tc>
        <w:tc>
          <w:tcPr>
            <w:tcW w:w="1104" w:type="dxa"/>
            <w:tcBorders>
              <w:top w:val="nil"/>
              <w:left w:val="nil"/>
              <w:bottom w:val="nil"/>
              <w:right w:val="nil"/>
            </w:tcBorders>
            <w:shd w:val="clear" w:color="auto" w:fill="auto"/>
          </w:tcPr>
          <w:p w14:paraId="587622AC"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2" w:type="dxa"/>
            <w:tcBorders>
              <w:top w:val="nil"/>
              <w:left w:val="nil"/>
              <w:bottom w:val="nil"/>
              <w:right w:val="nil"/>
            </w:tcBorders>
          </w:tcPr>
          <w:p w14:paraId="471CF3E1"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r>
      <w:tr w:rsidR="006E7B2C" w:rsidRPr="000E379F" w14:paraId="4C12A5B8" w14:textId="77777777" w:rsidTr="00C973BA">
        <w:trPr>
          <w:trHeight w:hRule="exact" w:val="340"/>
          <w:jc w:val="center"/>
        </w:trPr>
        <w:tc>
          <w:tcPr>
            <w:tcW w:w="4548" w:type="dxa"/>
            <w:tcBorders>
              <w:top w:val="nil"/>
              <w:left w:val="nil"/>
              <w:bottom w:val="nil"/>
              <w:right w:val="nil"/>
            </w:tcBorders>
            <w:shd w:val="clear" w:color="auto" w:fill="auto"/>
          </w:tcPr>
          <w:p w14:paraId="67A9CC71" w14:textId="77777777" w:rsidR="006E7B2C" w:rsidRPr="000E379F" w:rsidRDefault="006E7B2C" w:rsidP="00C973BA">
            <w:pPr>
              <w:rPr>
                <w:rFonts w:cs="Times New Roman"/>
                <w:b/>
                <w:bCs/>
                <w:color w:val="262626" w:themeColor="text1" w:themeTint="D9"/>
                <w:sz w:val="20"/>
                <w:szCs w:val="20"/>
                <w:lang w:eastAsia="ja-JP"/>
              </w:rPr>
            </w:pPr>
            <w:r w:rsidRPr="000E379F">
              <w:rPr>
                <w:rFonts w:cs="Times New Roman"/>
                <w:b/>
                <w:bCs/>
                <w:color w:val="262626" w:themeColor="text1" w:themeTint="D9"/>
                <w:sz w:val="20"/>
                <w:szCs w:val="20"/>
                <w:lang w:eastAsia="ja-JP"/>
              </w:rPr>
              <w:t>ПАЗАР НА ТРУДА И ЦЕНИ</w:t>
            </w:r>
          </w:p>
        </w:tc>
        <w:tc>
          <w:tcPr>
            <w:tcW w:w="1111" w:type="dxa"/>
            <w:tcBorders>
              <w:top w:val="nil"/>
              <w:left w:val="nil"/>
              <w:bottom w:val="nil"/>
              <w:right w:val="nil"/>
            </w:tcBorders>
            <w:shd w:val="clear" w:color="auto" w:fill="auto"/>
          </w:tcPr>
          <w:p w14:paraId="781505C8"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598BB7BA"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60142DF7" w14:textId="77777777" w:rsidR="006E7B2C" w:rsidRPr="000E379F" w:rsidRDefault="006E7B2C" w:rsidP="00C973BA">
            <w:pPr>
              <w:jc w:val="right"/>
              <w:rPr>
                <w:rFonts w:cs="Times New Roman"/>
                <w:color w:val="262626" w:themeColor="text1" w:themeTint="D9"/>
                <w:sz w:val="20"/>
                <w:szCs w:val="20"/>
                <w:lang w:eastAsia="ja-JP"/>
              </w:rPr>
            </w:pPr>
          </w:p>
        </w:tc>
        <w:tc>
          <w:tcPr>
            <w:tcW w:w="1102" w:type="dxa"/>
            <w:tcBorders>
              <w:top w:val="nil"/>
              <w:left w:val="nil"/>
              <w:bottom w:val="nil"/>
              <w:right w:val="nil"/>
            </w:tcBorders>
          </w:tcPr>
          <w:p w14:paraId="01343CF1" w14:textId="77777777" w:rsidR="006E7B2C" w:rsidRPr="000E379F" w:rsidRDefault="006E7B2C" w:rsidP="00C973BA">
            <w:pPr>
              <w:jc w:val="right"/>
              <w:rPr>
                <w:rFonts w:cs="Times New Roman"/>
                <w:color w:val="262626" w:themeColor="text1" w:themeTint="D9"/>
                <w:sz w:val="20"/>
                <w:szCs w:val="20"/>
                <w:lang w:eastAsia="ja-JP"/>
              </w:rPr>
            </w:pPr>
          </w:p>
        </w:tc>
      </w:tr>
      <w:tr w:rsidR="005D0F91" w:rsidRPr="000E379F" w14:paraId="5BD5D3E2"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026C5838"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Заетост (СНС, </w:t>
            </w:r>
            <w:r w:rsidRPr="000E379F">
              <w:rPr>
                <w:rFonts w:cs="Times New Roman"/>
                <w:color w:val="262626" w:themeColor="text1" w:themeTint="D9"/>
                <w:sz w:val="20"/>
                <w:szCs w:val="20"/>
                <w:lang w:val="en-US" w:eastAsia="ja-JP"/>
              </w:rPr>
              <w:t>%</w:t>
            </w:r>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F2F2F2" w:themeFill="background1" w:themeFillShade="F2"/>
          </w:tcPr>
          <w:p w14:paraId="11810927"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F2F2F2" w:themeFill="background1" w:themeFillShade="F2"/>
          </w:tcPr>
          <w:p w14:paraId="1E48E87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F2F2F2" w:themeFill="background1" w:themeFillShade="F2"/>
          </w:tcPr>
          <w:p w14:paraId="6E0B497D"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420F30F4"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r>
      <w:tr w:rsidR="005D0F91" w:rsidRPr="000E379F" w14:paraId="1BFE40D1" w14:textId="77777777" w:rsidTr="00610B40">
        <w:trPr>
          <w:trHeight w:hRule="exact" w:val="340"/>
          <w:jc w:val="center"/>
        </w:trPr>
        <w:tc>
          <w:tcPr>
            <w:tcW w:w="4548" w:type="dxa"/>
            <w:tcBorders>
              <w:top w:val="nil"/>
              <w:left w:val="nil"/>
              <w:bottom w:val="nil"/>
              <w:right w:val="nil"/>
            </w:tcBorders>
            <w:shd w:val="clear" w:color="auto" w:fill="auto"/>
          </w:tcPr>
          <w:p w14:paraId="352E7DBD"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Коефициент на безработица (НРС, </w:t>
            </w:r>
            <w:proofErr w:type="spellStart"/>
            <w:r w:rsidRPr="000E379F">
              <w:rPr>
                <w:rFonts w:cs="Times New Roman"/>
                <w:color w:val="262626" w:themeColor="text1" w:themeTint="D9"/>
                <w:sz w:val="20"/>
                <w:szCs w:val="20"/>
                <w:lang w:eastAsia="ja-JP"/>
              </w:rPr>
              <w:t>пр.п</w:t>
            </w:r>
            <w:proofErr w:type="spellEnd"/>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auto"/>
          </w:tcPr>
          <w:p w14:paraId="539A8012"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auto"/>
          </w:tcPr>
          <w:p w14:paraId="69300628"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4" w:type="dxa"/>
            <w:tcBorders>
              <w:top w:val="nil"/>
              <w:left w:val="nil"/>
              <w:bottom w:val="nil"/>
              <w:right w:val="nil"/>
            </w:tcBorders>
            <w:shd w:val="clear" w:color="auto" w:fill="auto"/>
          </w:tcPr>
          <w:p w14:paraId="726921A4"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c>
          <w:tcPr>
            <w:tcW w:w="1102" w:type="dxa"/>
            <w:tcBorders>
              <w:top w:val="nil"/>
              <w:left w:val="nil"/>
              <w:bottom w:val="nil"/>
              <w:right w:val="nil"/>
            </w:tcBorders>
            <w:shd w:val="clear" w:color="auto" w:fill="auto"/>
          </w:tcPr>
          <w:p w14:paraId="463C8D1C"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0</w:t>
            </w:r>
          </w:p>
        </w:tc>
      </w:tr>
      <w:tr w:rsidR="005D0F91" w:rsidRPr="000E379F" w14:paraId="51BF2CE3"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04095D02"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Компенсация на наетите (</w:t>
            </w:r>
            <w:r w:rsidRPr="000E379F">
              <w:rPr>
                <w:rFonts w:cs="Times New Roman"/>
                <w:color w:val="262626" w:themeColor="text1" w:themeTint="D9"/>
                <w:sz w:val="20"/>
                <w:szCs w:val="20"/>
                <w:lang w:val="en-US" w:eastAsia="ja-JP"/>
              </w:rPr>
              <w:t>%</w:t>
            </w:r>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F2F2F2" w:themeFill="background1" w:themeFillShade="F2"/>
          </w:tcPr>
          <w:p w14:paraId="7641C959"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F2F2F2" w:themeFill="background1" w:themeFillShade="F2"/>
          </w:tcPr>
          <w:p w14:paraId="54D6614E"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3%</w:t>
            </w:r>
          </w:p>
        </w:tc>
        <w:tc>
          <w:tcPr>
            <w:tcW w:w="1104" w:type="dxa"/>
            <w:tcBorders>
              <w:top w:val="nil"/>
              <w:left w:val="nil"/>
              <w:bottom w:val="nil"/>
              <w:right w:val="nil"/>
            </w:tcBorders>
            <w:shd w:val="clear" w:color="auto" w:fill="F2F2F2" w:themeFill="background1" w:themeFillShade="F2"/>
          </w:tcPr>
          <w:p w14:paraId="3F5FBE7C"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6%</w:t>
            </w:r>
          </w:p>
        </w:tc>
        <w:tc>
          <w:tcPr>
            <w:tcW w:w="1102" w:type="dxa"/>
            <w:tcBorders>
              <w:top w:val="nil"/>
              <w:left w:val="nil"/>
              <w:bottom w:val="nil"/>
              <w:right w:val="nil"/>
            </w:tcBorders>
            <w:shd w:val="clear" w:color="auto" w:fill="F2F2F2" w:themeFill="background1" w:themeFillShade="F2"/>
          </w:tcPr>
          <w:p w14:paraId="571B6A05"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5%</w:t>
            </w:r>
          </w:p>
        </w:tc>
      </w:tr>
      <w:tr w:rsidR="005D0F91" w:rsidRPr="000E379F" w14:paraId="40E1DF2D" w14:textId="77777777" w:rsidTr="00610B40">
        <w:trPr>
          <w:trHeight w:hRule="exact" w:val="340"/>
          <w:jc w:val="center"/>
        </w:trPr>
        <w:tc>
          <w:tcPr>
            <w:tcW w:w="4548" w:type="dxa"/>
            <w:tcBorders>
              <w:top w:val="nil"/>
              <w:left w:val="nil"/>
              <w:bottom w:val="nil"/>
              <w:right w:val="nil"/>
            </w:tcBorders>
            <w:shd w:val="clear" w:color="auto" w:fill="auto"/>
          </w:tcPr>
          <w:p w14:paraId="2E29EFF6"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w:t>
            </w:r>
            <w:proofErr w:type="spellStart"/>
            <w:r w:rsidRPr="000E379F">
              <w:rPr>
                <w:rFonts w:cs="Times New Roman"/>
                <w:color w:val="262626" w:themeColor="text1" w:themeTint="D9"/>
                <w:sz w:val="20"/>
                <w:szCs w:val="20"/>
                <w:lang w:eastAsia="ja-JP"/>
              </w:rPr>
              <w:t>Дефлатор</w:t>
            </w:r>
            <w:proofErr w:type="spellEnd"/>
            <w:r w:rsidRPr="000E379F">
              <w:rPr>
                <w:rFonts w:cs="Times New Roman"/>
                <w:color w:val="262626" w:themeColor="text1" w:themeTint="D9"/>
                <w:sz w:val="20"/>
                <w:szCs w:val="20"/>
                <w:lang w:eastAsia="ja-JP"/>
              </w:rPr>
              <w:t xml:space="preserve"> на БВП (</w:t>
            </w:r>
            <w:proofErr w:type="spellStart"/>
            <w:r w:rsidRPr="000E379F">
              <w:rPr>
                <w:rFonts w:cs="Times New Roman"/>
                <w:color w:val="262626" w:themeColor="text1" w:themeTint="D9"/>
                <w:sz w:val="20"/>
                <w:szCs w:val="20"/>
                <w:lang w:eastAsia="ja-JP"/>
              </w:rPr>
              <w:t>пр.п</w:t>
            </w:r>
            <w:proofErr w:type="spellEnd"/>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auto"/>
          </w:tcPr>
          <w:p w14:paraId="19E76EA3"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auto"/>
          </w:tcPr>
          <w:p w14:paraId="5E8C1484"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5</w:t>
            </w:r>
          </w:p>
        </w:tc>
        <w:tc>
          <w:tcPr>
            <w:tcW w:w="1104" w:type="dxa"/>
            <w:tcBorders>
              <w:top w:val="nil"/>
              <w:left w:val="nil"/>
              <w:bottom w:val="nil"/>
              <w:right w:val="nil"/>
            </w:tcBorders>
            <w:shd w:val="clear" w:color="auto" w:fill="auto"/>
          </w:tcPr>
          <w:p w14:paraId="3EFBF9B9"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4</w:t>
            </w:r>
          </w:p>
        </w:tc>
        <w:tc>
          <w:tcPr>
            <w:tcW w:w="1102" w:type="dxa"/>
            <w:tcBorders>
              <w:top w:val="nil"/>
              <w:left w:val="nil"/>
              <w:bottom w:val="nil"/>
              <w:right w:val="nil"/>
            </w:tcBorders>
            <w:shd w:val="clear" w:color="auto" w:fill="auto"/>
          </w:tcPr>
          <w:p w14:paraId="63A80C04"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r>
      <w:tr w:rsidR="005D0F91" w:rsidRPr="000E379F" w14:paraId="5D735750"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343BA680"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Средногодишна инфлация (ХИПЦ, </w:t>
            </w:r>
            <w:proofErr w:type="spellStart"/>
            <w:r w:rsidRPr="000E379F">
              <w:rPr>
                <w:rFonts w:cs="Times New Roman"/>
                <w:color w:val="262626" w:themeColor="text1" w:themeTint="D9"/>
                <w:sz w:val="20"/>
                <w:szCs w:val="20"/>
                <w:lang w:eastAsia="ja-JP"/>
              </w:rPr>
              <w:t>пр.п</w:t>
            </w:r>
            <w:proofErr w:type="spellEnd"/>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F2F2F2" w:themeFill="background1" w:themeFillShade="F2"/>
          </w:tcPr>
          <w:p w14:paraId="6F6F5E94"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c>
          <w:tcPr>
            <w:tcW w:w="1104" w:type="dxa"/>
            <w:tcBorders>
              <w:top w:val="nil"/>
              <w:left w:val="nil"/>
              <w:bottom w:val="nil"/>
              <w:right w:val="nil"/>
            </w:tcBorders>
            <w:shd w:val="clear" w:color="auto" w:fill="F2F2F2" w:themeFill="background1" w:themeFillShade="F2"/>
          </w:tcPr>
          <w:p w14:paraId="1E8C4B0E"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9</w:t>
            </w:r>
          </w:p>
        </w:tc>
        <w:tc>
          <w:tcPr>
            <w:tcW w:w="1104" w:type="dxa"/>
            <w:tcBorders>
              <w:top w:val="nil"/>
              <w:left w:val="nil"/>
              <w:bottom w:val="nil"/>
              <w:right w:val="nil"/>
            </w:tcBorders>
            <w:shd w:val="clear" w:color="auto" w:fill="F2F2F2" w:themeFill="background1" w:themeFillShade="F2"/>
          </w:tcPr>
          <w:p w14:paraId="07281229" w14:textId="77777777" w:rsidR="005D0F91" w:rsidRPr="000E379F" w:rsidRDefault="00610B40" w:rsidP="005D0F91">
            <w:pPr>
              <w:jc w:val="right"/>
              <w:rPr>
                <w:rFonts w:eastAsiaTheme="minorEastAsia" w:cs="Times New Roman"/>
                <w:sz w:val="20"/>
                <w:szCs w:val="20"/>
              </w:rPr>
            </w:pPr>
            <w:r>
              <w:rPr>
                <w:rFonts w:cs="Times New Roman"/>
                <w:sz w:val="20"/>
                <w:szCs w:val="20"/>
              </w:rPr>
              <w:t>-1,</w:t>
            </w:r>
            <w:r w:rsidR="005D0F91" w:rsidRPr="000E379F">
              <w:rPr>
                <w:rFonts w:cs="Times New Roman"/>
                <w:sz w:val="20"/>
                <w:szCs w:val="20"/>
              </w:rPr>
              <w:t>0</w:t>
            </w:r>
          </w:p>
        </w:tc>
        <w:tc>
          <w:tcPr>
            <w:tcW w:w="1102" w:type="dxa"/>
            <w:tcBorders>
              <w:top w:val="nil"/>
              <w:left w:val="nil"/>
              <w:bottom w:val="nil"/>
              <w:right w:val="nil"/>
            </w:tcBorders>
            <w:shd w:val="clear" w:color="auto" w:fill="F2F2F2" w:themeFill="background1" w:themeFillShade="F2"/>
          </w:tcPr>
          <w:p w14:paraId="274D599B"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r>
      <w:tr w:rsidR="006E7B2C" w:rsidRPr="000E379F" w14:paraId="0CFA8833" w14:textId="77777777" w:rsidTr="005D0F91">
        <w:trPr>
          <w:trHeight w:hRule="exact" w:val="340"/>
          <w:jc w:val="center"/>
        </w:trPr>
        <w:tc>
          <w:tcPr>
            <w:tcW w:w="4548" w:type="dxa"/>
            <w:tcBorders>
              <w:top w:val="nil"/>
              <w:left w:val="nil"/>
              <w:bottom w:val="nil"/>
              <w:right w:val="nil"/>
            </w:tcBorders>
            <w:shd w:val="clear" w:color="auto" w:fill="auto"/>
          </w:tcPr>
          <w:p w14:paraId="2CE98742" w14:textId="77777777" w:rsidR="006E7B2C" w:rsidRPr="000E379F" w:rsidRDefault="006E7B2C" w:rsidP="00C973BA">
            <w:pPr>
              <w:rPr>
                <w:rFonts w:cs="Times New Roman"/>
                <w:b/>
                <w:color w:val="262626" w:themeColor="text1" w:themeTint="D9"/>
                <w:sz w:val="20"/>
                <w:szCs w:val="20"/>
                <w:lang w:eastAsia="ja-JP"/>
              </w:rPr>
            </w:pPr>
            <w:r w:rsidRPr="000E379F">
              <w:rPr>
                <w:rFonts w:cs="Times New Roman"/>
                <w:b/>
                <w:bCs/>
                <w:color w:val="262626" w:themeColor="text1" w:themeTint="D9"/>
                <w:sz w:val="20"/>
                <w:szCs w:val="20"/>
                <w:lang w:eastAsia="ja-JP"/>
              </w:rPr>
              <w:t>ПЛАТЕЖЕН БАЛАНС</w:t>
            </w:r>
          </w:p>
        </w:tc>
        <w:tc>
          <w:tcPr>
            <w:tcW w:w="1111" w:type="dxa"/>
            <w:tcBorders>
              <w:top w:val="nil"/>
              <w:left w:val="nil"/>
              <w:bottom w:val="nil"/>
              <w:right w:val="nil"/>
            </w:tcBorders>
            <w:shd w:val="clear" w:color="auto" w:fill="auto"/>
          </w:tcPr>
          <w:p w14:paraId="15F6B7BC"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34F36916" w14:textId="77777777" w:rsidR="006E7B2C" w:rsidRPr="000E379F" w:rsidRDefault="006E7B2C" w:rsidP="00C973BA">
            <w:pPr>
              <w:jc w:val="right"/>
              <w:rPr>
                <w:rFonts w:cs="Times New Roman"/>
                <w:color w:val="262626" w:themeColor="text1" w:themeTint="D9"/>
                <w:sz w:val="20"/>
                <w:szCs w:val="20"/>
                <w:lang w:eastAsia="ja-JP"/>
              </w:rPr>
            </w:pPr>
          </w:p>
        </w:tc>
        <w:tc>
          <w:tcPr>
            <w:tcW w:w="1104" w:type="dxa"/>
            <w:tcBorders>
              <w:top w:val="nil"/>
              <w:left w:val="nil"/>
              <w:bottom w:val="nil"/>
              <w:right w:val="nil"/>
            </w:tcBorders>
            <w:shd w:val="clear" w:color="auto" w:fill="auto"/>
          </w:tcPr>
          <w:p w14:paraId="791336E6" w14:textId="77777777" w:rsidR="006E7B2C" w:rsidRPr="000E379F" w:rsidRDefault="006E7B2C" w:rsidP="00C973BA">
            <w:pPr>
              <w:jc w:val="right"/>
              <w:rPr>
                <w:rFonts w:cs="Times New Roman"/>
                <w:color w:val="262626" w:themeColor="text1" w:themeTint="D9"/>
                <w:sz w:val="20"/>
                <w:szCs w:val="20"/>
                <w:lang w:eastAsia="ja-JP"/>
              </w:rPr>
            </w:pPr>
          </w:p>
        </w:tc>
        <w:tc>
          <w:tcPr>
            <w:tcW w:w="1102" w:type="dxa"/>
            <w:tcBorders>
              <w:top w:val="nil"/>
              <w:left w:val="nil"/>
              <w:bottom w:val="nil"/>
              <w:right w:val="nil"/>
            </w:tcBorders>
          </w:tcPr>
          <w:p w14:paraId="712E0173" w14:textId="77777777" w:rsidR="006E7B2C" w:rsidRPr="000E379F" w:rsidRDefault="006E7B2C" w:rsidP="00C973BA">
            <w:pPr>
              <w:jc w:val="right"/>
              <w:rPr>
                <w:rFonts w:cs="Times New Roman"/>
                <w:color w:val="262626" w:themeColor="text1" w:themeTint="D9"/>
                <w:sz w:val="20"/>
                <w:szCs w:val="20"/>
                <w:lang w:eastAsia="ja-JP"/>
              </w:rPr>
            </w:pPr>
          </w:p>
        </w:tc>
      </w:tr>
      <w:tr w:rsidR="005D0F91" w:rsidRPr="00904A17" w14:paraId="5FAE057F"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0247C3E7" w14:textId="77777777" w:rsidR="005D0F91" w:rsidRPr="000E379F" w:rsidRDefault="005D0F91" w:rsidP="005D0F91">
            <w:pPr>
              <w:rPr>
                <w:rFonts w:cs="Times New Roman"/>
                <w:color w:val="262626" w:themeColor="text1" w:themeTint="D9"/>
                <w:sz w:val="20"/>
                <w:szCs w:val="20"/>
                <w:lang w:eastAsia="ja-JP"/>
              </w:rPr>
            </w:pPr>
            <w:r w:rsidRPr="000E379F">
              <w:rPr>
                <w:rFonts w:cs="Times New Roman"/>
                <w:color w:val="262626" w:themeColor="text1" w:themeTint="D9"/>
                <w:sz w:val="20"/>
                <w:szCs w:val="20"/>
                <w:lang w:eastAsia="ja-JP"/>
              </w:rPr>
              <w:t xml:space="preserve">   Текуща сметка (% от БВП, </w:t>
            </w:r>
            <w:proofErr w:type="spellStart"/>
            <w:r w:rsidRPr="000E379F">
              <w:rPr>
                <w:rFonts w:cs="Times New Roman"/>
                <w:color w:val="262626" w:themeColor="text1" w:themeTint="D9"/>
                <w:sz w:val="20"/>
                <w:szCs w:val="20"/>
                <w:lang w:eastAsia="ja-JP"/>
              </w:rPr>
              <w:t>пр.п</w:t>
            </w:r>
            <w:proofErr w:type="spellEnd"/>
            <w:r w:rsidRPr="000E379F">
              <w:rPr>
                <w:rFonts w:cs="Times New Roman"/>
                <w:color w:val="262626" w:themeColor="text1" w:themeTint="D9"/>
                <w:sz w:val="20"/>
                <w:szCs w:val="20"/>
                <w:lang w:eastAsia="ja-JP"/>
              </w:rPr>
              <w:t>.)</w:t>
            </w:r>
          </w:p>
        </w:tc>
        <w:tc>
          <w:tcPr>
            <w:tcW w:w="1111" w:type="dxa"/>
            <w:tcBorders>
              <w:top w:val="nil"/>
              <w:left w:val="nil"/>
              <w:bottom w:val="nil"/>
              <w:right w:val="nil"/>
            </w:tcBorders>
            <w:shd w:val="clear" w:color="auto" w:fill="F2F2F2" w:themeFill="background1" w:themeFillShade="F2"/>
          </w:tcPr>
          <w:p w14:paraId="16333150"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1</w:t>
            </w:r>
          </w:p>
        </w:tc>
        <w:tc>
          <w:tcPr>
            <w:tcW w:w="1104" w:type="dxa"/>
            <w:tcBorders>
              <w:top w:val="nil"/>
              <w:left w:val="nil"/>
              <w:bottom w:val="nil"/>
              <w:right w:val="nil"/>
            </w:tcBorders>
            <w:shd w:val="clear" w:color="auto" w:fill="F2F2F2" w:themeFill="background1" w:themeFillShade="F2"/>
          </w:tcPr>
          <w:p w14:paraId="44F78CF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4</w:t>
            </w:r>
          </w:p>
        </w:tc>
        <w:tc>
          <w:tcPr>
            <w:tcW w:w="1104" w:type="dxa"/>
            <w:tcBorders>
              <w:top w:val="nil"/>
              <w:left w:val="nil"/>
              <w:bottom w:val="nil"/>
              <w:right w:val="nil"/>
            </w:tcBorders>
            <w:shd w:val="clear" w:color="auto" w:fill="F2F2F2" w:themeFill="background1" w:themeFillShade="F2"/>
          </w:tcPr>
          <w:p w14:paraId="67E8252A"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4</w:t>
            </w:r>
          </w:p>
        </w:tc>
        <w:tc>
          <w:tcPr>
            <w:tcW w:w="1102" w:type="dxa"/>
            <w:tcBorders>
              <w:top w:val="nil"/>
              <w:left w:val="nil"/>
              <w:bottom w:val="nil"/>
              <w:right w:val="nil"/>
            </w:tcBorders>
            <w:shd w:val="clear" w:color="auto" w:fill="F2F2F2" w:themeFill="background1" w:themeFillShade="F2"/>
          </w:tcPr>
          <w:p w14:paraId="4FE6AE00" w14:textId="77777777" w:rsidR="005D0F91" w:rsidRPr="000E379F" w:rsidRDefault="00610B40" w:rsidP="005D0F91">
            <w:pPr>
              <w:jc w:val="right"/>
              <w:rPr>
                <w:rFonts w:eastAsiaTheme="minorEastAsia" w:cs="Times New Roman"/>
                <w:sz w:val="20"/>
                <w:szCs w:val="20"/>
              </w:rPr>
            </w:pPr>
            <w:r>
              <w:rPr>
                <w:rFonts w:cs="Times New Roman"/>
                <w:sz w:val="20"/>
                <w:szCs w:val="20"/>
              </w:rPr>
              <w:t>-0,</w:t>
            </w:r>
            <w:r w:rsidR="005D0F91" w:rsidRPr="000E379F">
              <w:rPr>
                <w:rFonts w:cs="Times New Roman"/>
                <w:sz w:val="20"/>
                <w:szCs w:val="20"/>
              </w:rPr>
              <w:t>2</w:t>
            </w:r>
          </w:p>
        </w:tc>
      </w:tr>
      <w:tr w:rsidR="00803888" w:rsidRPr="00904A17" w14:paraId="2634AEEE" w14:textId="77777777" w:rsidTr="008D4BF0">
        <w:trPr>
          <w:trHeight w:hRule="exact" w:val="340"/>
          <w:jc w:val="center"/>
        </w:trPr>
        <w:tc>
          <w:tcPr>
            <w:tcW w:w="4548" w:type="dxa"/>
            <w:tcBorders>
              <w:top w:val="nil"/>
              <w:left w:val="nil"/>
              <w:bottom w:val="nil"/>
              <w:right w:val="nil"/>
            </w:tcBorders>
            <w:shd w:val="clear" w:color="auto" w:fill="auto"/>
          </w:tcPr>
          <w:p w14:paraId="3215CEA0"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b/>
                <w:bCs/>
                <w:color w:val="262626" w:themeColor="text1" w:themeTint="D9"/>
                <w:sz w:val="20"/>
                <w:szCs w:val="20"/>
                <w:lang w:eastAsia="ja-JP"/>
              </w:rPr>
              <w:t>БЮДЖЕТЕН СЕКТОР</w:t>
            </w:r>
          </w:p>
        </w:tc>
        <w:tc>
          <w:tcPr>
            <w:tcW w:w="1111" w:type="dxa"/>
            <w:tcBorders>
              <w:top w:val="nil"/>
              <w:left w:val="nil"/>
              <w:bottom w:val="nil"/>
              <w:right w:val="nil"/>
            </w:tcBorders>
            <w:shd w:val="clear" w:color="auto" w:fill="auto"/>
          </w:tcPr>
          <w:p w14:paraId="09A4A2C6" w14:textId="77777777" w:rsidR="00803888" w:rsidRDefault="00803888" w:rsidP="00803888">
            <w:pPr>
              <w:jc w:val="right"/>
              <w:rPr>
                <w:rFonts w:cs="Times New Roman"/>
                <w:sz w:val="20"/>
                <w:szCs w:val="20"/>
              </w:rPr>
            </w:pPr>
          </w:p>
        </w:tc>
        <w:tc>
          <w:tcPr>
            <w:tcW w:w="1104" w:type="dxa"/>
            <w:tcBorders>
              <w:top w:val="nil"/>
              <w:left w:val="nil"/>
              <w:bottom w:val="nil"/>
              <w:right w:val="nil"/>
            </w:tcBorders>
            <w:shd w:val="clear" w:color="auto" w:fill="auto"/>
          </w:tcPr>
          <w:p w14:paraId="0C0546D2" w14:textId="77777777" w:rsidR="00803888" w:rsidRDefault="00803888" w:rsidP="00803888">
            <w:pPr>
              <w:jc w:val="right"/>
              <w:rPr>
                <w:rFonts w:cs="Times New Roman"/>
                <w:sz w:val="20"/>
                <w:szCs w:val="20"/>
              </w:rPr>
            </w:pPr>
          </w:p>
        </w:tc>
        <w:tc>
          <w:tcPr>
            <w:tcW w:w="1104" w:type="dxa"/>
            <w:tcBorders>
              <w:top w:val="nil"/>
              <w:left w:val="nil"/>
              <w:bottom w:val="nil"/>
              <w:right w:val="nil"/>
            </w:tcBorders>
            <w:shd w:val="clear" w:color="auto" w:fill="auto"/>
          </w:tcPr>
          <w:p w14:paraId="417AA54E" w14:textId="77777777" w:rsidR="00803888" w:rsidRDefault="00803888" w:rsidP="00803888">
            <w:pPr>
              <w:jc w:val="right"/>
              <w:rPr>
                <w:rFonts w:cs="Times New Roman"/>
                <w:sz w:val="20"/>
                <w:szCs w:val="20"/>
              </w:rPr>
            </w:pPr>
          </w:p>
        </w:tc>
        <w:tc>
          <w:tcPr>
            <w:tcW w:w="1102" w:type="dxa"/>
            <w:tcBorders>
              <w:top w:val="nil"/>
              <w:left w:val="nil"/>
              <w:bottom w:val="nil"/>
              <w:right w:val="nil"/>
            </w:tcBorders>
            <w:shd w:val="clear" w:color="auto" w:fill="auto"/>
          </w:tcPr>
          <w:p w14:paraId="192471F6" w14:textId="77777777" w:rsidR="00803888" w:rsidRDefault="00803888" w:rsidP="00803888">
            <w:pPr>
              <w:jc w:val="right"/>
              <w:rPr>
                <w:rFonts w:cs="Times New Roman"/>
                <w:sz w:val="20"/>
                <w:szCs w:val="20"/>
              </w:rPr>
            </w:pPr>
          </w:p>
        </w:tc>
      </w:tr>
      <w:tr w:rsidR="00803888" w:rsidRPr="00904A17" w14:paraId="66E9158E" w14:textId="77777777" w:rsidTr="008C0F1F">
        <w:trPr>
          <w:trHeight w:hRule="exact" w:val="340"/>
          <w:jc w:val="center"/>
        </w:trPr>
        <w:tc>
          <w:tcPr>
            <w:tcW w:w="4548" w:type="dxa"/>
            <w:tcBorders>
              <w:top w:val="nil"/>
              <w:left w:val="nil"/>
              <w:bottom w:val="nil"/>
              <w:right w:val="nil"/>
            </w:tcBorders>
            <w:shd w:val="clear" w:color="auto" w:fill="F2F2F2" w:themeFill="background1" w:themeFillShade="F2"/>
          </w:tcPr>
          <w:p w14:paraId="4E279BA7"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color w:val="262626" w:themeColor="text1" w:themeTint="D9"/>
                <w:sz w:val="20"/>
                <w:szCs w:val="20"/>
                <w:lang w:eastAsia="ja-JP"/>
              </w:rPr>
              <w:t>Бюджетни приходи (%)</w:t>
            </w:r>
          </w:p>
        </w:tc>
        <w:tc>
          <w:tcPr>
            <w:tcW w:w="1111" w:type="dxa"/>
            <w:tcBorders>
              <w:top w:val="nil"/>
              <w:left w:val="nil"/>
              <w:bottom w:val="nil"/>
              <w:right w:val="nil"/>
            </w:tcBorders>
            <w:shd w:val="clear" w:color="auto" w:fill="F2F2F2" w:themeFill="background1" w:themeFillShade="F2"/>
          </w:tcPr>
          <w:p w14:paraId="608B428A"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1%</w:t>
            </w:r>
          </w:p>
        </w:tc>
        <w:tc>
          <w:tcPr>
            <w:tcW w:w="1104" w:type="dxa"/>
            <w:tcBorders>
              <w:top w:val="nil"/>
              <w:left w:val="nil"/>
              <w:bottom w:val="nil"/>
              <w:right w:val="nil"/>
            </w:tcBorders>
            <w:shd w:val="clear" w:color="auto" w:fill="F2F2F2" w:themeFill="background1" w:themeFillShade="F2"/>
          </w:tcPr>
          <w:p w14:paraId="59847F0C"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4%</w:t>
            </w:r>
          </w:p>
        </w:tc>
        <w:tc>
          <w:tcPr>
            <w:tcW w:w="1104" w:type="dxa"/>
            <w:tcBorders>
              <w:top w:val="nil"/>
              <w:left w:val="nil"/>
              <w:bottom w:val="nil"/>
              <w:right w:val="nil"/>
            </w:tcBorders>
            <w:shd w:val="clear" w:color="auto" w:fill="F2F2F2" w:themeFill="background1" w:themeFillShade="F2"/>
          </w:tcPr>
          <w:p w14:paraId="4B0AE42C"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7%</w:t>
            </w:r>
          </w:p>
        </w:tc>
        <w:tc>
          <w:tcPr>
            <w:tcW w:w="1102" w:type="dxa"/>
            <w:tcBorders>
              <w:top w:val="nil"/>
              <w:left w:val="nil"/>
              <w:bottom w:val="nil"/>
              <w:right w:val="nil"/>
            </w:tcBorders>
            <w:shd w:val="clear" w:color="auto" w:fill="F2F2F2" w:themeFill="background1" w:themeFillShade="F2"/>
          </w:tcPr>
          <w:p w14:paraId="7BE04CA3"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5%</w:t>
            </w:r>
          </w:p>
        </w:tc>
      </w:tr>
      <w:tr w:rsidR="00803888" w:rsidRPr="00904A17" w14:paraId="645ABF9F" w14:textId="77777777" w:rsidTr="00A5686E">
        <w:trPr>
          <w:trHeight w:hRule="exact" w:val="340"/>
          <w:jc w:val="center"/>
        </w:trPr>
        <w:tc>
          <w:tcPr>
            <w:tcW w:w="4548" w:type="dxa"/>
            <w:tcBorders>
              <w:top w:val="nil"/>
              <w:left w:val="nil"/>
              <w:bottom w:val="nil"/>
              <w:right w:val="nil"/>
            </w:tcBorders>
            <w:shd w:val="clear" w:color="auto" w:fill="auto"/>
          </w:tcPr>
          <w:p w14:paraId="16ECCAAB"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color w:val="262626" w:themeColor="text1" w:themeTint="D9"/>
                <w:sz w:val="20"/>
                <w:szCs w:val="20"/>
                <w:lang w:eastAsia="ja-JP"/>
              </w:rPr>
              <w:t>Бюджетен баланс (% от БВП)</w:t>
            </w:r>
          </w:p>
        </w:tc>
        <w:tc>
          <w:tcPr>
            <w:tcW w:w="1111" w:type="dxa"/>
            <w:tcBorders>
              <w:top w:val="nil"/>
              <w:left w:val="nil"/>
              <w:bottom w:val="nil"/>
              <w:right w:val="nil"/>
            </w:tcBorders>
            <w:shd w:val="clear" w:color="auto" w:fill="auto"/>
          </w:tcPr>
          <w:p w14:paraId="1527D30C"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1</w:t>
            </w:r>
          </w:p>
        </w:tc>
        <w:tc>
          <w:tcPr>
            <w:tcW w:w="1104" w:type="dxa"/>
            <w:tcBorders>
              <w:top w:val="nil"/>
              <w:left w:val="nil"/>
              <w:bottom w:val="nil"/>
              <w:right w:val="nil"/>
            </w:tcBorders>
            <w:shd w:val="clear" w:color="auto" w:fill="auto"/>
          </w:tcPr>
          <w:p w14:paraId="33D82D6E"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2</w:t>
            </w:r>
          </w:p>
        </w:tc>
        <w:tc>
          <w:tcPr>
            <w:tcW w:w="1104" w:type="dxa"/>
            <w:tcBorders>
              <w:top w:val="nil"/>
              <w:left w:val="nil"/>
              <w:bottom w:val="nil"/>
              <w:right w:val="nil"/>
            </w:tcBorders>
            <w:shd w:val="clear" w:color="auto" w:fill="auto"/>
          </w:tcPr>
          <w:p w14:paraId="0753A60A"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4</w:t>
            </w:r>
          </w:p>
        </w:tc>
        <w:tc>
          <w:tcPr>
            <w:tcW w:w="1102" w:type="dxa"/>
            <w:tcBorders>
              <w:top w:val="nil"/>
              <w:left w:val="nil"/>
              <w:bottom w:val="nil"/>
              <w:right w:val="nil"/>
            </w:tcBorders>
            <w:shd w:val="clear" w:color="auto" w:fill="auto"/>
          </w:tcPr>
          <w:p w14:paraId="2F156F47"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3</w:t>
            </w:r>
          </w:p>
        </w:tc>
      </w:tr>
      <w:tr w:rsidR="00803888" w:rsidRPr="00904A17" w14:paraId="1AF8A502" w14:textId="77777777" w:rsidTr="008C0F1F">
        <w:trPr>
          <w:trHeight w:hRule="exact" w:val="340"/>
          <w:jc w:val="center"/>
        </w:trPr>
        <w:tc>
          <w:tcPr>
            <w:tcW w:w="4548" w:type="dxa"/>
            <w:tcBorders>
              <w:top w:val="nil"/>
              <w:left w:val="nil"/>
              <w:bottom w:val="single" w:sz="4" w:space="0" w:color="auto"/>
              <w:right w:val="nil"/>
            </w:tcBorders>
            <w:shd w:val="clear" w:color="auto" w:fill="F2F2F2" w:themeFill="background1" w:themeFillShade="F2"/>
          </w:tcPr>
          <w:p w14:paraId="087625E2" w14:textId="77777777" w:rsidR="00803888" w:rsidRPr="000E379F" w:rsidRDefault="00803888" w:rsidP="00803888">
            <w:pPr>
              <w:rPr>
                <w:rFonts w:cs="Times New Roman"/>
                <w:color w:val="262626" w:themeColor="text1" w:themeTint="D9"/>
                <w:sz w:val="20"/>
                <w:szCs w:val="20"/>
                <w:lang w:eastAsia="ja-JP"/>
              </w:rPr>
            </w:pPr>
            <w:r w:rsidRPr="005802CA">
              <w:rPr>
                <w:rFonts w:cs="Times New Roman"/>
                <w:color w:val="262626" w:themeColor="text1" w:themeTint="D9"/>
                <w:sz w:val="20"/>
                <w:szCs w:val="20"/>
                <w:lang w:eastAsia="ja-JP"/>
              </w:rPr>
              <w:t>Държавен дълг (% от БВП)</w:t>
            </w:r>
          </w:p>
        </w:tc>
        <w:tc>
          <w:tcPr>
            <w:tcW w:w="1111" w:type="dxa"/>
            <w:tcBorders>
              <w:top w:val="nil"/>
              <w:left w:val="nil"/>
              <w:bottom w:val="single" w:sz="4" w:space="0" w:color="auto"/>
              <w:right w:val="nil"/>
            </w:tcBorders>
            <w:shd w:val="clear" w:color="auto" w:fill="F2F2F2" w:themeFill="background1" w:themeFillShade="F2"/>
          </w:tcPr>
          <w:p w14:paraId="379810E4"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1</w:t>
            </w:r>
          </w:p>
        </w:tc>
        <w:tc>
          <w:tcPr>
            <w:tcW w:w="1104" w:type="dxa"/>
            <w:tcBorders>
              <w:top w:val="nil"/>
              <w:left w:val="nil"/>
              <w:bottom w:val="single" w:sz="4" w:space="0" w:color="auto"/>
              <w:right w:val="nil"/>
            </w:tcBorders>
            <w:shd w:val="clear" w:color="auto" w:fill="F2F2F2" w:themeFill="background1" w:themeFillShade="F2"/>
          </w:tcPr>
          <w:p w14:paraId="5FCCC0BC"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0,</w:t>
            </w:r>
            <w:r w:rsidR="00803888" w:rsidRPr="005802CA">
              <w:rPr>
                <w:rFonts w:cs="Times New Roman"/>
                <w:color w:val="262626" w:themeColor="text1" w:themeTint="D9"/>
                <w:sz w:val="20"/>
                <w:szCs w:val="20"/>
                <w:lang w:eastAsia="ja-JP"/>
              </w:rPr>
              <w:t>5</w:t>
            </w:r>
          </w:p>
        </w:tc>
        <w:tc>
          <w:tcPr>
            <w:tcW w:w="1104" w:type="dxa"/>
            <w:tcBorders>
              <w:top w:val="nil"/>
              <w:left w:val="nil"/>
              <w:bottom w:val="single" w:sz="4" w:space="0" w:color="auto"/>
              <w:right w:val="nil"/>
            </w:tcBorders>
            <w:shd w:val="clear" w:color="auto" w:fill="F2F2F2" w:themeFill="background1" w:themeFillShade="F2"/>
          </w:tcPr>
          <w:p w14:paraId="4D0AD831"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1,</w:t>
            </w:r>
            <w:r w:rsidR="00803888" w:rsidRPr="005802CA">
              <w:rPr>
                <w:rFonts w:cs="Times New Roman"/>
                <w:color w:val="262626" w:themeColor="text1" w:themeTint="D9"/>
                <w:sz w:val="20"/>
                <w:szCs w:val="20"/>
                <w:lang w:eastAsia="ja-JP"/>
              </w:rPr>
              <w:t>0</w:t>
            </w:r>
          </w:p>
        </w:tc>
        <w:tc>
          <w:tcPr>
            <w:tcW w:w="1102" w:type="dxa"/>
            <w:tcBorders>
              <w:top w:val="nil"/>
              <w:left w:val="nil"/>
              <w:bottom w:val="single" w:sz="4" w:space="0" w:color="auto"/>
              <w:right w:val="nil"/>
            </w:tcBorders>
            <w:shd w:val="clear" w:color="auto" w:fill="F2F2F2" w:themeFill="background1" w:themeFillShade="F2"/>
          </w:tcPr>
          <w:p w14:paraId="3414BF38" w14:textId="77777777" w:rsidR="00803888" w:rsidRDefault="00820490" w:rsidP="00803888">
            <w:pPr>
              <w:jc w:val="right"/>
              <w:rPr>
                <w:rFonts w:cs="Times New Roman"/>
                <w:sz w:val="20"/>
                <w:szCs w:val="20"/>
              </w:rPr>
            </w:pPr>
            <w:r>
              <w:rPr>
                <w:rFonts w:cs="Times New Roman"/>
                <w:color w:val="262626" w:themeColor="text1" w:themeTint="D9"/>
                <w:sz w:val="20"/>
                <w:szCs w:val="20"/>
                <w:lang w:eastAsia="ja-JP"/>
              </w:rPr>
              <w:t>1,</w:t>
            </w:r>
            <w:r w:rsidR="00803888" w:rsidRPr="005802CA">
              <w:rPr>
                <w:rFonts w:cs="Times New Roman"/>
                <w:color w:val="262626" w:themeColor="text1" w:themeTint="D9"/>
                <w:sz w:val="20"/>
                <w:szCs w:val="20"/>
                <w:lang w:eastAsia="ja-JP"/>
              </w:rPr>
              <w:t>1</w:t>
            </w:r>
          </w:p>
        </w:tc>
      </w:tr>
    </w:tbl>
    <w:p w14:paraId="4FDEF326" w14:textId="77777777" w:rsidR="005D0F91" w:rsidRDefault="006E7B2C" w:rsidP="000E379F">
      <w:pPr>
        <w:spacing w:before="120"/>
        <w:jc w:val="right"/>
        <w:rPr>
          <w:sz w:val="18"/>
          <w:szCs w:val="18"/>
        </w:rPr>
      </w:pPr>
      <w:r>
        <w:rPr>
          <w:sz w:val="18"/>
          <w:szCs w:val="18"/>
        </w:rPr>
        <w:t>Източник: МФ</w:t>
      </w:r>
    </w:p>
    <w:p w14:paraId="3722E633" w14:textId="77777777" w:rsidR="00D708C4" w:rsidRDefault="00D708C4" w:rsidP="000E379F">
      <w:pPr>
        <w:spacing w:before="120"/>
        <w:jc w:val="right"/>
        <w:rPr>
          <w:sz w:val="18"/>
          <w:szCs w:val="18"/>
        </w:rPr>
      </w:pPr>
    </w:p>
    <w:p w14:paraId="50E613DC" w14:textId="77777777" w:rsidR="00E46B2B" w:rsidRPr="00F75999" w:rsidRDefault="001A0295" w:rsidP="00D708C4">
      <w:pPr>
        <w:pStyle w:val="Heading3"/>
        <w:spacing w:before="0" w:after="200"/>
        <w:ind w:left="0"/>
        <w:rPr>
          <w:szCs w:val="24"/>
        </w:rPr>
      </w:pPr>
      <w:r w:rsidRPr="00F75999">
        <w:rPr>
          <w:szCs w:val="24"/>
        </w:rPr>
        <w:lastRenderedPageBreak/>
        <w:t>Ч</w:t>
      </w:r>
      <w:r w:rsidR="00E46B2B" w:rsidRPr="00F75999">
        <w:rPr>
          <w:szCs w:val="24"/>
        </w:rPr>
        <w:t>увствителност на прогнозите към алтернативния сценарий</w:t>
      </w:r>
    </w:p>
    <w:p w14:paraId="2594B6E4" w14:textId="77777777" w:rsidR="00996556" w:rsidRPr="00996556" w:rsidRDefault="00996556" w:rsidP="00D708C4">
      <w:pPr>
        <w:rPr>
          <w:rFonts w:eastAsia="Batang"/>
          <w:bCs/>
        </w:rPr>
      </w:pPr>
      <w:r w:rsidRPr="00996556">
        <w:rPr>
          <w:rFonts w:eastAsia="Batang"/>
          <w:bCs/>
        </w:rPr>
        <w:t>Анализът на чувствителността представя промяната върху основни бюджетни параметри, която би настъпила при реализиране на алтернативния макроикономически сценарий.</w:t>
      </w:r>
    </w:p>
    <w:p w14:paraId="553905BE" w14:textId="77777777" w:rsidR="00996556" w:rsidRPr="00996556" w:rsidRDefault="00996556" w:rsidP="00D708C4">
      <w:pPr>
        <w:rPr>
          <w:rFonts w:eastAsia="Batang"/>
          <w:bCs/>
        </w:rPr>
      </w:pPr>
      <w:r w:rsidRPr="00996556">
        <w:rPr>
          <w:rFonts w:eastAsia="Batang"/>
          <w:bCs/>
        </w:rPr>
        <w:t xml:space="preserve">При алтернативния сценарий БВП по текущи цени е по-нисък през целия прогнозен период, което има отрицателен ефект върху растежа на данъчните постъпления и съответно общите бюджетни приходи. Съществен принос за по-ниските приходи през 2026 г. имат приходите от ДДС, както и тези от акцизи и мита, което се дължи на по-ниската инфлация и по-слабия реален растеж на вноса на стоки. През 2026 г. отрицателен ефект се наблюдава и по линия на приходите от данъка върху доходите на физическите лица и социално-осигурителни вноски. Общият ефект върху бюджетния баланс през 2026 г. е леко отрицателен. През целия период се наблюдава понижение на бюджетните приходи спрямо базовия сценарий. По-ниският растеж на БВП ще ограничи печалбите на фирмите и съответно приходите от корпоративен данък през 2026 г., но подобрението на инвестиционната активност леко ще ги повиши през 2027 </w:t>
      </w:r>
      <w:r w:rsidR="00513F9B">
        <w:rPr>
          <w:rFonts w:eastAsia="Batang"/>
          <w:bCs/>
        </w:rPr>
        <w:t xml:space="preserve">г. </w:t>
      </w:r>
      <w:r w:rsidRPr="00996556">
        <w:rPr>
          <w:rFonts w:eastAsia="Batang"/>
          <w:bCs/>
        </w:rPr>
        <w:t>и 2028 г. Намалението на общите приходи спрямо б</w:t>
      </w:r>
      <w:r w:rsidR="001E015D">
        <w:rPr>
          <w:rFonts w:eastAsia="Batang"/>
          <w:bCs/>
        </w:rPr>
        <w:t>азисния сценарий e оценено на 0,4% през 2026 г. и достига до 0,7% и 0,</w:t>
      </w:r>
      <w:r w:rsidRPr="00996556">
        <w:rPr>
          <w:rFonts w:eastAsia="Batang"/>
          <w:bCs/>
        </w:rPr>
        <w:t>5%</w:t>
      </w:r>
      <w:r w:rsidR="001E015D">
        <w:rPr>
          <w:rFonts w:eastAsia="Batang"/>
          <w:bCs/>
        </w:rPr>
        <w:t>,</w:t>
      </w:r>
      <w:r w:rsidRPr="00996556">
        <w:rPr>
          <w:rFonts w:eastAsia="Batang"/>
          <w:bCs/>
        </w:rPr>
        <w:t xml:space="preserve"> съответно през 2027 </w:t>
      </w:r>
      <w:r w:rsidR="00513F9B">
        <w:rPr>
          <w:rFonts w:eastAsia="Batang"/>
          <w:bCs/>
        </w:rPr>
        <w:t xml:space="preserve">г. </w:t>
      </w:r>
      <w:r w:rsidRPr="00996556">
        <w:rPr>
          <w:rFonts w:eastAsia="Batang"/>
          <w:bCs/>
        </w:rPr>
        <w:t>и 2028 г. В резултат от изменението в приходите и по-ниското номинално ниво на БВП, бюджетния</w:t>
      </w:r>
      <w:r w:rsidR="001E015D">
        <w:rPr>
          <w:rFonts w:eastAsia="Batang"/>
          <w:bCs/>
        </w:rPr>
        <w:t>т баланс би се влошил с между 0,2-0,</w:t>
      </w:r>
      <w:r w:rsidRPr="00996556">
        <w:rPr>
          <w:rFonts w:eastAsia="Batang"/>
          <w:bCs/>
        </w:rPr>
        <w:t xml:space="preserve">4 </w:t>
      </w:r>
      <w:proofErr w:type="spellStart"/>
      <w:r w:rsidRPr="00996556">
        <w:rPr>
          <w:rFonts w:eastAsia="Batang"/>
          <w:bCs/>
        </w:rPr>
        <w:t>пр.п</w:t>
      </w:r>
      <w:proofErr w:type="spellEnd"/>
      <w:r w:rsidRPr="00996556">
        <w:rPr>
          <w:rFonts w:eastAsia="Batang"/>
          <w:bCs/>
        </w:rPr>
        <w:t>. в периода 2026-2028 г.</w:t>
      </w:r>
    </w:p>
    <w:p w14:paraId="079E3DB7" w14:textId="77777777" w:rsidR="00996556" w:rsidRPr="00996556" w:rsidRDefault="00996556" w:rsidP="00D708C4">
      <w:pPr>
        <w:rPr>
          <w:rFonts w:eastAsia="Batang"/>
          <w:bCs/>
        </w:rPr>
      </w:pPr>
      <w:r w:rsidRPr="00996556">
        <w:rPr>
          <w:rFonts w:eastAsia="Batang"/>
          <w:bCs/>
        </w:rPr>
        <w:t>Промяната в допусканията се отразява в повишение на държавния дълг, като процент от БВП, поради малко по-високите бюджетни дефицити в периода 2026-2028 г. и по-ниското равнище на БВП по те</w:t>
      </w:r>
      <w:r w:rsidR="001E015D">
        <w:rPr>
          <w:rFonts w:eastAsia="Batang"/>
          <w:bCs/>
        </w:rPr>
        <w:t xml:space="preserve">кущи цени като разликата е от 0,5 </w:t>
      </w:r>
      <w:proofErr w:type="spellStart"/>
      <w:r w:rsidR="001E015D">
        <w:rPr>
          <w:rFonts w:eastAsia="Batang"/>
          <w:bCs/>
        </w:rPr>
        <w:t>пр.п</w:t>
      </w:r>
      <w:proofErr w:type="spellEnd"/>
      <w:r w:rsidR="001E015D">
        <w:rPr>
          <w:rFonts w:eastAsia="Batang"/>
          <w:bCs/>
        </w:rPr>
        <w:t>. през 2026 до 1,</w:t>
      </w:r>
      <w:r w:rsidRPr="00996556">
        <w:rPr>
          <w:rFonts w:eastAsia="Batang"/>
          <w:bCs/>
        </w:rPr>
        <w:t xml:space="preserve">1 </w:t>
      </w:r>
      <w:proofErr w:type="spellStart"/>
      <w:r w:rsidRPr="00996556">
        <w:rPr>
          <w:rFonts w:eastAsia="Batang"/>
          <w:bCs/>
        </w:rPr>
        <w:t>пр.п</w:t>
      </w:r>
      <w:proofErr w:type="spellEnd"/>
      <w:r w:rsidRPr="00996556">
        <w:rPr>
          <w:rFonts w:eastAsia="Batang"/>
          <w:bCs/>
        </w:rPr>
        <w:t>. през 2028 г.</w:t>
      </w:r>
    </w:p>
    <w:p w14:paraId="5CB25A57" w14:textId="77777777" w:rsidR="007E4545" w:rsidRPr="007E4545" w:rsidRDefault="00E36533" w:rsidP="00D708C4">
      <w:pPr>
        <w:pStyle w:val="Heading2"/>
        <w:numPr>
          <w:ilvl w:val="1"/>
          <w:numId w:val="3"/>
        </w:numPr>
        <w:spacing w:before="0" w:after="200"/>
        <w:ind w:hanging="270"/>
      </w:pPr>
      <w:bookmarkStart w:id="506" w:name="_Toc464224821"/>
      <w:bookmarkStart w:id="507" w:name="_Toc464225471"/>
      <w:bookmarkStart w:id="508" w:name="_Toc464459018"/>
      <w:bookmarkStart w:id="509" w:name="_Toc464459766"/>
      <w:bookmarkStart w:id="510" w:name="_Toc464460719"/>
      <w:bookmarkStart w:id="511" w:name="_Toc464463118"/>
      <w:bookmarkStart w:id="512" w:name="_Toc464464947"/>
      <w:bookmarkStart w:id="513" w:name="_Toc464465454"/>
      <w:bookmarkStart w:id="514" w:name="_Toc464465642"/>
      <w:bookmarkStart w:id="515" w:name="_Toc464466465"/>
      <w:bookmarkStart w:id="516" w:name="_Toc464466709"/>
      <w:bookmarkStart w:id="517" w:name="_Toc464645030"/>
      <w:bookmarkStart w:id="518" w:name="_Toc465205578"/>
      <w:bookmarkStart w:id="519" w:name="_Toc216029369"/>
      <w:r w:rsidRPr="00653F99">
        <w:t>П</w:t>
      </w:r>
      <w:r w:rsidR="00911809" w:rsidRPr="00653F99">
        <w:t>роцедури и</w:t>
      </w:r>
      <w:r w:rsidR="00911809" w:rsidRPr="00AA3F66">
        <w:t xml:space="preserve"> качество на публичните финанси</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414092AC" w14:textId="77777777" w:rsidR="001C7D38" w:rsidRPr="001C7D38" w:rsidRDefault="001C7D38" w:rsidP="00D708C4">
      <w:pPr>
        <w:rPr>
          <w:rFonts w:cs="Times New Roman"/>
          <w:szCs w:val="24"/>
        </w:rPr>
      </w:pPr>
      <w:r w:rsidRPr="001C7D38">
        <w:rPr>
          <w:rFonts w:cs="Times New Roman"/>
          <w:szCs w:val="24"/>
        </w:rPr>
        <w:t>Приемането на бюджетната процедура е от ключово значение за изготвянето на основните бюджетни документи, тъй като тя включва сроковете, разпределението на отговорностите и изискванията за съставянето на средносрочната бюджетна прогноза и на проекта на държавния бюджет и обхваща всички бюджетни организации, както и юридически лица, контролирани от държавата и/или от общините, които не са част от консолидираната фискална програма, но попадат в обхвата на сектор „Държавно управление“.</w:t>
      </w:r>
    </w:p>
    <w:p w14:paraId="6547ACDE" w14:textId="77777777" w:rsidR="001C7D38" w:rsidRPr="001C7D38" w:rsidRDefault="001C7D38" w:rsidP="00D708C4">
      <w:pPr>
        <w:rPr>
          <w:rFonts w:cs="Times New Roman"/>
          <w:szCs w:val="24"/>
        </w:rPr>
      </w:pPr>
      <w:r w:rsidRPr="001C7D38">
        <w:rPr>
          <w:rFonts w:cs="Times New Roman"/>
          <w:szCs w:val="24"/>
        </w:rPr>
        <w:t xml:space="preserve">Съставянето на бюджетната процедура за 2026 г. предполагаше при разработването на националните бюджетни документи да се стъпи на приетите бюджетни закони за 2025 г., както и на други документи, чието изготвяне е регламентирано в бюджетната процедура за 2025 г., а също и на Националния средносрочен фискално-структурен план на Република България за периода 2025-2028 година, одобрен с Решение № 111 на Министерския съвет от 2025 г., който съдържа политики, приоритети, реформи и планове за инвестиции в средносрочен хоризонт. </w:t>
      </w:r>
    </w:p>
    <w:p w14:paraId="09BFBF6E" w14:textId="77777777" w:rsidR="001C7D38" w:rsidRPr="001C7D38" w:rsidRDefault="001C7D38" w:rsidP="00D708C4">
      <w:pPr>
        <w:rPr>
          <w:rFonts w:cs="Times New Roman"/>
          <w:szCs w:val="24"/>
        </w:rPr>
      </w:pPr>
      <w:r w:rsidRPr="001C7D38">
        <w:rPr>
          <w:rFonts w:cs="Times New Roman"/>
          <w:szCs w:val="24"/>
        </w:rPr>
        <w:t>Подготовката на Бюджет 2025 и АСБП за периода 2025-2028 г. беше повлияна от различни фактори и реализирана в сложна политическа обстановка в условията на проведени извънредни парламентарни избори през м. юни и октомври 2024 г. и предвид забавянето при сформирането на редовно правителство след проведените парламентарни избори.</w:t>
      </w:r>
    </w:p>
    <w:p w14:paraId="1C1F9F54" w14:textId="77777777" w:rsidR="001C7D38" w:rsidRPr="001C7D38" w:rsidRDefault="001C7D38" w:rsidP="00D708C4">
      <w:pPr>
        <w:rPr>
          <w:rFonts w:cs="Times New Roman"/>
          <w:szCs w:val="24"/>
        </w:rPr>
      </w:pPr>
      <w:r w:rsidRPr="001C7D38">
        <w:rPr>
          <w:rFonts w:cs="Times New Roman"/>
          <w:bCs/>
          <w:szCs w:val="24"/>
        </w:rPr>
        <w:lastRenderedPageBreak/>
        <w:t xml:space="preserve">На 15.01.2025 г. беше приет от Народното събрание </w:t>
      </w:r>
      <w:r w:rsidRPr="001C7D38">
        <w:rPr>
          <w:rFonts w:cs="Times New Roman"/>
          <w:bCs/>
          <w:i/>
          <w:szCs w:val="24"/>
        </w:rPr>
        <w:t xml:space="preserve">Закон за събирането на приходи и извършването на разходи през 2025 г. до приемането на Закона за държавния бюджет на Република България за 2025 г., Закона за бюджета на държавното обществено осигуряване за 2025 г. и Закона за бюджета на Националната здравноосигурителна каса за 2025 г. </w:t>
      </w:r>
      <w:r w:rsidRPr="001C7D38">
        <w:rPr>
          <w:rFonts w:cs="Times New Roman"/>
          <w:bCs/>
          <w:szCs w:val="24"/>
        </w:rPr>
        <w:t>(обн., ДВ, бр. 6 от 21.01.2025 г.) Законът уреди събирането на приходи и извършването на разходи през 2025 г. за срок, не по-дълъг от три месеца, при спазване изискванията на Закона за публичните финанси, Кодекса за социално осигуряване и Закона за здравното осигуряване. С него се определи правна рамка, която да осигури безпроблемното функциониране на държавата и общините, както и да гарантира правата и законните интереси на гражданите, предоставяйки им правна сигурност във връзка с изплащането на възнаграждения, пенсии, социални помощи и други социални плащания, ползване на данъчни преференции и облекчения, както и извършването на други плащания.</w:t>
      </w:r>
    </w:p>
    <w:p w14:paraId="04300E1F" w14:textId="77777777" w:rsidR="001C7D38" w:rsidRPr="001C7D38" w:rsidRDefault="001C7D38" w:rsidP="00D708C4">
      <w:pPr>
        <w:rPr>
          <w:rFonts w:cs="Times New Roman"/>
          <w:szCs w:val="24"/>
        </w:rPr>
      </w:pPr>
      <w:r w:rsidRPr="001C7D38">
        <w:rPr>
          <w:rFonts w:cs="Times New Roman"/>
          <w:szCs w:val="24"/>
        </w:rPr>
        <w:t>С Решения на Народното събрание от 16.01.2025 г. беше избран министър-председател, приета бе структура на Министерския съвет на Република България и беше избран Министерския съвет на Република България, който</w:t>
      </w:r>
      <w:hyperlink r:id="rId27" w:history="1">
        <w:r w:rsidRPr="001C7D38">
          <w:t xml:space="preserve"> оттегли внесените за разглеждане в Народното събрание законопроекти от служебното правителство, отмени решенията </w:t>
        </w:r>
      </w:hyperlink>
      <w:r w:rsidRPr="001C7D38">
        <w:rPr>
          <w:rFonts w:cs="Times New Roman"/>
          <w:szCs w:val="24"/>
        </w:rPr>
        <w:t>за одобряването им, като определи нов срок за внасяне на бюджетните законопроекти (РМС № 28 от 23 януари 2025 г.).</w:t>
      </w:r>
    </w:p>
    <w:p w14:paraId="429A5C01" w14:textId="77777777" w:rsidR="001C7D38" w:rsidRPr="001C7D38" w:rsidRDefault="001C7D38" w:rsidP="00D708C4">
      <w:pPr>
        <w:rPr>
          <w:rFonts w:cs="Times New Roman"/>
          <w:szCs w:val="24"/>
        </w:rPr>
      </w:pPr>
      <w:r w:rsidRPr="001C7D38">
        <w:rPr>
          <w:rFonts w:cs="Times New Roman"/>
          <w:szCs w:val="24"/>
        </w:rPr>
        <w:t xml:space="preserve">Рамката на Бюджет 2025 не бе приета навреме, а съставянето и представянето пред Европейската комисия на първия национален средносрочен фискално-структурен план (с хоризонт поне четири години) беше отложено за края на м. февруари 2025 г., доколкото същият съдържа политики, приоритети, реформи и планове за инвестиции в средносрочен хоризонт, което е функция на редовно правителство с ясни ангажименти, заложени в управленска програма. </w:t>
      </w:r>
    </w:p>
    <w:p w14:paraId="36C87AAA" w14:textId="77777777" w:rsidR="001C7D38" w:rsidRPr="001C7D38" w:rsidRDefault="001C7D38" w:rsidP="00D708C4">
      <w:pPr>
        <w:rPr>
          <w:rFonts w:cs="Times New Roman"/>
          <w:szCs w:val="24"/>
        </w:rPr>
      </w:pPr>
      <w:r w:rsidRPr="001C7D38">
        <w:rPr>
          <w:rFonts w:cs="Times New Roman"/>
          <w:szCs w:val="24"/>
        </w:rPr>
        <w:t xml:space="preserve">В кратки срокове през м. февруари 2025 г. се изготвиха проектите на трите бюджетни закона за 2025 г. и актуализирана бюджетна рамка за периода 2025-2028 г., които да съответстват на политическите приоритети за управленския мандат на правителството. </w:t>
      </w:r>
    </w:p>
    <w:p w14:paraId="44169F9A" w14:textId="77777777" w:rsidR="001C7D38" w:rsidRPr="001C7D38" w:rsidRDefault="001C7D38" w:rsidP="00D708C4">
      <w:pPr>
        <w:rPr>
          <w:rFonts w:cs="Times New Roman"/>
          <w:szCs w:val="24"/>
        </w:rPr>
      </w:pPr>
      <w:r w:rsidRPr="001C7D38">
        <w:rPr>
          <w:rFonts w:cs="Times New Roman"/>
          <w:szCs w:val="24"/>
        </w:rPr>
        <w:t xml:space="preserve">С </w:t>
      </w:r>
      <w:r w:rsidRPr="001C7D38">
        <w:rPr>
          <w:rFonts w:cs="Times New Roman"/>
          <w:i/>
          <w:szCs w:val="24"/>
        </w:rPr>
        <w:t>Решение № 88 от 24 февруари 2025 г. на Министерския съвет</w:t>
      </w:r>
      <w:r w:rsidRPr="001C7D38">
        <w:rPr>
          <w:rFonts w:cs="Times New Roman"/>
          <w:szCs w:val="24"/>
        </w:rPr>
        <w:t xml:space="preserve"> бяха одобрени законопроектът за държавния бюджет за 2025 г. и Актуализираната средносрочна бюджетна прогноза за периода 2025-2028 г.</w:t>
      </w:r>
    </w:p>
    <w:p w14:paraId="32F5BA9A" w14:textId="77777777" w:rsidR="001C7D38" w:rsidRPr="001C7D38" w:rsidRDefault="001C7D38" w:rsidP="00D708C4">
      <w:pPr>
        <w:rPr>
          <w:rFonts w:cs="Times New Roman"/>
          <w:szCs w:val="24"/>
        </w:rPr>
      </w:pPr>
      <w:r w:rsidRPr="001C7D38">
        <w:rPr>
          <w:rFonts w:cs="Times New Roman"/>
          <w:i/>
          <w:szCs w:val="24"/>
        </w:rPr>
        <w:t>Законът за държавния бюджет на Република България за 2025 г.</w:t>
      </w:r>
      <w:r w:rsidRPr="001C7D38">
        <w:rPr>
          <w:rFonts w:cs="Times New Roman"/>
          <w:szCs w:val="24"/>
        </w:rPr>
        <w:t xml:space="preserve"> беше приет от Народното събрание на 21 март 2025 г. и обнародван в „Държавен вестник“, бр. 26 (извънреден) от 27 март 2025 г.</w:t>
      </w:r>
    </w:p>
    <w:p w14:paraId="18046FC1" w14:textId="77777777" w:rsidR="001C7D38" w:rsidRPr="001C7D38" w:rsidRDefault="001C7D38" w:rsidP="00D708C4">
      <w:pPr>
        <w:rPr>
          <w:rFonts w:cs="Times New Roman"/>
          <w:szCs w:val="24"/>
        </w:rPr>
      </w:pPr>
      <w:r w:rsidRPr="001C7D38">
        <w:rPr>
          <w:rFonts w:cs="Times New Roman"/>
          <w:i/>
          <w:szCs w:val="24"/>
        </w:rPr>
        <w:t xml:space="preserve">Постановление № 28 от 16 април 2025 г. на Министерския съвет за изпълнението на държавния бюджет на Република България за 2025 г. </w:t>
      </w:r>
      <w:r w:rsidRPr="001C7D38">
        <w:rPr>
          <w:rFonts w:cs="Times New Roman"/>
          <w:szCs w:val="24"/>
        </w:rPr>
        <w:t>беше прието и обнародвано в „Държавен вестник“, бр. 33 (извънреден) от 17.04.2025 г.</w:t>
      </w:r>
    </w:p>
    <w:p w14:paraId="7D3FEF5D" w14:textId="77777777" w:rsidR="001C7D38" w:rsidRPr="001C7D38" w:rsidRDefault="001C7D38" w:rsidP="00D708C4">
      <w:pPr>
        <w:rPr>
          <w:rFonts w:cs="Times New Roman"/>
          <w:szCs w:val="24"/>
          <w:lang w:bidi="bg-BG"/>
        </w:rPr>
      </w:pPr>
      <w:r w:rsidRPr="001C7D38">
        <w:rPr>
          <w:rFonts w:cs="Times New Roman"/>
          <w:szCs w:val="24"/>
          <w:lang w:bidi="bg-BG"/>
        </w:rPr>
        <w:t>Целите на фискалната политика и параметрите на бюджетната рамка са съобразени с приоритетите за запазване на фискалната устойчивост в средносрочен план и с необходимостта от реализиране на приходни мерки и осигуряване на разходни политики. При тези параметри на прогнозата се изпълни фискалният критерий за приемане на България към еврозоната.</w:t>
      </w:r>
    </w:p>
    <w:p w14:paraId="18CEC217" w14:textId="77777777" w:rsidR="001C7D38" w:rsidRPr="001C7D38" w:rsidRDefault="001C7D38" w:rsidP="00D708C4">
      <w:pPr>
        <w:rPr>
          <w:rFonts w:cs="Times New Roman"/>
          <w:szCs w:val="24"/>
        </w:rPr>
      </w:pPr>
      <w:r w:rsidRPr="001C7D38">
        <w:rPr>
          <w:rFonts w:cs="Times New Roman"/>
          <w:bCs/>
          <w:szCs w:val="24"/>
        </w:rPr>
        <w:t>Предвид изложените обстоятелства</w:t>
      </w:r>
      <w:r w:rsidRPr="00850002">
        <w:rPr>
          <w:rFonts w:cs="Times New Roman"/>
          <w:bCs/>
          <w:szCs w:val="24"/>
        </w:rPr>
        <w:t xml:space="preserve">, </w:t>
      </w:r>
      <w:r w:rsidRPr="00850002">
        <w:rPr>
          <w:rFonts w:cs="Times New Roman"/>
          <w:szCs w:val="24"/>
        </w:rPr>
        <w:t>бюджетната процедура за 2026 г</w:t>
      </w:r>
      <w:r w:rsidRPr="001C7D38">
        <w:rPr>
          <w:rFonts w:cs="Times New Roman"/>
          <w:b/>
          <w:szCs w:val="24"/>
        </w:rPr>
        <w:t>.</w:t>
      </w:r>
      <w:r w:rsidRPr="001C7D38">
        <w:rPr>
          <w:rFonts w:cs="Times New Roman"/>
          <w:szCs w:val="24"/>
        </w:rPr>
        <w:t xml:space="preserve"> беше приета с Решение № 474 от 17 юли 2025 г. на Министерския съвет на основание чл. 67, ал. 1 от Закона за публичните финанси.</w:t>
      </w:r>
    </w:p>
    <w:p w14:paraId="4EF8B735" w14:textId="77777777" w:rsidR="001C7D38" w:rsidRPr="001C7D38" w:rsidRDefault="001C7D38" w:rsidP="00D708C4">
      <w:pPr>
        <w:rPr>
          <w:rFonts w:cs="Times New Roman"/>
          <w:szCs w:val="24"/>
        </w:rPr>
      </w:pPr>
      <w:r w:rsidRPr="001C7D38">
        <w:rPr>
          <w:rFonts w:cs="Times New Roman"/>
          <w:szCs w:val="24"/>
        </w:rPr>
        <w:lastRenderedPageBreak/>
        <w:t xml:space="preserve">С бюджетната процедура се цели да се създаде необходимата организация и координация между отделните разпоредители с бюджет в процеса на бюджетно планиране и съставянето на основните бюджетни документи и рамката на Бюджет 2026. </w:t>
      </w:r>
    </w:p>
    <w:p w14:paraId="369957B4" w14:textId="77777777" w:rsidR="001C7D38" w:rsidRPr="001C7D38" w:rsidRDefault="001C7D38" w:rsidP="00D708C4">
      <w:pPr>
        <w:rPr>
          <w:rFonts w:cs="Times New Roman"/>
          <w:szCs w:val="24"/>
        </w:rPr>
      </w:pPr>
      <w:r w:rsidRPr="001C7D38">
        <w:rPr>
          <w:rFonts w:cs="Times New Roman"/>
          <w:szCs w:val="24"/>
        </w:rPr>
        <w:t>Бюджетната процедура е в съответствие с приоритетите и целите в приетата от правителството Програма за управление на Република България за периода 2025-2029 г. за постигане на балансирана фискална политика, завършване на процеса към присъединяване на България към Еврозоната и въвеждане на еврото като официална валута в България.</w:t>
      </w:r>
    </w:p>
    <w:p w14:paraId="33C65A00" w14:textId="77777777" w:rsidR="001C7D38" w:rsidRPr="001C7D38" w:rsidRDefault="001C7D38" w:rsidP="00D708C4">
      <w:pPr>
        <w:rPr>
          <w:rFonts w:cs="Times New Roman"/>
          <w:szCs w:val="24"/>
        </w:rPr>
      </w:pPr>
      <w:r w:rsidRPr="001C7D38">
        <w:rPr>
          <w:rFonts w:cs="Times New Roman"/>
          <w:szCs w:val="24"/>
        </w:rPr>
        <w:t xml:space="preserve">Въпреки по-късното изготвяне на процедурата през настоящата година поради забавянето при подготовката и приемането на бюджетните закони за 2025 г., бюджетната процедура за 2026 г. е съобразена със сроковете по Закона за публичните финанси. </w:t>
      </w:r>
    </w:p>
    <w:p w14:paraId="5B778206" w14:textId="77777777" w:rsidR="001C7D38" w:rsidRPr="001C7D38" w:rsidRDefault="001C7D38" w:rsidP="00D708C4">
      <w:pPr>
        <w:rPr>
          <w:rFonts w:cs="Times New Roman"/>
          <w:szCs w:val="24"/>
        </w:rPr>
      </w:pPr>
      <w:r w:rsidRPr="001C7D38">
        <w:rPr>
          <w:rFonts w:cs="Times New Roman"/>
          <w:szCs w:val="24"/>
        </w:rPr>
        <w:t>Във връзка с горепосоченото забавяне при изготвянето и приемането на бюджетните закони за 2025 г., с чл. 115 от Закона за държавния бюджет на Република България за 2025 г. еднократно беше уреден първият етап от бюджетната процедурата за 2026 г., като с одобряването с т. 4 от Решение № 88 на Министерския съвет от 2025 г. на Актуализираната средносрочна бюджетна прогноза за периода 2025-2028 г. се счита за одобрена и Средносрочната бюджетна прогноза за периода 2026-2028 г.</w:t>
      </w:r>
    </w:p>
    <w:p w14:paraId="12C3F9B9" w14:textId="77777777" w:rsidR="001C7D38" w:rsidRPr="001C7D38" w:rsidRDefault="001C7D38" w:rsidP="00D708C4">
      <w:pPr>
        <w:rPr>
          <w:rFonts w:cs="Times New Roman"/>
          <w:szCs w:val="24"/>
        </w:rPr>
      </w:pPr>
      <w:r w:rsidRPr="001C7D38">
        <w:rPr>
          <w:rFonts w:cs="Times New Roman"/>
          <w:szCs w:val="24"/>
        </w:rPr>
        <w:t xml:space="preserve">С бюджетната процедура са прецизирани текстовете, касаещи процедурата по разглеждане и одобрение от Министерския съвет на инвестиционните проекти, които ще се финансират с държавни и/или държавногарантирани заеми през 2026 г., включително и в съответствие с Постановление № 11 на Министерския съвет от 2025 г. (ДВ, </w:t>
      </w:r>
      <w:r w:rsidR="00B55406">
        <w:rPr>
          <w:rFonts w:cs="Times New Roman"/>
          <w:szCs w:val="24"/>
        </w:rPr>
        <w:t xml:space="preserve">бр. 15 от 2025 г.) за отменяне </w:t>
      </w:r>
      <w:r w:rsidRPr="001C7D38">
        <w:rPr>
          <w:rFonts w:cs="Times New Roman"/>
          <w:szCs w:val="24"/>
        </w:rPr>
        <w:t>на Постановление № 77 на Министерския съвет от 2023 г. за създаване на Съвет за развитие при Министерския съвет, с което се закриват функциите на Съвета. Взети са предвид и настъпилите в тази връзка изменения и допълнения в Устройствения правилник на Министерския съвет и на неговата администрация, респективно съответните изменения в Наредбата за условията, на които трябва да отговарят инвестиционните проекти, финансирани с държавни заеми, и проектите, кандидатстващи за финансиране с държавна гаранция, и за реда за тяхното разглеждане, приета с Постановление № 337 на Министерския съвет от 2015 г. (ДВ, бр. 94 от 2015 г.).</w:t>
      </w:r>
    </w:p>
    <w:p w14:paraId="034FE402" w14:textId="77777777" w:rsidR="001C7D38" w:rsidRPr="001C7D38" w:rsidRDefault="001C7D38" w:rsidP="00D708C4">
      <w:pPr>
        <w:rPr>
          <w:rFonts w:cs="Times New Roman"/>
          <w:szCs w:val="24"/>
        </w:rPr>
      </w:pPr>
      <w:r w:rsidRPr="001C7D38">
        <w:rPr>
          <w:rFonts w:cs="Times New Roman"/>
          <w:szCs w:val="24"/>
        </w:rPr>
        <w:t>Във връзка с въвеждането на еврото от 1 януари 2026 г. информацията и документите по  бюджетната процедура за 2026 г. се изготвят в евро при официален валутен курс съгласно чл. 5 от Закона за въвеждане на еврото в Република България.</w:t>
      </w:r>
    </w:p>
    <w:p w14:paraId="2AEAE43D" w14:textId="77777777" w:rsidR="001C7D38" w:rsidRPr="001C7D38" w:rsidRDefault="001C7D38" w:rsidP="00D708C4">
      <w:pPr>
        <w:rPr>
          <w:rFonts w:cs="Times New Roman"/>
          <w:szCs w:val="24"/>
          <w:lang w:val="ru-RU"/>
        </w:rPr>
      </w:pPr>
      <w:r w:rsidRPr="001C7D38">
        <w:rPr>
          <w:rFonts w:cs="Times New Roman"/>
          <w:szCs w:val="24"/>
        </w:rPr>
        <w:t>В съответствие с правомощията по чл. 67, ал. 4 от Закона за публичните финанси програмен формат на бюджет за 2026 г. ще прилагат всички първостепенни разпоредители с бюджет, чиито бюджети са част от държавния бюджет, с изключение на Народното събрание и на съдебната власт, за които това е уредено в закон. Това е инструмент на правителството за повишаване на качеството на управление на публичните финанси, подобряване процесите на планиране и изготвяне на проектобюджетите на бюджетните организации, повишаване на прозрачността и отчетността на бюджетните системи.</w:t>
      </w:r>
    </w:p>
    <w:p w14:paraId="1042C4E4" w14:textId="77777777" w:rsidR="001C7D38" w:rsidRPr="001C7D38" w:rsidRDefault="001C7D38" w:rsidP="00D708C4">
      <w:pPr>
        <w:rPr>
          <w:rFonts w:cs="Times New Roman"/>
          <w:szCs w:val="24"/>
        </w:rPr>
      </w:pPr>
      <w:r w:rsidRPr="001C7D38">
        <w:rPr>
          <w:rFonts w:cs="Times New Roman"/>
          <w:szCs w:val="24"/>
        </w:rPr>
        <w:t xml:space="preserve">В бюджетната процедура са определени сроковете и отговорностите на изпълнителната власт във връзка с функциите на Фискалния съвет в рамките на процеса по съставяне на бюджета. </w:t>
      </w:r>
    </w:p>
    <w:p w14:paraId="6C88294E" w14:textId="77777777" w:rsidR="001C7D38" w:rsidRPr="00202877" w:rsidRDefault="001C7D38" w:rsidP="00D708C4">
      <w:pPr>
        <w:rPr>
          <w:rFonts w:cs="Times New Roman"/>
          <w:szCs w:val="24"/>
        </w:rPr>
      </w:pPr>
      <w:r w:rsidRPr="001C7D38">
        <w:rPr>
          <w:rFonts w:cs="Times New Roman"/>
          <w:szCs w:val="24"/>
        </w:rPr>
        <w:t xml:space="preserve">Реализирането на бюджетната процедура създава условия за прозрачност и представлява елемент на доброто управление на публичните финанси. Добросъвестното участие в </w:t>
      </w:r>
      <w:r w:rsidRPr="001C7D38">
        <w:rPr>
          <w:rFonts w:cs="Times New Roman"/>
          <w:szCs w:val="24"/>
        </w:rPr>
        <w:lastRenderedPageBreak/>
        <w:t>бюджетния процес на всички бюджетни организации е условие за цялостния успех на процедурата и предпоставка за постигане на желаните крайни резултати от провеждането й, а именно устойчиви средносрочна бюджетна прогноза и годишен държавен бюджет.</w:t>
      </w:r>
    </w:p>
    <w:p w14:paraId="3EA5844E" w14:textId="77777777" w:rsidR="001C7D38" w:rsidRPr="001C7D38" w:rsidRDefault="001C7D38" w:rsidP="00D708C4">
      <w:pPr>
        <w:rPr>
          <w:rFonts w:cs="Times New Roman"/>
          <w:szCs w:val="24"/>
        </w:rPr>
      </w:pPr>
      <w:r w:rsidRPr="001C7D38">
        <w:rPr>
          <w:rFonts w:cs="Times New Roman"/>
          <w:szCs w:val="24"/>
        </w:rPr>
        <w:t xml:space="preserve">През м. </w:t>
      </w:r>
      <w:r w:rsidRPr="00202877">
        <w:rPr>
          <w:rFonts w:cs="Times New Roman"/>
          <w:szCs w:val="24"/>
        </w:rPr>
        <w:t xml:space="preserve">април </w:t>
      </w:r>
      <w:r w:rsidRPr="001C7D38">
        <w:rPr>
          <w:rFonts w:cs="Times New Roman"/>
          <w:szCs w:val="24"/>
        </w:rPr>
        <w:t xml:space="preserve">2024 г. беше приет </w:t>
      </w:r>
      <w:r w:rsidRPr="00202877">
        <w:rPr>
          <w:rFonts w:cs="Times New Roman"/>
          <w:szCs w:val="24"/>
        </w:rPr>
        <w:t xml:space="preserve">пакет от законодателни актове, с които </w:t>
      </w:r>
      <w:r w:rsidRPr="001C7D38">
        <w:rPr>
          <w:rFonts w:cs="Times New Roman"/>
          <w:szCs w:val="24"/>
        </w:rPr>
        <w:t xml:space="preserve">беше </w:t>
      </w:r>
      <w:r w:rsidRPr="00202877">
        <w:rPr>
          <w:rFonts w:cs="Times New Roman"/>
          <w:szCs w:val="24"/>
        </w:rPr>
        <w:t>реформ</w:t>
      </w:r>
      <w:r w:rsidRPr="001C7D38">
        <w:rPr>
          <w:rFonts w:cs="Times New Roman"/>
          <w:szCs w:val="24"/>
        </w:rPr>
        <w:t>ирана и ревизирана</w:t>
      </w:r>
      <w:r w:rsidRPr="00202877">
        <w:rPr>
          <w:rFonts w:cs="Times New Roman"/>
          <w:szCs w:val="24"/>
        </w:rPr>
        <w:t xml:space="preserve"> европейската рамка за икономическо управление. Тези законодателни </w:t>
      </w:r>
      <w:r w:rsidRPr="001C7D38">
        <w:rPr>
          <w:rFonts w:cs="Times New Roman"/>
          <w:szCs w:val="24"/>
        </w:rPr>
        <w:t xml:space="preserve">актове </w:t>
      </w:r>
      <w:r w:rsidRPr="00202877">
        <w:rPr>
          <w:rFonts w:cs="Times New Roman"/>
          <w:szCs w:val="24"/>
        </w:rPr>
        <w:t>касаят Пакта за стабилност и растеж и по-конкретно</w:t>
      </w:r>
      <w:r w:rsidRPr="001C7D38">
        <w:rPr>
          <w:rFonts w:cs="Times New Roman"/>
          <w:szCs w:val="24"/>
        </w:rPr>
        <w:t>:</w:t>
      </w:r>
    </w:p>
    <w:p w14:paraId="6ED17E9F" w14:textId="77777777" w:rsidR="001C7D38" w:rsidRPr="001C7D38" w:rsidRDefault="001C7D38" w:rsidP="00D708C4">
      <w:pPr>
        <w:numPr>
          <w:ilvl w:val="0"/>
          <w:numId w:val="23"/>
        </w:numPr>
        <w:rPr>
          <w:rFonts w:cs="Times New Roman"/>
          <w:szCs w:val="24"/>
        </w:rPr>
      </w:pPr>
      <w:r w:rsidRPr="001C7D38">
        <w:rPr>
          <w:rFonts w:cs="Times New Roman"/>
          <w:szCs w:val="24"/>
        </w:rPr>
        <w:t>Регламент (ЕС) 2024/1263 на Европейския парламент и на Съвета от 29 април 2024 година за ефективна координация на икономическите политики и за многостранно бюджетно наблюдение и за отмяна на Регламент (ЕО) № 1466/97 на Съвета;</w:t>
      </w:r>
    </w:p>
    <w:p w14:paraId="75F3953E" w14:textId="77777777" w:rsidR="001C7D38" w:rsidRPr="001C7D38" w:rsidRDefault="001C7D38" w:rsidP="00D708C4">
      <w:pPr>
        <w:numPr>
          <w:ilvl w:val="0"/>
          <w:numId w:val="23"/>
        </w:numPr>
        <w:rPr>
          <w:rFonts w:cs="Times New Roman"/>
          <w:szCs w:val="24"/>
        </w:rPr>
      </w:pPr>
      <w:r w:rsidRPr="001C7D38">
        <w:rPr>
          <w:rFonts w:cs="Times New Roman"/>
          <w:szCs w:val="24"/>
        </w:rPr>
        <w:t>Регламент (ЕС) 2024/1264 на Европейския парламент и на Съвета от 29 април 2024 година за изменение на Регламент (ЕО) № 1467/97 за ускоряване и изясняване на прилагането на процедурата при прекомерен дефицит;</w:t>
      </w:r>
    </w:p>
    <w:p w14:paraId="1CB1528D" w14:textId="77777777" w:rsidR="001C7D38" w:rsidRPr="001C7D38" w:rsidRDefault="001C7D38" w:rsidP="00D708C4">
      <w:pPr>
        <w:numPr>
          <w:ilvl w:val="0"/>
          <w:numId w:val="23"/>
        </w:numPr>
        <w:rPr>
          <w:rFonts w:cs="Times New Roman"/>
          <w:szCs w:val="24"/>
        </w:rPr>
      </w:pPr>
      <w:r w:rsidRPr="001C7D38">
        <w:rPr>
          <w:rFonts w:cs="Times New Roman"/>
          <w:szCs w:val="24"/>
        </w:rPr>
        <w:t>Директива (ЕС) 2024/1265 на Съвета от 29 април 2024 година за изменение на Директива 2011/85/ЕС относно изискванията за бюджетните рамки на държавите членки;</w:t>
      </w:r>
    </w:p>
    <w:p w14:paraId="59B8BBC5" w14:textId="77777777" w:rsidR="001C7D38" w:rsidRPr="001C7D38" w:rsidRDefault="001C7D38" w:rsidP="00D708C4">
      <w:pPr>
        <w:rPr>
          <w:rFonts w:cs="Times New Roman"/>
          <w:szCs w:val="24"/>
        </w:rPr>
      </w:pPr>
      <w:r w:rsidRPr="001C7D38">
        <w:rPr>
          <w:rFonts w:cs="Times New Roman"/>
          <w:szCs w:val="24"/>
        </w:rPr>
        <w:t xml:space="preserve">Промените на </w:t>
      </w:r>
      <w:r w:rsidRPr="00202877">
        <w:rPr>
          <w:rFonts w:cs="Times New Roman"/>
          <w:szCs w:val="24"/>
        </w:rPr>
        <w:t>Директива 2011/85/ЕС относно изискванията за бюджетните рамки на държавите членки с</w:t>
      </w:r>
      <w:r w:rsidRPr="001C7D38">
        <w:rPr>
          <w:rFonts w:cs="Times New Roman"/>
          <w:szCs w:val="24"/>
        </w:rPr>
        <w:t>ледва д</w:t>
      </w:r>
      <w:r w:rsidRPr="00202877">
        <w:rPr>
          <w:rFonts w:cs="Times New Roman"/>
          <w:szCs w:val="24"/>
        </w:rPr>
        <w:t>а</w:t>
      </w:r>
      <w:r w:rsidRPr="001C7D38">
        <w:rPr>
          <w:rFonts w:cs="Times New Roman"/>
          <w:szCs w:val="24"/>
        </w:rPr>
        <w:t xml:space="preserve"> бъдат</w:t>
      </w:r>
      <w:r w:rsidRPr="00202877">
        <w:rPr>
          <w:rFonts w:cs="Times New Roman"/>
          <w:szCs w:val="24"/>
        </w:rPr>
        <w:t xml:space="preserve"> транспонирани в </w:t>
      </w:r>
      <w:r w:rsidRPr="001C7D38">
        <w:rPr>
          <w:rFonts w:cs="Times New Roman"/>
          <w:szCs w:val="24"/>
        </w:rPr>
        <w:t xml:space="preserve">националното бюджетно законодателство и </w:t>
      </w:r>
      <w:proofErr w:type="spellStart"/>
      <w:r w:rsidRPr="001C7D38">
        <w:rPr>
          <w:rFonts w:cs="Times New Roman"/>
          <w:szCs w:val="24"/>
        </w:rPr>
        <w:t>понастоящаем</w:t>
      </w:r>
      <w:proofErr w:type="spellEnd"/>
      <w:r w:rsidRPr="001C7D38">
        <w:rPr>
          <w:rFonts w:cs="Times New Roman"/>
          <w:szCs w:val="24"/>
        </w:rPr>
        <w:t xml:space="preserve"> е в ход и</w:t>
      </w:r>
      <w:r w:rsidRPr="00202877">
        <w:rPr>
          <w:rFonts w:cs="Times New Roman"/>
          <w:szCs w:val="24"/>
        </w:rPr>
        <w:t>зготвя</w:t>
      </w:r>
      <w:r w:rsidRPr="001C7D38">
        <w:rPr>
          <w:rFonts w:cs="Times New Roman"/>
          <w:szCs w:val="24"/>
        </w:rPr>
        <w:t>нето</w:t>
      </w:r>
      <w:r w:rsidRPr="00202877">
        <w:rPr>
          <w:rFonts w:cs="Times New Roman"/>
          <w:szCs w:val="24"/>
        </w:rPr>
        <w:t xml:space="preserve"> </w:t>
      </w:r>
      <w:r w:rsidRPr="001C7D38">
        <w:rPr>
          <w:rFonts w:cs="Times New Roman"/>
          <w:szCs w:val="24"/>
        </w:rPr>
        <w:t>на</w:t>
      </w:r>
      <w:r w:rsidRPr="00202877">
        <w:rPr>
          <w:rFonts w:cs="Times New Roman"/>
          <w:szCs w:val="24"/>
        </w:rPr>
        <w:t xml:space="preserve"> предложения за промени в Закона за публичните финанси</w:t>
      </w:r>
      <w:r w:rsidRPr="001C7D38">
        <w:rPr>
          <w:rFonts w:cs="Times New Roman"/>
          <w:szCs w:val="24"/>
        </w:rPr>
        <w:t>, Закона за Фискален съвет и автоматични корективни механизми и др.</w:t>
      </w:r>
      <w:r w:rsidRPr="00202877">
        <w:rPr>
          <w:rFonts w:cs="Times New Roman"/>
          <w:szCs w:val="24"/>
        </w:rPr>
        <w:t>, свързани с необходимостта от привеждане на националното законодателство в съответствие с реформираната рамка за икономическо управление на Европейския съюз</w:t>
      </w:r>
      <w:r w:rsidRPr="001C7D38">
        <w:rPr>
          <w:rFonts w:cs="Times New Roman"/>
          <w:szCs w:val="24"/>
        </w:rPr>
        <w:t>.</w:t>
      </w:r>
    </w:p>
    <w:p w14:paraId="1F085886" w14:textId="77777777" w:rsidR="001C7D38" w:rsidRPr="00202877" w:rsidRDefault="001C7D38" w:rsidP="00D708C4">
      <w:pPr>
        <w:rPr>
          <w:rFonts w:cs="Times New Roman"/>
          <w:szCs w:val="24"/>
        </w:rPr>
      </w:pPr>
      <w:r w:rsidRPr="001C7D38">
        <w:rPr>
          <w:rFonts w:cs="Times New Roman"/>
          <w:szCs w:val="24"/>
        </w:rPr>
        <w:t>Освен това</w:t>
      </w:r>
      <w:r w:rsidR="00984F1D">
        <w:rPr>
          <w:rFonts w:cs="Times New Roman"/>
          <w:szCs w:val="24"/>
        </w:rPr>
        <w:t>,</w:t>
      </w:r>
      <w:r w:rsidRPr="001C7D38">
        <w:rPr>
          <w:rFonts w:cs="Times New Roman"/>
          <w:szCs w:val="24"/>
        </w:rPr>
        <w:t xml:space="preserve"> в</w:t>
      </w:r>
      <w:r w:rsidRPr="00202877">
        <w:rPr>
          <w:rFonts w:cs="Times New Roman"/>
          <w:szCs w:val="24"/>
        </w:rPr>
        <w:t xml:space="preserve">ъв връзка с </w:t>
      </w:r>
      <w:r w:rsidRPr="001C7D38">
        <w:rPr>
          <w:rFonts w:cs="Times New Roman"/>
          <w:szCs w:val="24"/>
        </w:rPr>
        <w:t xml:space="preserve">предстоящото </w:t>
      </w:r>
      <w:r w:rsidRPr="00202877">
        <w:rPr>
          <w:rFonts w:cs="Times New Roman"/>
          <w:szCs w:val="24"/>
        </w:rPr>
        <w:t>членство на България в еврозоната от 1 януари 2026 г. се предвиждат и промени в националното законодателство, свързани с прилагането на Регламент (ЕС) № 473/2013 на Европейския парламент и на Съвета от 21 май 2013 г</w:t>
      </w:r>
      <w:r w:rsidRPr="001C7D38">
        <w:rPr>
          <w:rFonts w:cs="Times New Roman"/>
          <w:szCs w:val="24"/>
        </w:rPr>
        <w:t>.</w:t>
      </w:r>
      <w:r w:rsidRPr="00202877">
        <w:rPr>
          <w:rFonts w:cs="Times New Roman"/>
          <w:szCs w:val="24"/>
        </w:rPr>
        <w:t xml:space="preserve"> относно общите разпоредби за мониторинг и оценка на проектите за бюджетни планове за гарантиране на коригирането на прекомерния дефицит на държавите членки в еврозоната.</w:t>
      </w:r>
    </w:p>
    <w:p w14:paraId="1E38CBFF" w14:textId="77777777" w:rsidR="001C7D38" w:rsidRPr="00202877" w:rsidRDefault="001C7D38" w:rsidP="00D708C4">
      <w:pPr>
        <w:rPr>
          <w:rFonts w:cs="Times New Roman"/>
          <w:szCs w:val="24"/>
        </w:rPr>
      </w:pPr>
      <w:r w:rsidRPr="00202877">
        <w:rPr>
          <w:rFonts w:cs="Times New Roman"/>
          <w:szCs w:val="24"/>
        </w:rPr>
        <w:t>В хода на подготовката на промените в Закона за публичните финанси се дискутира и оптимизирането на фискалните правила с оглед необходимостта от тяхното съответствие с ревизираната рамка за икономическо управление на ЕС и въвеждането на единен оперативен показател за мониторинг – ръст на нетните разходи.</w:t>
      </w:r>
      <w:r w:rsidRPr="001C7D38">
        <w:rPr>
          <w:rFonts w:cs="Times New Roman"/>
          <w:szCs w:val="24"/>
        </w:rPr>
        <w:t xml:space="preserve"> </w:t>
      </w:r>
      <w:r w:rsidRPr="00202877">
        <w:rPr>
          <w:rFonts w:cs="Times New Roman"/>
          <w:szCs w:val="24"/>
        </w:rPr>
        <w:t xml:space="preserve">Запазват се т.нар. </w:t>
      </w:r>
      <w:proofErr w:type="spellStart"/>
      <w:r w:rsidRPr="00202877">
        <w:rPr>
          <w:rFonts w:cs="Times New Roman"/>
          <w:szCs w:val="24"/>
        </w:rPr>
        <w:t>Маастрихтски</w:t>
      </w:r>
      <w:proofErr w:type="spellEnd"/>
      <w:r w:rsidRPr="00202877">
        <w:rPr>
          <w:rFonts w:cs="Times New Roman"/>
          <w:szCs w:val="24"/>
        </w:rPr>
        <w:t xml:space="preserve"> критерии (допустим дефицит от 3 на сто от БВП и дълг от 60 на сто от БВП)</w:t>
      </w:r>
      <w:r w:rsidRPr="001C7D38">
        <w:rPr>
          <w:rFonts w:cs="Times New Roman"/>
          <w:szCs w:val="24"/>
        </w:rPr>
        <w:t>, като се планира в</w:t>
      </w:r>
      <w:r w:rsidRPr="00202877">
        <w:rPr>
          <w:rFonts w:cs="Times New Roman"/>
          <w:szCs w:val="24"/>
        </w:rPr>
        <w:t>ъвежда</w:t>
      </w:r>
      <w:r w:rsidRPr="001C7D38">
        <w:rPr>
          <w:rFonts w:cs="Times New Roman"/>
          <w:szCs w:val="24"/>
        </w:rPr>
        <w:t>нето</w:t>
      </w:r>
      <w:r w:rsidRPr="00202877">
        <w:rPr>
          <w:rFonts w:cs="Times New Roman"/>
          <w:szCs w:val="24"/>
        </w:rPr>
        <w:t xml:space="preserve"> </w:t>
      </w:r>
      <w:r w:rsidRPr="001C7D38">
        <w:rPr>
          <w:rFonts w:cs="Times New Roman"/>
          <w:szCs w:val="24"/>
        </w:rPr>
        <w:t>на</w:t>
      </w:r>
      <w:r w:rsidRPr="00202877">
        <w:rPr>
          <w:rFonts w:cs="Times New Roman"/>
          <w:szCs w:val="24"/>
        </w:rPr>
        <w:t xml:space="preserve"> дерогация за разходите, свързани с инвестиции за отбрана.</w:t>
      </w:r>
      <w:r w:rsidR="00984F1D">
        <w:rPr>
          <w:rFonts w:cs="Times New Roman"/>
          <w:szCs w:val="24"/>
        </w:rPr>
        <w:t xml:space="preserve"> </w:t>
      </w:r>
      <w:r w:rsidRPr="001C7D38">
        <w:rPr>
          <w:rFonts w:cs="Times New Roman"/>
          <w:szCs w:val="24"/>
        </w:rPr>
        <w:t xml:space="preserve">Разглеждат се и потенциалните промени на </w:t>
      </w:r>
      <w:proofErr w:type="spellStart"/>
      <w:r w:rsidRPr="001C7D38">
        <w:rPr>
          <w:rFonts w:cs="Times New Roman"/>
          <w:szCs w:val="24"/>
        </w:rPr>
        <w:t>сруктурата</w:t>
      </w:r>
      <w:proofErr w:type="spellEnd"/>
      <w:r w:rsidRPr="001C7D38">
        <w:rPr>
          <w:rFonts w:cs="Times New Roman"/>
          <w:szCs w:val="24"/>
        </w:rPr>
        <w:t>, съдържанието и времевия обхват</w:t>
      </w:r>
      <w:r w:rsidRPr="00202877">
        <w:rPr>
          <w:rFonts w:cs="Times New Roman"/>
          <w:szCs w:val="24"/>
        </w:rPr>
        <w:t xml:space="preserve"> на </w:t>
      </w:r>
      <w:r w:rsidRPr="001C7D38">
        <w:rPr>
          <w:rFonts w:cs="Times New Roman"/>
          <w:szCs w:val="24"/>
        </w:rPr>
        <w:t xml:space="preserve">националните </w:t>
      </w:r>
      <w:r w:rsidRPr="00202877">
        <w:rPr>
          <w:rFonts w:cs="Times New Roman"/>
          <w:szCs w:val="24"/>
        </w:rPr>
        <w:t>бюджетни документи</w:t>
      </w:r>
      <w:r w:rsidRPr="001C7D38">
        <w:rPr>
          <w:rFonts w:cs="Times New Roman"/>
          <w:szCs w:val="24"/>
        </w:rPr>
        <w:t xml:space="preserve"> и </w:t>
      </w:r>
      <w:r w:rsidRPr="00202877">
        <w:rPr>
          <w:rFonts w:cs="Times New Roman"/>
          <w:szCs w:val="24"/>
        </w:rPr>
        <w:t>съответствие</w:t>
      </w:r>
      <w:r w:rsidRPr="001C7D38">
        <w:rPr>
          <w:rFonts w:cs="Times New Roman"/>
          <w:szCs w:val="24"/>
        </w:rPr>
        <w:t>то</w:t>
      </w:r>
      <w:r w:rsidRPr="00202877">
        <w:rPr>
          <w:rFonts w:cs="Times New Roman"/>
          <w:szCs w:val="24"/>
        </w:rPr>
        <w:t xml:space="preserve"> на прогнозните фискални параметри, допускания и политики с тези, заложени в националния </w:t>
      </w:r>
      <w:r w:rsidRPr="001C7D38">
        <w:rPr>
          <w:rFonts w:cs="Times New Roman"/>
          <w:szCs w:val="24"/>
        </w:rPr>
        <w:t>средносрочен фискално-структурен план</w:t>
      </w:r>
      <w:r w:rsidRPr="00202877">
        <w:rPr>
          <w:rFonts w:cs="Times New Roman"/>
          <w:szCs w:val="24"/>
        </w:rPr>
        <w:t xml:space="preserve"> – за годините, които се при</w:t>
      </w:r>
      <w:r w:rsidRPr="001C7D38">
        <w:rPr>
          <w:rFonts w:cs="Times New Roman"/>
          <w:szCs w:val="24"/>
        </w:rPr>
        <w:t>п</w:t>
      </w:r>
      <w:r w:rsidRPr="00202877">
        <w:rPr>
          <w:rFonts w:cs="Times New Roman"/>
          <w:szCs w:val="24"/>
        </w:rPr>
        <w:t>окриват с години</w:t>
      </w:r>
      <w:r w:rsidRPr="001C7D38">
        <w:rPr>
          <w:rFonts w:cs="Times New Roman"/>
          <w:szCs w:val="24"/>
        </w:rPr>
        <w:t>те</w:t>
      </w:r>
      <w:r w:rsidRPr="00202877">
        <w:rPr>
          <w:rFonts w:cs="Times New Roman"/>
          <w:szCs w:val="24"/>
        </w:rPr>
        <w:t xml:space="preserve"> от плана, а останалите години индикативно - при непроменени политики и действащо законодателство</w:t>
      </w:r>
      <w:r w:rsidRPr="001C7D38">
        <w:rPr>
          <w:rFonts w:cs="Times New Roman"/>
          <w:szCs w:val="24"/>
        </w:rPr>
        <w:t xml:space="preserve"> и др</w:t>
      </w:r>
      <w:r w:rsidRPr="00202877">
        <w:rPr>
          <w:rFonts w:cs="Times New Roman"/>
          <w:szCs w:val="24"/>
        </w:rPr>
        <w:t>.</w:t>
      </w:r>
    </w:p>
    <w:p w14:paraId="03F6BBC6" w14:textId="77777777" w:rsidR="001C7D38" w:rsidRPr="00202877" w:rsidRDefault="001C7D38" w:rsidP="00D708C4">
      <w:pPr>
        <w:rPr>
          <w:rFonts w:cs="Times New Roman"/>
          <w:szCs w:val="24"/>
        </w:rPr>
      </w:pPr>
      <w:r w:rsidRPr="00202877">
        <w:rPr>
          <w:rFonts w:cs="Times New Roman"/>
          <w:szCs w:val="24"/>
        </w:rPr>
        <w:t xml:space="preserve">Целта на реформата е да улесни ефективния икономически надзор, утвърден в обща рамка, която гарантира равно третиране и многостранна координация на политиките. Рамката следва да бъде устойчива на променящите се икономически условия и </w:t>
      </w:r>
      <w:r w:rsidRPr="00202877">
        <w:rPr>
          <w:rFonts w:cs="Times New Roman"/>
          <w:szCs w:val="24"/>
        </w:rPr>
        <w:lastRenderedPageBreak/>
        <w:t>несигурността, което изисква стабилни и предвидими правила и клаузи за дерогация</w:t>
      </w:r>
      <w:r w:rsidRPr="001C7D38">
        <w:rPr>
          <w:rFonts w:cs="Times New Roman"/>
          <w:szCs w:val="24"/>
        </w:rPr>
        <w:t xml:space="preserve"> </w:t>
      </w:r>
      <w:r w:rsidRPr="00202877">
        <w:rPr>
          <w:rFonts w:cs="Times New Roman"/>
          <w:szCs w:val="24"/>
        </w:rPr>
        <w:t>при извънредни обстоятелства. Рамката също така следва да прилага интегриран подход, при който инструментите за надзор се допълват взаимно по отношение на Европейския семестър. Ефективното предотвратяване и коригиране на макроикономическите дисбаланси ще изисква по-добро откриване на възникващи рискове, като същевременно поставя повече акцент върху развитието на ЕС и еврозоната, както и върху имплементирането на политиките.</w:t>
      </w:r>
    </w:p>
    <w:p w14:paraId="2B8E4F02" w14:textId="77777777" w:rsidR="00964E34" w:rsidRPr="00964E34" w:rsidRDefault="00964E34" w:rsidP="00D708C4">
      <w:pPr>
        <w:rPr>
          <w:rFonts w:cs="Times New Roman"/>
          <w:szCs w:val="24"/>
        </w:rPr>
      </w:pPr>
      <w:r w:rsidRPr="00CC2258">
        <w:rPr>
          <w:rFonts w:cs="Times New Roman"/>
          <w:szCs w:val="24"/>
        </w:rPr>
        <w:t xml:space="preserve">Качеството на публичните финанси се </w:t>
      </w:r>
      <w:r w:rsidRPr="00964E34">
        <w:rPr>
          <w:rFonts w:cs="Times New Roman"/>
          <w:szCs w:val="24"/>
        </w:rPr>
        <w:t>гради на основата на разработваните макроикономически и бюджетни прогнози в подкрепа на провежданата от правителството фискална политика.</w:t>
      </w:r>
    </w:p>
    <w:p w14:paraId="0D79BC6C" w14:textId="77777777" w:rsidR="00964E34" w:rsidRPr="00964E34" w:rsidRDefault="00964E34" w:rsidP="00D708C4">
      <w:pPr>
        <w:rPr>
          <w:rFonts w:cs="Times New Roman"/>
          <w:szCs w:val="24"/>
        </w:rPr>
      </w:pPr>
      <w:r w:rsidRPr="00964E34">
        <w:rPr>
          <w:rFonts w:cs="Times New Roman"/>
          <w:szCs w:val="24"/>
        </w:rPr>
        <w:t>На база на проведеното през 2023 г. девето проучване през м. май 2024 г. беше присъдена и публикувана на интернет страницата на Международното бюджетно партньорство регулярната оценка за бюджетната прозрачност на страната, която се повиши на 79 пункта (с 8 пункта повече от присъдената оценка през 2022 г.), с което България запази позицията си сред втората група държави с оценка между 60 и 80 пункта (от максимални 100), което предполага, че се предоставя „значителна информация“ за бюджета.</w:t>
      </w:r>
    </w:p>
    <w:p w14:paraId="123E33A9" w14:textId="77777777" w:rsidR="00964E34" w:rsidRPr="00964E34" w:rsidRDefault="00964E34" w:rsidP="00D708C4">
      <w:pPr>
        <w:rPr>
          <w:rFonts w:cs="Times New Roman"/>
          <w:szCs w:val="24"/>
        </w:rPr>
      </w:pPr>
      <w:r w:rsidRPr="00964E34">
        <w:rPr>
          <w:rFonts w:cs="Times New Roman"/>
          <w:szCs w:val="24"/>
        </w:rPr>
        <w:t xml:space="preserve">През 2025 г. Министерството на финансите получи уведомление от Международното бюджетно партньорство, че през настоящата година България няма да бъде включена в десетото Проучване за открит бюджет предвид ограниченото финансиране на организацията и необходимостта от </w:t>
      </w:r>
      <w:proofErr w:type="spellStart"/>
      <w:r w:rsidRPr="00964E34">
        <w:rPr>
          <w:rFonts w:cs="Times New Roman"/>
          <w:szCs w:val="24"/>
        </w:rPr>
        <w:t>преприоритизиране</w:t>
      </w:r>
      <w:proofErr w:type="spellEnd"/>
      <w:r w:rsidRPr="00964E34">
        <w:rPr>
          <w:rFonts w:cs="Times New Roman"/>
          <w:szCs w:val="24"/>
        </w:rPr>
        <w:t xml:space="preserve"> на съществуващите разходи.</w:t>
      </w:r>
    </w:p>
    <w:p w14:paraId="77508540" w14:textId="77777777" w:rsidR="00964E34" w:rsidRPr="00964E34" w:rsidRDefault="00964E34" w:rsidP="00D708C4">
      <w:pPr>
        <w:rPr>
          <w:rFonts w:cs="Times New Roman"/>
          <w:szCs w:val="24"/>
        </w:rPr>
      </w:pPr>
      <w:r w:rsidRPr="00964E34">
        <w:rPr>
          <w:rFonts w:cs="Times New Roman"/>
          <w:szCs w:val="24"/>
        </w:rPr>
        <w:t>Въпреки това</w:t>
      </w:r>
      <w:r>
        <w:rPr>
          <w:rFonts w:cs="Times New Roman"/>
          <w:szCs w:val="24"/>
        </w:rPr>
        <w:t>,</w:t>
      </w:r>
      <w:r w:rsidRPr="00964E34">
        <w:rPr>
          <w:rFonts w:cs="Times New Roman"/>
          <w:szCs w:val="24"/>
        </w:rPr>
        <w:t xml:space="preserve"> Министерството на финансите си е поставило амбициозната задача да продължава последователните си стъпки за надграж</w:t>
      </w:r>
      <w:r w:rsidR="00B55406">
        <w:rPr>
          <w:rFonts w:cs="Times New Roman"/>
          <w:szCs w:val="24"/>
        </w:rPr>
        <w:t>дане на бюджетната прозрачност.</w:t>
      </w:r>
      <w:r w:rsidRPr="00964E34">
        <w:rPr>
          <w:rFonts w:cs="Times New Roman"/>
          <w:szCs w:val="24"/>
        </w:rPr>
        <w:t xml:space="preserve"> </w:t>
      </w:r>
    </w:p>
    <w:p w14:paraId="6714E48E" w14:textId="77777777" w:rsidR="00964E34" w:rsidRPr="00964E34" w:rsidRDefault="00964E34" w:rsidP="00D708C4">
      <w:pPr>
        <w:rPr>
          <w:rFonts w:cs="Times New Roman"/>
          <w:szCs w:val="24"/>
          <w:lang w:val="bg"/>
        </w:rPr>
      </w:pPr>
      <w:r w:rsidRPr="00964E34">
        <w:rPr>
          <w:rFonts w:cs="Times New Roman"/>
          <w:szCs w:val="24"/>
        </w:rPr>
        <w:t xml:space="preserve">Във връзка с прегледа на присъединяването на Република България по правните инструменти от обхвата на Комитета за висши длъжностни лица по бюджета на Организацията за икономическо сътрудничество и развитие през м. декември 2024 г. беше проведено заседание на Комитета за вземане на решение за присъединяване. </w:t>
      </w:r>
      <w:r w:rsidRPr="00964E34">
        <w:rPr>
          <w:rFonts w:cs="Times New Roman"/>
          <w:szCs w:val="24"/>
          <w:lang w:val="bg"/>
        </w:rPr>
        <w:t xml:space="preserve">Въз основа на извършения преглед се констатира, че политиките и практиките на България като цяло са в съответствие с политиките и практиките на ОИСР по отношение на съответните основни принципи в областта на бюджетното управление, с което беше взето и окончателно решение на Комитета за финализиране на присъединителната процедура. В тази връзка Министерството на финансите работи по </w:t>
      </w:r>
      <w:proofErr w:type="spellStart"/>
      <w:r w:rsidRPr="00964E34">
        <w:rPr>
          <w:rFonts w:cs="Times New Roman"/>
          <w:szCs w:val="24"/>
          <w:lang w:val="bg"/>
        </w:rPr>
        <w:t>акитивизирането</w:t>
      </w:r>
      <w:proofErr w:type="spellEnd"/>
      <w:r w:rsidRPr="00964E34">
        <w:rPr>
          <w:rFonts w:cs="Times New Roman"/>
          <w:szCs w:val="24"/>
          <w:lang w:val="bg"/>
        </w:rPr>
        <w:t xml:space="preserve"> на участието в различни групи и формати към Комитета за висши длъжностни лица по бюджета, потвърждение на което е и фактът, че Министерството на финансите прие домакинството на двадесетата Годишна среща на регионалната мрежа на Комитета за висши длъжностни лица по бюджета на Организацията за икономическо сътрудничество и развитие за Централна, Източна и Югоизточна Европа. Срещата се проведе на 2 и 3 октомври 2025 г. в София съвместно с Бюджетната общност за практика към инициативата PEMPAL под егидата на Световната банка и в нея участваха представители на ОИСР, на Световната банка на други международни организации, институти и делегати от двадесет държави от региона.</w:t>
      </w:r>
    </w:p>
    <w:p w14:paraId="2791029D" w14:textId="77777777" w:rsidR="00DF41AF" w:rsidRPr="00D708C4" w:rsidRDefault="00964E34" w:rsidP="00D708C4">
      <w:pPr>
        <w:rPr>
          <w:rFonts w:cs="Times New Roman"/>
          <w:szCs w:val="24"/>
          <w:lang w:val="bg"/>
        </w:rPr>
      </w:pPr>
      <w:r w:rsidRPr="00964E34">
        <w:rPr>
          <w:rFonts w:cs="Times New Roman"/>
          <w:szCs w:val="24"/>
          <w:lang w:val="bg"/>
        </w:rPr>
        <w:t>Във връзка с изпълнение на препоръките от присъединителния преглед за определяне на документите, процедурите и приложимата методология за капиталово бюджетиране в рамките на бюджетния процес се реализира проект 25BG11 „</w:t>
      </w:r>
      <w:proofErr w:type="spellStart"/>
      <w:r w:rsidRPr="00964E34">
        <w:rPr>
          <w:rFonts w:cs="Times New Roman"/>
          <w:szCs w:val="24"/>
          <w:lang w:val="bg"/>
        </w:rPr>
        <w:t>Improving</w:t>
      </w:r>
      <w:proofErr w:type="spellEnd"/>
      <w:r w:rsidRPr="00964E34">
        <w:rPr>
          <w:rFonts w:cs="Times New Roman"/>
          <w:szCs w:val="24"/>
          <w:lang w:val="bg"/>
        </w:rPr>
        <w:t xml:space="preserve"> </w:t>
      </w:r>
      <w:proofErr w:type="spellStart"/>
      <w:r w:rsidRPr="00964E34">
        <w:rPr>
          <w:rFonts w:cs="Times New Roman"/>
          <w:szCs w:val="24"/>
          <w:lang w:val="bg"/>
        </w:rPr>
        <w:t>the</w:t>
      </w:r>
      <w:proofErr w:type="spellEnd"/>
      <w:r w:rsidRPr="00964E34">
        <w:rPr>
          <w:rFonts w:cs="Times New Roman"/>
          <w:szCs w:val="24"/>
          <w:lang w:val="bg"/>
        </w:rPr>
        <w:t xml:space="preserve"> </w:t>
      </w:r>
      <w:proofErr w:type="spellStart"/>
      <w:r w:rsidRPr="00964E34">
        <w:rPr>
          <w:rFonts w:cs="Times New Roman"/>
          <w:szCs w:val="24"/>
          <w:lang w:val="bg"/>
        </w:rPr>
        <w:t>efficiency</w:t>
      </w:r>
      <w:proofErr w:type="spellEnd"/>
      <w:r w:rsidRPr="00964E34">
        <w:rPr>
          <w:rFonts w:cs="Times New Roman"/>
          <w:szCs w:val="24"/>
          <w:lang w:val="bg"/>
        </w:rPr>
        <w:t xml:space="preserve"> </w:t>
      </w:r>
      <w:proofErr w:type="spellStart"/>
      <w:r w:rsidRPr="00964E34">
        <w:rPr>
          <w:rFonts w:cs="Times New Roman"/>
          <w:szCs w:val="24"/>
          <w:lang w:val="bg"/>
        </w:rPr>
        <w:t>and</w:t>
      </w:r>
      <w:proofErr w:type="spellEnd"/>
      <w:r w:rsidRPr="00964E34">
        <w:rPr>
          <w:rFonts w:cs="Times New Roman"/>
          <w:szCs w:val="24"/>
          <w:lang w:val="bg"/>
        </w:rPr>
        <w:t xml:space="preserve"> </w:t>
      </w:r>
      <w:proofErr w:type="spellStart"/>
      <w:r w:rsidRPr="00964E34">
        <w:rPr>
          <w:rFonts w:cs="Times New Roman"/>
          <w:szCs w:val="24"/>
          <w:lang w:val="bg"/>
        </w:rPr>
        <w:t>quality</w:t>
      </w:r>
      <w:proofErr w:type="spellEnd"/>
      <w:r w:rsidRPr="00964E34">
        <w:rPr>
          <w:rFonts w:cs="Times New Roman"/>
          <w:szCs w:val="24"/>
          <w:lang w:val="bg"/>
        </w:rPr>
        <w:t xml:space="preserve"> </w:t>
      </w:r>
      <w:proofErr w:type="spellStart"/>
      <w:r w:rsidRPr="00964E34">
        <w:rPr>
          <w:rFonts w:cs="Times New Roman"/>
          <w:szCs w:val="24"/>
          <w:lang w:val="bg"/>
        </w:rPr>
        <w:t>of</w:t>
      </w:r>
      <w:proofErr w:type="spellEnd"/>
      <w:r w:rsidRPr="00964E34">
        <w:rPr>
          <w:rFonts w:cs="Times New Roman"/>
          <w:szCs w:val="24"/>
          <w:lang w:val="bg"/>
        </w:rPr>
        <w:t xml:space="preserve"> </w:t>
      </w:r>
      <w:proofErr w:type="spellStart"/>
      <w:r w:rsidRPr="00964E34">
        <w:rPr>
          <w:rFonts w:cs="Times New Roman"/>
          <w:szCs w:val="24"/>
          <w:lang w:val="bg"/>
        </w:rPr>
        <w:t>public</w:t>
      </w:r>
      <w:proofErr w:type="spellEnd"/>
      <w:r w:rsidRPr="00964E34">
        <w:rPr>
          <w:rFonts w:cs="Times New Roman"/>
          <w:szCs w:val="24"/>
          <w:lang w:val="bg"/>
        </w:rPr>
        <w:t xml:space="preserve"> </w:t>
      </w:r>
      <w:proofErr w:type="spellStart"/>
      <w:r w:rsidRPr="00964E34">
        <w:rPr>
          <w:rFonts w:cs="Times New Roman"/>
          <w:szCs w:val="24"/>
          <w:lang w:val="bg"/>
        </w:rPr>
        <w:t>investments</w:t>
      </w:r>
      <w:proofErr w:type="spellEnd"/>
      <w:r w:rsidRPr="00964E34">
        <w:rPr>
          <w:rFonts w:cs="Times New Roman"/>
          <w:szCs w:val="24"/>
          <w:lang w:val="bg"/>
        </w:rPr>
        <w:t xml:space="preserve"> </w:t>
      </w:r>
      <w:proofErr w:type="spellStart"/>
      <w:r w:rsidRPr="00964E34">
        <w:rPr>
          <w:rFonts w:cs="Times New Roman"/>
          <w:szCs w:val="24"/>
          <w:lang w:val="bg"/>
        </w:rPr>
        <w:t>in</w:t>
      </w:r>
      <w:proofErr w:type="spellEnd"/>
      <w:r w:rsidRPr="00964E34">
        <w:rPr>
          <w:rFonts w:cs="Times New Roman"/>
          <w:szCs w:val="24"/>
          <w:lang w:val="bg"/>
        </w:rPr>
        <w:t xml:space="preserve"> </w:t>
      </w:r>
      <w:proofErr w:type="spellStart"/>
      <w:r w:rsidRPr="00964E34">
        <w:rPr>
          <w:rFonts w:cs="Times New Roman"/>
          <w:szCs w:val="24"/>
          <w:lang w:val="bg"/>
        </w:rPr>
        <w:t>Bulgaria</w:t>
      </w:r>
      <w:proofErr w:type="spellEnd"/>
      <w:r w:rsidRPr="00964E34">
        <w:rPr>
          <w:rFonts w:cs="Times New Roman"/>
          <w:szCs w:val="24"/>
          <w:lang w:val="bg"/>
        </w:rPr>
        <w:t>“ („Подобряване на ефективността и качеството на публичните инвестиции в България“) с консултантската подкрепа на ОИСР.</w:t>
      </w:r>
    </w:p>
    <w:p w14:paraId="011E1183" w14:textId="77777777" w:rsidR="00F05ECA" w:rsidRPr="00AA3F66" w:rsidRDefault="00F05ECA" w:rsidP="008603FC">
      <w:pPr>
        <w:rPr>
          <w:rFonts w:eastAsia="Batang" w:cs="Times New Roman"/>
          <w:highlight w:val="yellow"/>
        </w:rPr>
      </w:pPr>
    </w:p>
    <w:p w14:paraId="79928536" w14:textId="77777777" w:rsidR="00C429D8" w:rsidRDefault="00C429D8" w:rsidP="008603FC">
      <w:pPr>
        <w:pStyle w:val="Heading1"/>
        <w:numPr>
          <w:ilvl w:val="0"/>
          <w:numId w:val="0"/>
        </w:numPr>
        <w:rPr>
          <w:color w:val="auto"/>
        </w:rPr>
        <w:sectPr w:rsidR="00C429D8" w:rsidSect="0012697B">
          <w:pgSz w:w="11906" w:h="16838" w:code="9"/>
          <w:pgMar w:top="1418" w:right="1418" w:bottom="851" w:left="1418" w:header="708" w:footer="708" w:gutter="0"/>
          <w:cols w:space="708"/>
          <w:titlePg/>
          <w:docGrid w:linePitch="360"/>
        </w:sectPr>
      </w:pPr>
      <w:bookmarkStart w:id="520" w:name="_Toc511810188"/>
    </w:p>
    <w:bookmarkStart w:id="521" w:name="_Toc216029370"/>
    <w:p w14:paraId="050D526C" w14:textId="77777777" w:rsidR="00D16E56" w:rsidRPr="00AA15E0" w:rsidRDefault="00C45FCF" w:rsidP="00F75999">
      <w:pPr>
        <w:pStyle w:val="Heading1"/>
        <w:rPr>
          <w:color w:val="auto"/>
        </w:rPr>
      </w:pPr>
      <w:r w:rsidRPr="001E0DF0">
        <w:rPr>
          <w:noProof/>
        </w:rPr>
        <w:lastRenderedPageBreak/>
        <mc:AlternateContent>
          <mc:Choice Requires="wps">
            <w:drawing>
              <wp:anchor distT="0" distB="0" distL="114300" distR="114300" simplePos="0" relativeHeight="251668992" behindDoc="1" locked="0" layoutInCell="1" allowOverlap="1" wp14:anchorId="682D8FBC" wp14:editId="36EFFCBC">
                <wp:simplePos x="0" y="0"/>
                <wp:positionH relativeFrom="page">
                  <wp:align>right</wp:align>
                </wp:positionH>
                <wp:positionV relativeFrom="paragraph">
                  <wp:posOffset>-901700</wp:posOffset>
                </wp:positionV>
                <wp:extent cx="7560860" cy="2520000"/>
                <wp:effectExtent l="0" t="0" r="2540" b="0"/>
                <wp:wrapNone/>
                <wp:docPr id="17" name="Rectangle 17"/>
                <wp:cNvGraphicFramePr/>
                <a:graphic xmlns:a="http://schemas.openxmlformats.org/drawingml/2006/main">
                  <a:graphicData uri="http://schemas.microsoft.com/office/word/2010/wordprocessingShape">
                    <wps:wsp>
                      <wps:cNvSpPr/>
                      <wps:spPr>
                        <a:xfrm>
                          <a:off x="0" y="0"/>
                          <a:ext cx="7560860" cy="25200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EA3DA1" id="Rectangle 17" o:spid="_x0000_s1026" style="position:absolute;margin-left:544.15pt;margin-top:-71pt;width:595.35pt;height:198.45pt;z-index:-2516474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" fillcolor="#f8cec7 [662]" stroked="f" strokeweight="1pt">
                <w10:wrap anchorx="page"/>
              </v:rect>
            </w:pict>
          </mc:Fallback>
        </mc:AlternateContent>
      </w:r>
      <w:r w:rsidR="00D16E56" w:rsidRPr="001E0DF0">
        <w:rPr>
          <w:noProof/>
        </w:rPr>
        <mc:AlternateContent>
          <mc:Choice Requires="wps">
            <w:drawing>
              <wp:anchor distT="0" distB="0" distL="114300" distR="114300" simplePos="0" relativeHeight="251682304" behindDoc="0" locked="0" layoutInCell="1" allowOverlap="1" wp14:anchorId="2FBF7F2E" wp14:editId="607EDB1B">
                <wp:simplePos x="0" y="0"/>
                <wp:positionH relativeFrom="column">
                  <wp:posOffset>-898525</wp:posOffset>
                </wp:positionH>
                <wp:positionV relativeFrom="paragraph">
                  <wp:posOffset>1605128</wp:posOffset>
                </wp:positionV>
                <wp:extent cx="7560310" cy="0"/>
                <wp:effectExtent l="0" t="0" r="21590" b="19050"/>
                <wp:wrapNone/>
                <wp:docPr id="12" name="Straight Connector 12"/>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22153" id="Straight Connector 12"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70.75pt,126.4pt" to="524.5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" strokecolor="#b32c16 [3206]"/>
            </w:pict>
          </mc:Fallback>
        </mc:AlternateContent>
      </w:r>
      <w:r w:rsidR="00D16E56">
        <w:br/>
      </w:r>
      <w:bookmarkEnd w:id="520"/>
      <w:r w:rsidR="00D16E56" w:rsidRPr="00D16E56">
        <w:rPr>
          <w:color w:val="auto"/>
        </w:rPr>
        <w:t>Мотиви към предложения</w:t>
      </w:r>
      <w:r w:rsidR="00D032E4">
        <w:rPr>
          <w:color w:val="auto"/>
        </w:rPr>
        <w:t>та</w:t>
      </w:r>
      <w:r w:rsidR="00D16E56" w:rsidRPr="00D16E56">
        <w:rPr>
          <w:color w:val="auto"/>
        </w:rPr>
        <w:t xml:space="preserve"> за промяна на други з</w:t>
      </w:r>
      <w:r w:rsidR="000F390B">
        <w:rPr>
          <w:color w:val="auto"/>
        </w:rPr>
        <w:t>акони в п</w:t>
      </w:r>
      <w:r w:rsidR="00904A17">
        <w:rPr>
          <w:color w:val="auto"/>
        </w:rPr>
        <w:t>роекта на ЗДБРБ за 2026</w:t>
      </w:r>
      <w:r w:rsidR="00D16E56" w:rsidRPr="00D16E56">
        <w:rPr>
          <w:color w:val="auto"/>
        </w:rPr>
        <w:t xml:space="preserve"> г.</w:t>
      </w:r>
      <w:bookmarkEnd w:id="521"/>
    </w:p>
    <w:p w14:paraId="6B1FA42A" w14:textId="77777777" w:rsidR="00FD495F" w:rsidRPr="00E56A70" w:rsidRDefault="00FD495F" w:rsidP="00957ED7">
      <w:pPr>
        <w:rPr>
          <w:b/>
        </w:rPr>
      </w:pPr>
      <w:bookmarkStart w:id="522" w:name="_Toc464466466"/>
      <w:bookmarkStart w:id="523" w:name="_Toc464466710"/>
      <w:bookmarkStart w:id="524" w:name="_Toc464466739"/>
      <w:bookmarkStart w:id="525" w:name="_Toc464470250"/>
      <w:bookmarkStart w:id="526" w:name="_Toc464645031"/>
      <w:bookmarkStart w:id="527" w:name="_Toc464646384"/>
      <w:bookmarkStart w:id="528" w:name="_Toc464224822"/>
      <w:bookmarkStart w:id="529" w:name="_Toc464225472"/>
      <w:bookmarkStart w:id="530" w:name="_Toc464459019"/>
      <w:bookmarkStart w:id="531" w:name="_Toc464459767"/>
      <w:bookmarkStart w:id="532" w:name="_Toc464460720"/>
      <w:bookmarkStart w:id="533" w:name="_Toc464463119"/>
      <w:bookmarkStart w:id="534" w:name="_Toc464464948"/>
      <w:bookmarkStart w:id="535" w:name="_Toc464465455"/>
      <w:bookmarkStart w:id="536" w:name="_Toc464465643"/>
      <w:r w:rsidRPr="00E56A70">
        <w:rPr>
          <w:b/>
        </w:rPr>
        <w:t>Със законопроекта за държавния бюдже</w:t>
      </w:r>
      <w:r w:rsidR="00904A17">
        <w:rPr>
          <w:b/>
        </w:rPr>
        <w:t>та на Република България за 2026</w:t>
      </w:r>
      <w:r w:rsidRPr="00E56A70">
        <w:rPr>
          <w:b/>
        </w:rPr>
        <w:t> г. се предлагат промени в други закони. Мотивите за тези предложения са</w:t>
      </w:r>
      <w:r w:rsidR="007810FF">
        <w:rPr>
          <w:b/>
        </w:rPr>
        <w:t>,</w:t>
      </w:r>
      <w:r w:rsidRPr="00E56A70">
        <w:rPr>
          <w:b/>
        </w:rPr>
        <w:t xml:space="preserve"> както следва:</w:t>
      </w:r>
    </w:p>
    <w:p w14:paraId="37E9E288" w14:textId="77777777" w:rsidR="00986787" w:rsidRPr="00986787" w:rsidRDefault="00986787"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социалните услуги</w:t>
      </w:r>
    </w:p>
    <w:p w14:paraId="22A45E3D" w14:textId="77777777" w:rsidR="00986787" w:rsidRPr="007F1FC5" w:rsidRDefault="00986787" w:rsidP="00986787">
      <w:r w:rsidRPr="007F1FC5">
        <w:t>В Закона за социалните услуги е регламентирано, че Домовете за медико-социални грижи за деца (ДМСГД) следва да бъдат закрити до 31</w:t>
      </w:r>
      <w:r>
        <w:t xml:space="preserve"> декември </w:t>
      </w:r>
      <w:r w:rsidRPr="007F1FC5">
        <w:t>2025 г. Закриването обаче може да се осъществи само след извеждането на всички настанени дец</w:t>
      </w:r>
      <w:r w:rsidR="00D74B3E">
        <w:t xml:space="preserve">а. В тази връзка е необходимо </w:t>
      </w:r>
      <w:r w:rsidRPr="007F1FC5">
        <w:t>да бъде продължен срокът за функционирането на ДМСГД в гр. Варна и гр. Плевен до 31</w:t>
      </w:r>
      <w:r>
        <w:t xml:space="preserve"> декември </w:t>
      </w:r>
      <w:r w:rsidRPr="007F1FC5">
        <w:t>2027 г., съответно до изграждане на необходимата инфраструктура за изваждане на всички настанени деца. Независимо, че дирекции „Социално подпомагане“ в страната ежемесечно предприемат мерки за извеждане на деца от домовете, към 31</w:t>
      </w:r>
      <w:r>
        <w:t xml:space="preserve"> декември </w:t>
      </w:r>
      <w:r w:rsidRPr="007F1FC5">
        <w:t>2025 г. не би могло да бъде осигурена алтернативна грижа за всички настанени деца към настоящия момент. В тази връзка единственият целесъобразен вариант за грижа за децата, особено за децата с увреждания с потребност от постоянни медицински грижи</w:t>
      </w:r>
      <w:r w:rsidR="00C84354">
        <w:t>,</w:t>
      </w:r>
      <w:r w:rsidRPr="007F1FC5">
        <w:t xml:space="preserve"> е да се удължи срока за функционирането на ДМСГД в гр. Варна и в гр. Плевен до 31</w:t>
      </w:r>
      <w:r>
        <w:t xml:space="preserve"> декември </w:t>
      </w:r>
      <w:r w:rsidRPr="007F1FC5">
        <w:t>2027 г.</w:t>
      </w:r>
    </w:p>
    <w:p w14:paraId="16C0140B" w14:textId="77777777" w:rsidR="00A86518" w:rsidRDefault="00986787" w:rsidP="00986787">
      <w:r w:rsidRPr="003509EC">
        <w:t xml:space="preserve">Останалите промени са свързани с отлагане на влизането в сила на новите стандарти за финансиране на социалните услуги, делегирани от държавата дейности по чл. 45 от Закона за социалните услуги. </w:t>
      </w:r>
      <w:r w:rsidR="00A86518" w:rsidRPr="00A86518">
        <w:t xml:space="preserve">Основният мотив </w:t>
      </w:r>
      <w:r w:rsidR="00B55406">
        <w:t xml:space="preserve">за това е наличието в общините </w:t>
      </w:r>
      <w:r w:rsidR="00A86518" w:rsidRPr="00A86518">
        <w:t xml:space="preserve">на сериозни по размери преходни остатъци по функция „Социално осигуряване, подпомагане и грижи“, което води до необективна оценка за нивото на разходите в отделните услуги и до невъзможност за определяне на реалните средства за издръжка на услугите. Освен това, предстоят промени в Наредбата за качеството на социалните услуги, които касаят и изискванията за минимален брой на потребителите. Предвид настоящия етап от годината и нуждата от технологично време както за общините, така и за Агенцията за социално подпомагане, за да се трансформират съгласно Закона за социалните услуги всички съществуващи стари форми на социални услуги </w:t>
      </w:r>
      <w:r w:rsidR="00A86518" w:rsidRPr="00202877">
        <w:t>(</w:t>
      </w:r>
      <w:r w:rsidR="00A86518" w:rsidRPr="00A86518">
        <w:t>без домовете за лица с увреждания</w:t>
      </w:r>
      <w:r w:rsidR="00A86518" w:rsidRPr="00202877">
        <w:t>)</w:t>
      </w:r>
      <w:r w:rsidR="00A86518" w:rsidRPr="00A86518">
        <w:t>, не е реалистично да се очаква, че оставащият период до 31 декември 2025 г. ще бъде достатъчен за постигане на тази цел. Ако не се отложи влизането в сила на стандартите, ще се наложи да се предвиди преходен период, в който да се прилагат два режима на финансиране – старите услуги по старите стандарти и новите услуги по новите.</w:t>
      </w:r>
    </w:p>
    <w:p w14:paraId="61CDA137" w14:textId="77777777" w:rsidR="002F3A9A" w:rsidRPr="00764729" w:rsidRDefault="002F3A9A" w:rsidP="00764729">
      <w:pPr>
        <w:pStyle w:val="ListParagraph"/>
        <w:numPr>
          <w:ilvl w:val="0"/>
          <w:numId w:val="36"/>
        </w:numPr>
        <w:spacing w:after="200"/>
        <w:contextualSpacing/>
        <w:rPr>
          <w:b/>
          <w:color w:val="852010" w:themeColor="accent3" w:themeShade="BF"/>
        </w:rPr>
      </w:pPr>
      <w:r w:rsidRPr="006A4209">
        <w:rPr>
          <w:b/>
          <w:color w:val="852010" w:themeColor="accent3" w:themeShade="BF"/>
        </w:rPr>
        <w:t xml:space="preserve">В Закона за местните данъци и такси </w:t>
      </w:r>
    </w:p>
    <w:p w14:paraId="28AEB62A" w14:textId="77777777" w:rsidR="002F3A9A" w:rsidRDefault="005C189D" w:rsidP="005C189D">
      <w:r>
        <w:t>С предложен</w:t>
      </w:r>
      <w:r w:rsidR="002F3A9A">
        <w:t>ото изменение в Закона за местни данъци и такси се п</w:t>
      </w:r>
      <w:r w:rsidR="002F3A9A" w:rsidRPr="009E4FF1">
        <w:t xml:space="preserve">редвижда когато до 31 януари 2026 г. общинските съвети не са одобрили план-сметката за 2026 г. и/или </w:t>
      </w:r>
      <w:r>
        <w:t xml:space="preserve">не </w:t>
      </w:r>
      <w:r>
        <w:lastRenderedPageBreak/>
        <w:t xml:space="preserve">са приели </w:t>
      </w:r>
      <w:proofErr w:type="spellStart"/>
      <w:r>
        <w:t>съотвените</w:t>
      </w:r>
      <w:proofErr w:type="spellEnd"/>
      <w:r>
        <w:t xml:space="preserve"> актове</w:t>
      </w:r>
      <w:r w:rsidR="002F3A9A" w:rsidRPr="009E4FF1">
        <w:t xml:space="preserve">, таксата за битови отпадъци за 2026 г. да се определя по реда, </w:t>
      </w:r>
      <w:r w:rsidR="002F3A9A" w:rsidRPr="00170673">
        <w:t>по който е определена за 2025 г.</w:t>
      </w:r>
    </w:p>
    <w:p w14:paraId="518F3469" w14:textId="77777777" w:rsidR="002F3A9A" w:rsidRPr="009E4FF1" w:rsidRDefault="002F3A9A" w:rsidP="00FA2A7A">
      <w:r w:rsidRPr="009E4FF1">
        <w:t>Предвижда се</w:t>
      </w:r>
      <w:r w:rsidRPr="00D05C3C">
        <w:t xml:space="preserve"> до края на 2028 г</w:t>
      </w:r>
      <w:r w:rsidR="005C189D">
        <w:t>.</w:t>
      </w:r>
      <w:r w:rsidRPr="00D05C3C">
        <w:t xml:space="preserve"> </w:t>
      </w:r>
      <w:r w:rsidRPr="009E4FF1">
        <w:t>общините да предоставят в края на всяко шестмесечие в Министерството на финансите информация за отчетения напредък по приемане на актовете за размера на таксата.</w:t>
      </w:r>
    </w:p>
    <w:p w14:paraId="7DDA8119" w14:textId="77777777" w:rsidR="00986787" w:rsidRPr="00962A2C" w:rsidRDefault="00986787" w:rsidP="005B790D">
      <w:pPr>
        <w:pStyle w:val="ListParagraph"/>
        <w:numPr>
          <w:ilvl w:val="0"/>
          <w:numId w:val="36"/>
        </w:numPr>
        <w:spacing w:after="200"/>
        <w:contextualSpacing/>
        <w:rPr>
          <w:b/>
          <w:color w:val="852010" w:themeColor="accent3" w:themeShade="BF"/>
        </w:rPr>
      </w:pPr>
      <w:r w:rsidRPr="00962A2C">
        <w:rPr>
          <w:b/>
          <w:color w:val="852010" w:themeColor="accent3" w:themeShade="BF"/>
        </w:rPr>
        <w:t>В Закона за хазарта</w:t>
      </w:r>
    </w:p>
    <w:p w14:paraId="42979DEF" w14:textId="77777777" w:rsidR="009A67A3" w:rsidRDefault="00986787" w:rsidP="00170673">
      <w:r w:rsidRPr="00962A2C">
        <w:t>Предвижданото увеличение на дължимите от организаторите на хазартни игри такси е насочено към генериране на допълнителн</w:t>
      </w:r>
      <w:r w:rsidR="00B55406">
        <w:t xml:space="preserve">и приходи в държавния бюджет и </w:t>
      </w:r>
      <w:r w:rsidRPr="00962A2C">
        <w:t>осигуряване по този начин на допълнителни средства за социални и икономически разходи, което е от засилен обществен интерес.</w:t>
      </w:r>
    </w:p>
    <w:p w14:paraId="4D92AB6C" w14:textId="77777777" w:rsidR="009A67A3" w:rsidRDefault="009A67A3"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корпоративното подоходно облагане</w:t>
      </w:r>
    </w:p>
    <w:p w14:paraId="0EC720A9" w14:textId="77777777" w:rsidR="009A67A3" w:rsidRPr="00C17610" w:rsidRDefault="009A67A3" w:rsidP="009A67A3">
      <w:r w:rsidRPr="00C17610">
        <w:t>Предлага се въвеждане на постоянно действащо равнопоставено третиране на доходите от сделки с финансови инструменти и от лихви по облигации и други дългови ценни книжа, търгувани на пазар за растеж, с доходите от сделки с финансови инструменти и от лихви по облигации и други дългови ценни книжа, търгувани на регулиран пазар чрез допълнение в Закона за корпоративното подоходно облагане и в Закона за данъците върху доходите на физическите лица.</w:t>
      </w:r>
    </w:p>
    <w:p w14:paraId="083C9F62" w14:textId="77777777" w:rsidR="009A67A3" w:rsidRPr="00C17610" w:rsidRDefault="009A67A3" w:rsidP="009A67A3">
      <w:r w:rsidRPr="00C17610">
        <w:t>През 2020 г. Министерството на финансите предложи пилотен режим, чрез който от 1 януари 2021 г. до 31 декември 2025 г. данъчното третиране на доходите от лихви по облигации и други дългови ценни книжа и доходите от разпореждане с финансови инструменти, търгувани на пазар за растеж (специална категория място за търговия, дефинирани в Директива 2014/65/ЕС относно пазарите на финансови инструменти) се изравнява с тези, търгувани на регулиран пазар.</w:t>
      </w:r>
    </w:p>
    <w:p w14:paraId="18BB179E" w14:textId="77777777" w:rsidR="009A67A3" w:rsidRPr="00C17610" w:rsidRDefault="009A67A3" w:rsidP="009A67A3">
      <w:r w:rsidRPr="00C17610">
        <w:t>На 30 септември 2025 г. Евр</w:t>
      </w:r>
      <w:r w:rsidR="00B55406">
        <w:t xml:space="preserve">опейската комисия в рамките на </w:t>
      </w:r>
      <w:r w:rsidRPr="00C17610">
        <w:t>Стратегията за спестовни и инвестиционни сметки препоръча на държавите членки въвеждане на преференциални данъчни режими с цел стимулиране на инвеститорите на дребно да участват на капиталовия пазар. Също така, при прегледите на България в рамките на процеса по присъединяване към Комитета за финансови пазари и Комитета за корпоративно управление на Организацията за икономическо сътрудничество и развитие, към България бяха отправени препоръки за предприемане на мерки, които да подпомогнат достъпа до финансиране през пазара, включително разглеждане на възможността за удължаване на данъчното облекчение на пазара за растеж.</w:t>
      </w:r>
    </w:p>
    <w:p w14:paraId="5C85D7E5" w14:textId="77777777" w:rsidR="009A67A3" w:rsidRPr="00C17610" w:rsidRDefault="00343983" w:rsidP="009A67A3">
      <w:r>
        <w:t>За периода 2021-</w:t>
      </w:r>
      <w:r w:rsidR="009A67A3" w:rsidRPr="00C17610">
        <w:t>2025 г. на българския пазар за растеж BEAM</w:t>
      </w:r>
      <w:r w:rsidR="00746D6B">
        <w:rPr>
          <w:rStyle w:val="FootnoteReference"/>
        </w:rPr>
        <w:footnoteReference w:id="51"/>
      </w:r>
      <w:r w:rsidR="009A67A3" w:rsidRPr="00C17610">
        <w:t xml:space="preserve"> са осъществени успешно 19 първични публични предлагания. Съгласно публично достъпни данни на Българската фондова борса, през 2023 г. съотношението на сделките с акции на BEAM спрямо сделките с акции на регулиран пазар е 0,03, съответно 0,06 през 2024 г. В този смисъл, </w:t>
      </w:r>
      <w:proofErr w:type="spellStart"/>
      <w:r w:rsidR="009A67A3" w:rsidRPr="00C17610">
        <w:t>непродължаването</w:t>
      </w:r>
      <w:proofErr w:type="spellEnd"/>
      <w:r w:rsidR="009A67A3" w:rsidRPr="00C17610">
        <w:t xml:space="preserve"> на данъчните облекчения за пазарите за растеж не се очаква да доведе до значителни бюджетни приходи, а същевременно ефектът би бил негативен и ще подкопае усилията за развитието на пазара за растеж като алтернативен източник на финансиране за компании с ограничен достъп до банково кредитиране поради по-кратката си история.</w:t>
      </w:r>
    </w:p>
    <w:p w14:paraId="15B861AF" w14:textId="77777777" w:rsidR="009A67A3" w:rsidRPr="00C17610" w:rsidRDefault="00B55406" w:rsidP="009A67A3">
      <w:r>
        <w:lastRenderedPageBreak/>
        <w:t>С оглед на горепосоченото,</w:t>
      </w:r>
      <w:r w:rsidR="009A67A3" w:rsidRPr="00C17610">
        <w:t xml:space="preserve"> се предлага трансформиране на режима в постоянно действащ, считано от 1 януари 2026 г.</w:t>
      </w:r>
    </w:p>
    <w:p w14:paraId="5D8822DB" w14:textId="77777777" w:rsidR="00775E21" w:rsidRPr="00775E21" w:rsidRDefault="009A67A3" w:rsidP="00775E21">
      <w:r w:rsidRPr="00C17610">
        <w:t xml:space="preserve">Също така във връзка с изпълнението на Националния план за възстановяване и устойчивост (НПВУ), Реформа 5 „Електрическа мобилност“, Компонент 8 „Транспорт“ и по-конкретно Цел 178 от Решението за изпълнение на Съвета на Европейския съюз (CID </w:t>
      </w:r>
      <w:proofErr w:type="spellStart"/>
      <w:r w:rsidRPr="00C17610">
        <w:t>Annex</w:t>
      </w:r>
      <w:proofErr w:type="spellEnd"/>
      <w:r w:rsidRPr="00C17610">
        <w:t>), се предлагат промени в Закона за корпоративното подоходно облагане, предоставящи възможност за по-благоприятен режим за амортизиране за данъчни цели на електрически автомобили, а именно годишна данъчна амортизационна норма, не по-висока от 50 на сто.</w:t>
      </w:r>
    </w:p>
    <w:p w14:paraId="4AAE12CF" w14:textId="77777777" w:rsidR="00775E21" w:rsidRPr="00C17610" w:rsidRDefault="00775E21" w:rsidP="00775E21">
      <w:r w:rsidRPr="00775E21">
        <w:rPr>
          <w:bCs/>
          <w:iCs/>
        </w:rPr>
        <w:t xml:space="preserve">Предлага се въвеждане на данъчно облекчение за извършване на </w:t>
      </w:r>
      <w:proofErr w:type="spellStart"/>
      <w:r w:rsidRPr="00775E21">
        <w:rPr>
          <w:bCs/>
          <w:iCs/>
        </w:rPr>
        <w:t>научноизследовятелска</w:t>
      </w:r>
      <w:proofErr w:type="spellEnd"/>
      <w:r w:rsidRPr="00775E21">
        <w:rPr>
          <w:bCs/>
          <w:iCs/>
        </w:rPr>
        <w:t xml:space="preserve"> и развойна дейност (НИРД), при което на данъчно задължените лица, извършващи НИРД, ще бъдат признати за данъчни цели допълнително 25 на сто от разходите им за НИРД, в годината на отчитането им, когато са изпълнени определени условия. В случай че в резултат на развойна дейност бъде формиран дълготраен нематериален актив, се предлага данъчно задълженото лице да има право да увеличи с 25 на сто данъчната амортизируема стойност на този актив. Мярката е изготвена с цел </w:t>
      </w:r>
      <w:r w:rsidRPr="00775E21">
        <w:t>стимулиране на компаниите да инвестират повече в иновации и нови технологии, което се очаква да доведе до повишаване на конкурентоспособността на бизнеса и до ускоряване на трансфера на знания към реалната икономика. Подобни мерки подпомагат създаването на висококвалифицирани работни места и насърчават предприемаческата активност, което в дългосрочен план води до по-висока производителност, устойчив икономически растеж и подобряване на международната позиция и престиж на страната.</w:t>
      </w:r>
    </w:p>
    <w:p w14:paraId="13147495" w14:textId="77777777" w:rsidR="009A67A3" w:rsidRPr="00986787" w:rsidRDefault="009A67A3"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данъците върху доходите на физическите лица</w:t>
      </w:r>
    </w:p>
    <w:p w14:paraId="12C92264" w14:textId="77777777" w:rsidR="009A67A3" w:rsidRDefault="009A67A3" w:rsidP="009A67A3">
      <w:pPr>
        <w:rPr>
          <w:szCs w:val="24"/>
        </w:rPr>
      </w:pPr>
      <w:r>
        <w:rPr>
          <w:szCs w:val="24"/>
        </w:rPr>
        <w:t xml:space="preserve">Във връзка с предложената промяна в ЗКПО по отношение на пазара за растеж са предложени съответните релевантни промени и в ЗДДФЛ. </w:t>
      </w:r>
    </w:p>
    <w:p w14:paraId="49391AE3" w14:textId="77777777" w:rsidR="009A67A3" w:rsidRDefault="009A67A3" w:rsidP="005B790D">
      <w:pPr>
        <w:pStyle w:val="ListParagraph"/>
        <w:numPr>
          <w:ilvl w:val="0"/>
          <w:numId w:val="36"/>
        </w:numPr>
        <w:spacing w:after="200"/>
        <w:contextualSpacing/>
        <w:rPr>
          <w:b/>
          <w:color w:val="852010" w:themeColor="accent3" w:themeShade="BF"/>
        </w:rPr>
      </w:pPr>
      <w:r>
        <w:rPr>
          <w:b/>
          <w:color w:val="852010" w:themeColor="accent3" w:themeShade="BF"/>
        </w:rPr>
        <w:t xml:space="preserve">В Данъчно-осигурителния процесуален кодекс </w:t>
      </w:r>
    </w:p>
    <w:p w14:paraId="2EC95806" w14:textId="77777777" w:rsidR="009A67A3" w:rsidRDefault="009A67A3" w:rsidP="009A67A3">
      <w:pPr>
        <w:spacing w:after="0"/>
        <w:rPr>
          <w:rFonts w:cs="Times New Roman"/>
        </w:rPr>
      </w:pPr>
      <w:r w:rsidRPr="00F410D0">
        <w:rPr>
          <w:rFonts w:cs="Times New Roman"/>
        </w:rPr>
        <w:t xml:space="preserve">Предлага се въвеждане на задължение при превозите на стоки с висок фискален риск </w:t>
      </w:r>
      <w:r w:rsidR="00317B7F" w:rsidRPr="00317B7F">
        <w:rPr>
          <w:rFonts w:cs="Times New Roman"/>
        </w:rPr>
        <w:t xml:space="preserve">с превозни </w:t>
      </w:r>
      <w:r w:rsidR="00317B7F">
        <w:rPr>
          <w:rFonts w:cs="Times New Roman"/>
        </w:rPr>
        <w:t>средства с товароносимост над 3,</w:t>
      </w:r>
      <w:r w:rsidR="00317B7F" w:rsidRPr="00317B7F">
        <w:rPr>
          <w:rFonts w:cs="Times New Roman"/>
        </w:rPr>
        <w:t xml:space="preserve">5 тона </w:t>
      </w:r>
      <w:r w:rsidRPr="00F410D0">
        <w:rPr>
          <w:rFonts w:cs="Times New Roman"/>
        </w:rPr>
        <w:t xml:space="preserve">да се </w:t>
      </w:r>
      <w:r w:rsidR="009166A9">
        <w:rPr>
          <w:rFonts w:cs="Times New Roman"/>
        </w:rPr>
        <w:t xml:space="preserve">предават </w:t>
      </w:r>
      <w:r w:rsidRPr="00F410D0">
        <w:rPr>
          <w:rFonts w:cs="Times New Roman"/>
        </w:rPr>
        <w:t>данни, позволяващи наблюдението на движението на превозното средство. Мярката ще способства за по-ефективен фискален контрол върху движението на стоките на територията на страната и има за цел да осигури в максимална степен плащането в бюджета на дължимите данъци при доставките на стоки. Анализът на риска от загуби на бюджета при търговията със стоки показва, че въпреки контролните действия от страна на НАП са налице относително високи потенциални щети. Това се дължи основно на наличието на значителни стокови потоци, които не са документирани коректно в количествено и/или стойностно изражение, т.е. документират се по-малки количества и/или се занижават цени. С въвеждането на мярката допълнително ще се ограничат възможностите за злоупотреби, водещи до неправомерни данъчни предимства на пазара и загуби за бюджета, изразяващи се в продажби на по-ниски цени, отчитане на нереални разходи, неправомерно приспадане на ДДС и укриване на данъци.</w:t>
      </w:r>
    </w:p>
    <w:p w14:paraId="7D42A4AF" w14:textId="77777777" w:rsidR="008D4BF0" w:rsidRPr="00556330" w:rsidRDefault="008D4BF0" w:rsidP="009A67A3">
      <w:pPr>
        <w:spacing w:after="0"/>
        <w:rPr>
          <w:rFonts w:cs="Times New Roman"/>
        </w:rPr>
      </w:pPr>
    </w:p>
    <w:p w14:paraId="00B4CADC" w14:textId="77777777" w:rsidR="00986787" w:rsidRPr="00986787" w:rsidRDefault="00986787" w:rsidP="005B790D">
      <w:pPr>
        <w:pStyle w:val="ListParagraph"/>
        <w:numPr>
          <w:ilvl w:val="0"/>
          <w:numId w:val="36"/>
        </w:numPr>
        <w:spacing w:after="200"/>
        <w:contextualSpacing/>
        <w:rPr>
          <w:b/>
          <w:color w:val="852010" w:themeColor="accent3" w:themeShade="BF"/>
        </w:rPr>
      </w:pPr>
      <w:r w:rsidRPr="00986787">
        <w:rPr>
          <w:b/>
          <w:color w:val="852010" w:themeColor="accent3" w:themeShade="BF"/>
        </w:rPr>
        <w:t>В Закона за радиото и телевизията</w:t>
      </w:r>
    </w:p>
    <w:p w14:paraId="32D70202" w14:textId="77777777" w:rsidR="00CC2258" w:rsidRPr="003918A7" w:rsidRDefault="00986787" w:rsidP="00986787">
      <w:pPr>
        <w:rPr>
          <w:rFonts w:eastAsia="Times New Roman"/>
          <w:color w:val="000000" w:themeColor="text1"/>
          <w:szCs w:val="24"/>
        </w:rPr>
      </w:pPr>
      <w:r w:rsidRPr="003918A7">
        <w:rPr>
          <w:rFonts w:eastAsia="Times New Roman"/>
          <w:color w:val="000000" w:themeColor="text1"/>
          <w:szCs w:val="24"/>
        </w:rPr>
        <w:t>Предложените промени са във връзка с удължаването на срока за финансиране на Съвета за електронни медии, както и за финансиране на дейности със средства от държавния бюджет на Българската национална телевизия и Българското национално радио, при запазване на досегашния модел на финансиране.</w:t>
      </w:r>
    </w:p>
    <w:p w14:paraId="7D74E762" w14:textId="77777777" w:rsidR="00986787" w:rsidRPr="00986787" w:rsidRDefault="00986787" w:rsidP="005B790D">
      <w:pPr>
        <w:pStyle w:val="ListParagraph"/>
        <w:numPr>
          <w:ilvl w:val="0"/>
          <w:numId w:val="36"/>
        </w:numPr>
        <w:spacing w:after="200"/>
        <w:contextualSpacing/>
        <w:rPr>
          <w:b/>
          <w:color w:val="852010" w:themeColor="accent3" w:themeShade="BF"/>
        </w:rPr>
      </w:pPr>
      <w:r w:rsidRPr="00986787">
        <w:rPr>
          <w:b/>
          <w:color w:val="852010" w:themeColor="accent3" w:themeShade="BF"/>
        </w:rPr>
        <w:lastRenderedPageBreak/>
        <w:t>В Закона за движението по пътищата</w:t>
      </w:r>
    </w:p>
    <w:p w14:paraId="08DD8C16" w14:textId="77777777" w:rsidR="009E4FF1" w:rsidRPr="009E4FF1" w:rsidRDefault="009E4FF1" w:rsidP="009E4FF1">
      <w:pPr>
        <w:rPr>
          <w:szCs w:val="24"/>
        </w:rPr>
      </w:pPr>
      <w:r w:rsidRPr="009E4FF1">
        <w:rPr>
          <w:szCs w:val="24"/>
        </w:rPr>
        <w:t>С предложението се създава нормативна възможност разходите за отговорния служител, който подпомага кмета на общината в изпълнението на дейностите по организиране, координиране и контролиране на изпълнението на държавната политика по безопасност на движението по пътищата на общинско ниво, дейностите по планирането и докладването на изпълнението на мерки за подобряване на безопасността на движението по пътищата в общината, възложени като отговорност на кметовете на общините, както и осъществяването на информационно-превантивна дейност по безопасност на движението по пътищата, обследване на състоянието на общинската пътна и улична мрежа и документиране на пространствени данни по указания на Държавна агенция „Безопасност на движението по пътищата“ да се финансират като делегирана от държавата дейност.</w:t>
      </w:r>
    </w:p>
    <w:p w14:paraId="3653CC09" w14:textId="77777777" w:rsidR="009E4FF1" w:rsidRPr="008D4BF0" w:rsidRDefault="00B55406" w:rsidP="005B790D">
      <w:pPr>
        <w:pStyle w:val="ListParagraph"/>
        <w:numPr>
          <w:ilvl w:val="0"/>
          <w:numId w:val="36"/>
        </w:numPr>
        <w:spacing w:after="200"/>
        <w:contextualSpacing/>
        <w:rPr>
          <w:b/>
          <w:color w:val="852010" w:themeColor="accent3" w:themeShade="BF"/>
        </w:rPr>
      </w:pPr>
      <w:r>
        <w:rPr>
          <w:b/>
          <w:color w:val="852010" w:themeColor="accent3" w:themeShade="BF"/>
        </w:rPr>
        <w:t xml:space="preserve">В Закона </w:t>
      </w:r>
      <w:r w:rsidR="009E4FF1" w:rsidRPr="008D4BF0">
        <w:rPr>
          <w:b/>
          <w:color w:val="852010" w:themeColor="accent3" w:themeShade="BF"/>
        </w:rPr>
        <w:t>за културното наследство</w:t>
      </w:r>
    </w:p>
    <w:p w14:paraId="47C736E8" w14:textId="77777777" w:rsidR="009E4FF1" w:rsidRPr="009E4FF1" w:rsidRDefault="009E4FF1" w:rsidP="009E4FF1">
      <w:pPr>
        <w:rPr>
          <w:szCs w:val="24"/>
        </w:rPr>
      </w:pPr>
      <w:r w:rsidRPr="00202877">
        <w:rPr>
          <w:szCs w:val="24"/>
        </w:rPr>
        <w:t>В страната 112 от общинскит</w:t>
      </w:r>
      <w:r w:rsidR="00B55406">
        <w:rPr>
          <w:szCs w:val="24"/>
        </w:rPr>
        <w:t xml:space="preserve">е музеи </w:t>
      </w:r>
      <w:r w:rsidRPr="00202877">
        <w:rPr>
          <w:szCs w:val="24"/>
        </w:rPr>
        <w:t xml:space="preserve">се финансират по стандарти, като делегирани от държавата дейности с натурални и стойностни показатели, а останалите 49 общински музея се финансират от общинските бюджети като местни дейности. Това обстоятелство ги поставя в изключително </w:t>
      </w:r>
      <w:proofErr w:type="spellStart"/>
      <w:r w:rsidRPr="00202877">
        <w:rPr>
          <w:szCs w:val="24"/>
        </w:rPr>
        <w:t>неравнопоставено</w:t>
      </w:r>
      <w:proofErr w:type="spellEnd"/>
      <w:r w:rsidRPr="00202877">
        <w:rPr>
          <w:szCs w:val="24"/>
        </w:rPr>
        <w:t xml:space="preserve"> положение спрямо останалите музеи. В тях също се опазва, изучава и представя пред публик</w:t>
      </w:r>
      <w:r w:rsidR="00995D58">
        <w:rPr>
          <w:szCs w:val="24"/>
        </w:rPr>
        <w:t>а</w:t>
      </w:r>
      <w:r w:rsidRPr="00202877">
        <w:rPr>
          <w:szCs w:val="24"/>
        </w:rPr>
        <w:t xml:space="preserve"> материалното културно наследство на страната ни, което е безценно. </w:t>
      </w:r>
      <w:r w:rsidRPr="009E4FF1">
        <w:rPr>
          <w:szCs w:val="24"/>
        </w:rPr>
        <w:t>С предложените промени се създава нормативна възможност по предложение на министъра на култу</w:t>
      </w:r>
      <w:r w:rsidR="00B55406">
        <w:rPr>
          <w:szCs w:val="24"/>
        </w:rPr>
        <w:t xml:space="preserve">рата ежегодно </w:t>
      </w:r>
      <w:r w:rsidRPr="009E4FF1">
        <w:rPr>
          <w:szCs w:val="24"/>
        </w:rPr>
        <w:t>да се предвиждат средства за допълнително целево подпомагане на общинските музеи от държавния бюджет въз основа на стандарти за делегирана от държавата дейност. За включване във финансирането по стандарти за делегирана от държавата дейност, общинският музей следва да е осъществявал дейност през последните 5 години по реда на този закон и да е бил финансиран като местна дейност най-малко 5 години.</w:t>
      </w:r>
    </w:p>
    <w:p w14:paraId="4092409E" w14:textId="77777777" w:rsidR="00B93B17" w:rsidRPr="00B93B17" w:rsidRDefault="00995D58" w:rsidP="00B93B17">
      <w:pPr>
        <w:pStyle w:val="ListParagraph"/>
        <w:numPr>
          <w:ilvl w:val="0"/>
          <w:numId w:val="36"/>
        </w:numPr>
        <w:spacing w:after="200"/>
        <w:contextualSpacing/>
        <w:rPr>
          <w:b/>
          <w:color w:val="852010" w:themeColor="accent3" w:themeShade="BF"/>
        </w:rPr>
      </w:pPr>
      <w:r>
        <w:rPr>
          <w:b/>
          <w:color w:val="852010" w:themeColor="accent3" w:themeShade="BF"/>
        </w:rPr>
        <w:t>В</w:t>
      </w:r>
      <w:r w:rsidR="00B93B17" w:rsidRPr="00B93B17">
        <w:rPr>
          <w:b/>
          <w:color w:val="852010" w:themeColor="accent3" w:themeShade="BF"/>
        </w:rPr>
        <w:t xml:space="preserve"> Закона за съдебната власт</w:t>
      </w:r>
    </w:p>
    <w:p w14:paraId="45C5BB2D" w14:textId="77777777" w:rsidR="00B93B17" w:rsidRPr="00B93B17" w:rsidRDefault="00B93B17" w:rsidP="00B93B17">
      <w:pPr>
        <w:rPr>
          <w:szCs w:val="24"/>
        </w:rPr>
      </w:pPr>
      <w:r w:rsidRPr="00B93B17">
        <w:rPr>
          <w:szCs w:val="24"/>
        </w:rPr>
        <w:t>Съгласно действащата разпоредба на чл. 218, ал. 2 от Закона за съдебната власт основното „месечно възнаграждение за най-ниската съдийска, прокурорска и следователска длъжност се определя в размер на удвоената средномесечна заплата на заетите лица в бюджетната сфера съгласно данните на Националния статистически институт“ (НСИ). Разпоредбата не конкретизира периода, който следва да послужи за база за определяне на тези възнаграждения. Това се извършва един път в годината, тъй като в предложения от Министерския съвет вариант на бюджет на съдебната власт се осигуряват средства за еднократно индексиране на трудовите възнаграждения с определен процент на база получаваните възнаграждения от предходната година. Данните на НСИ относно заплатите в бюджетната сфера обаче се публикуват за всяко тримесечие. Автоматичното актуализиране на възнагражденията за най-ниската длъжност (младшите магистрати) би довело до непредвидена необходимост от увеличаване на бюджетните разходи в хода на годината. Тъй като принципът в публичния сектор е актуализацията да се случва един път в годината на база постигнатото възнаграждение през предходната година, се предлага при определяне възнагражденията за младшите магистрати да се съобразява размерът на заплатата на заетите лица в бюджетната сфера на база предходната година.</w:t>
      </w:r>
    </w:p>
    <w:p w14:paraId="4DAA75A7" w14:textId="77777777" w:rsidR="00665688" w:rsidRDefault="00B93B17" w:rsidP="00665688">
      <w:r w:rsidRPr="00B93B17">
        <w:t xml:space="preserve">Също така, в някои случаи данните на НСИ могат да сочат размер, по-голям от този, заложен като индексация по бюджета на съдебната власт, при което възнаграждението на младши магистратите би надвишавало това на следващите нива, поради което следва </w:t>
      </w:r>
      <w:r w:rsidRPr="00B93B17">
        <w:lastRenderedPageBreak/>
        <w:t>като горна граница на тяхното възнаграждение да се предвиди 90% от възнаграждението на магистратите в районен съд или районна прокуратура.</w:t>
      </w:r>
    </w:p>
    <w:p w14:paraId="1F706C60" w14:textId="77777777" w:rsidR="00327EBC" w:rsidRPr="00764729" w:rsidRDefault="00327EBC" w:rsidP="00764729">
      <w:pPr>
        <w:pStyle w:val="ListParagraph"/>
        <w:numPr>
          <w:ilvl w:val="0"/>
          <w:numId w:val="36"/>
        </w:numPr>
        <w:spacing w:after="200"/>
        <w:contextualSpacing/>
      </w:pPr>
      <w:r w:rsidRPr="00764729">
        <w:rPr>
          <w:b/>
          <w:color w:val="852010" w:themeColor="accent3" w:themeShade="BF"/>
        </w:rPr>
        <w:t>В преходните и заключителни</w:t>
      </w:r>
      <w:r w:rsidR="00764729" w:rsidRPr="00764729">
        <w:rPr>
          <w:b/>
          <w:color w:val="852010" w:themeColor="accent3" w:themeShade="BF"/>
        </w:rPr>
        <w:t>те</w:t>
      </w:r>
      <w:r w:rsidRPr="00764729">
        <w:rPr>
          <w:b/>
          <w:color w:val="852010" w:themeColor="accent3" w:themeShade="BF"/>
        </w:rPr>
        <w:t xml:space="preserve"> разпоредби на Закона за отбрана</w:t>
      </w:r>
      <w:r w:rsidR="00553764" w:rsidRPr="00764729">
        <w:rPr>
          <w:b/>
          <w:color w:val="852010" w:themeColor="accent3" w:themeShade="BF"/>
        </w:rPr>
        <w:t>та</w:t>
      </w:r>
      <w:r w:rsidRPr="00764729">
        <w:rPr>
          <w:b/>
          <w:color w:val="852010" w:themeColor="accent3" w:themeShade="BF"/>
        </w:rPr>
        <w:t xml:space="preserve"> и въоръжените сили на Република България, Закона за Министерството на вътрешните работи и Закона за Националната служба за охрана </w:t>
      </w:r>
      <w:r w:rsidRPr="00764729">
        <w:t xml:space="preserve">се предлага за 2026 г. да не се прилагат съответните разпоредби относно  </w:t>
      </w:r>
      <w:r w:rsidR="00971C19" w:rsidRPr="00764729">
        <w:t xml:space="preserve">обвързването със средната работна заплата на </w:t>
      </w:r>
      <w:r w:rsidRPr="00764729">
        <w:t xml:space="preserve">базата за определяне размера на основното месечно възнаграждение/основната месечна заплата, като за 2026 г. се предлага да бъде запазена базата от 2025 г., индексирана с </w:t>
      </w:r>
      <w:r w:rsidR="00E71766" w:rsidRPr="00764729">
        <w:t>10</w:t>
      </w:r>
      <w:r w:rsidRPr="00764729">
        <w:t>%.</w:t>
      </w:r>
    </w:p>
    <w:p w14:paraId="36FA5726" w14:textId="77777777" w:rsidR="00665688" w:rsidRPr="00665688" w:rsidRDefault="00327EBC" w:rsidP="00665688">
      <w:r w:rsidRPr="00327EBC">
        <w:t xml:space="preserve">Прилагането на автоматичните механизми по отношение на </w:t>
      </w:r>
      <w:r w:rsidR="00894960">
        <w:t xml:space="preserve">определянето на </w:t>
      </w:r>
      <w:r w:rsidRPr="00327EBC">
        <w:t>възнагражденията</w:t>
      </w:r>
      <w:r w:rsidR="00894960">
        <w:t xml:space="preserve"> в някои сектори от бюджетната сфера и тяхната обвързаност със средната работна заплата</w:t>
      </w:r>
      <w:r w:rsidR="00553764">
        <w:t xml:space="preserve"> </w:t>
      </w:r>
      <w:r w:rsidRPr="00327EBC">
        <w:t>оказа значителен натиск върху държавния бюджет</w:t>
      </w:r>
      <w:r w:rsidR="00894960">
        <w:t xml:space="preserve"> и </w:t>
      </w:r>
      <w:r w:rsidRPr="00327EBC">
        <w:t>задълбоч</w:t>
      </w:r>
      <w:r w:rsidR="00894960">
        <w:t xml:space="preserve">и </w:t>
      </w:r>
      <w:r w:rsidRPr="00327EBC">
        <w:t>диспропорциите в заплащането</w:t>
      </w:r>
      <w:r w:rsidR="002D2B41">
        <w:t xml:space="preserve"> </w:t>
      </w:r>
      <w:r w:rsidR="00D50642">
        <w:t>в публичния сектор</w:t>
      </w:r>
      <w:r w:rsidRPr="00327EBC">
        <w:t xml:space="preserve">. </w:t>
      </w:r>
    </w:p>
    <w:p w14:paraId="3CEE1017" w14:textId="77777777" w:rsidR="00BA67B0" w:rsidRPr="00FD495F" w:rsidRDefault="00BA67B0" w:rsidP="006B367D">
      <w:pPr>
        <w:rPr>
          <w:b/>
        </w:rPr>
        <w:sectPr w:rsidR="00BA67B0" w:rsidRPr="00FD495F" w:rsidSect="00C429D8">
          <w:pgSz w:w="11906" w:h="16838" w:code="9"/>
          <w:pgMar w:top="1418" w:right="1418" w:bottom="851" w:left="1418" w:header="708" w:footer="708" w:gutter="0"/>
          <w:cols w:space="708"/>
          <w:titlePg/>
          <w:docGrid w:linePitch="360"/>
        </w:sectPr>
      </w:pPr>
    </w:p>
    <w:bookmarkStart w:id="537" w:name="_Toc216029371"/>
    <w:p w14:paraId="13EC208B" w14:textId="77777777" w:rsidR="00D56DB0" w:rsidRPr="00AA15E0" w:rsidRDefault="001E0DF0" w:rsidP="00F75999">
      <w:pPr>
        <w:pStyle w:val="Heading1"/>
        <w:rPr>
          <w:color w:val="auto"/>
        </w:rPr>
      </w:pPr>
      <w:r w:rsidRPr="001E0DF0">
        <w:rPr>
          <w:noProof/>
        </w:rPr>
        <w:lastRenderedPageBreak/>
        <mc:AlternateContent>
          <mc:Choice Requires="wps">
            <w:drawing>
              <wp:anchor distT="0" distB="0" distL="114300" distR="114300" simplePos="0" relativeHeight="251635200" behindDoc="0" locked="0" layoutInCell="1" allowOverlap="1" wp14:anchorId="7DA87B03" wp14:editId="43842AFC">
                <wp:simplePos x="0" y="0"/>
                <wp:positionH relativeFrom="column">
                  <wp:posOffset>-706120</wp:posOffset>
                </wp:positionH>
                <wp:positionV relativeFrom="paragraph">
                  <wp:posOffset>749935</wp:posOffset>
                </wp:positionV>
                <wp:extent cx="10685780" cy="0"/>
                <wp:effectExtent l="0" t="0" r="20320" b="19050"/>
                <wp:wrapNone/>
                <wp:docPr id="699" name="Straight Connector 699"/>
                <wp:cNvGraphicFramePr/>
                <a:graphic xmlns:a="http://schemas.openxmlformats.org/drawingml/2006/main">
                  <a:graphicData uri="http://schemas.microsoft.com/office/word/2010/wordprocessingShape">
                    <wps:wsp>
                      <wps:cNvCnPr/>
                      <wps:spPr>
                        <a:xfrm>
                          <a:off x="0" y="0"/>
                          <a:ext cx="1068578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BC7B14" id="Straight Connector 699" o:spid="_x0000_s1026" style="position:absolute;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6pt,59.05pt" to="785.8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" strokecolor="#b32c16 [3206]"/>
            </w:pict>
          </mc:Fallback>
        </mc:AlternateContent>
      </w:r>
      <w:r w:rsidRPr="001E0DF0">
        <w:rPr>
          <w:noProof/>
        </w:rPr>
        <mc:AlternateContent>
          <mc:Choice Requires="wps">
            <w:drawing>
              <wp:anchor distT="0" distB="0" distL="114300" distR="114300" simplePos="0" relativeHeight="251633152" behindDoc="1" locked="0" layoutInCell="1" allowOverlap="1" wp14:anchorId="4071D9FE" wp14:editId="6AC4B3F2">
                <wp:simplePos x="0" y="0"/>
                <wp:positionH relativeFrom="page">
                  <wp:posOffset>0</wp:posOffset>
                </wp:positionH>
                <wp:positionV relativeFrom="page">
                  <wp:posOffset>0</wp:posOffset>
                </wp:positionV>
                <wp:extent cx="10684800" cy="1652400"/>
                <wp:effectExtent l="0" t="0" r="2540" b="5080"/>
                <wp:wrapNone/>
                <wp:docPr id="698" name="Rectangle 698"/>
                <wp:cNvGraphicFramePr/>
                <a:graphic xmlns:a="http://schemas.openxmlformats.org/drawingml/2006/main">
                  <a:graphicData uri="http://schemas.microsoft.com/office/word/2010/wordprocessingShape">
                    <wps:wsp>
                      <wps:cNvSpPr/>
                      <wps:spPr>
                        <a:xfrm>
                          <a:off x="0" y="0"/>
                          <a:ext cx="10684800" cy="1652400"/>
                        </a:xfrm>
                        <a:prstGeom prst="rect">
                          <a:avLst/>
                        </a:prstGeom>
                        <a:solidFill>
                          <a:schemeClr val="accent3">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9B0D3" id="Rectangle 698" o:spid="_x0000_s1026" style="position:absolute;margin-left:0;margin-top:0;width:841.3pt;height:130.1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" fillcolor="#f8cec7 [662]" stroked="f" strokeweight="1pt">
                <w10:wrap anchorx="page" anchory="page"/>
              </v:rect>
            </w:pict>
          </mc:Fallback>
        </mc:AlternateContent>
      </w:r>
      <w:r w:rsidR="00A40B97">
        <w:t xml:space="preserve"> </w:t>
      </w:r>
      <w:bookmarkStart w:id="538" w:name="_Toc465205582"/>
      <w:r w:rsidR="00D56DB0" w:rsidRPr="001E0DF0">
        <w:rPr>
          <w:color w:val="auto"/>
        </w:rPr>
        <w:t>Приложения</w:t>
      </w:r>
      <w:bookmarkEnd w:id="522"/>
      <w:bookmarkEnd w:id="523"/>
      <w:bookmarkEnd w:id="524"/>
      <w:bookmarkEnd w:id="525"/>
      <w:bookmarkEnd w:id="526"/>
      <w:bookmarkEnd w:id="527"/>
      <w:bookmarkEnd w:id="537"/>
      <w:bookmarkEnd w:id="538"/>
    </w:p>
    <w:p w14:paraId="64A93455" w14:textId="77777777" w:rsidR="00270AAD" w:rsidRDefault="00270AAD" w:rsidP="00DE6798">
      <w:pPr>
        <w:pStyle w:val="Heading2"/>
        <w:sectPr w:rsidR="00270AAD" w:rsidSect="002D7CED">
          <w:type w:val="oddPage"/>
          <w:pgSz w:w="16838" w:h="11906" w:orient="landscape" w:code="9"/>
          <w:pgMar w:top="1418" w:right="1134" w:bottom="851" w:left="1134" w:header="709" w:footer="709" w:gutter="0"/>
          <w:cols w:num="2" w:space="708"/>
          <w:titlePg/>
          <w:docGrid w:linePitch="360"/>
        </w:sectPr>
      </w:pPr>
    </w:p>
    <w:p w14:paraId="4A4997CA" w14:textId="77777777" w:rsidR="00E42934" w:rsidRPr="00AA3F66" w:rsidRDefault="00D427A3" w:rsidP="00DE6798">
      <w:pPr>
        <w:pStyle w:val="Heading2"/>
      </w:pPr>
      <w:bookmarkStart w:id="539" w:name="_ПРИЛОЖЕНИЕ_№_1:"/>
      <w:bookmarkStart w:id="540" w:name="_Toc216029372"/>
      <w:bookmarkStart w:id="541" w:name="_Toc465205583"/>
      <w:bookmarkEnd w:id="539"/>
      <w:r w:rsidRPr="00AA3F66">
        <w:t xml:space="preserve">Приложение </w:t>
      </w:r>
      <w:r w:rsidR="00574A2C" w:rsidRPr="00AA3F66">
        <w:t xml:space="preserve">№ 1: </w:t>
      </w:r>
      <w:r w:rsidR="005D4B70" w:rsidRPr="00AA3F66">
        <w:br/>
      </w:r>
      <w:r w:rsidR="00574A2C" w:rsidRPr="00AA3F66">
        <w:t>П</w:t>
      </w:r>
      <w:r w:rsidR="00E42934" w:rsidRPr="00AA3F66">
        <w:t>реглед на изпълнението на</w:t>
      </w:r>
      <w:r w:rsidR="0011358B" w:rsidRPr="00AA3F66">
        <w:t xml:space="preserve"> К</w:t>
      </w:r>
      <w:r w:rsidR="003B3137">
        <w:t>ФП за 2024</w:t>
      </w:r>
      <w:r w:rsidR="004F5471">
        <w:t xml:space="preserve"> г.</w:t>
      </w:r>
      <w:r w:rsidR="002A7385">
        <w:t>, и</w:t>
      </w:r>
      <w:r w:rsidR="0006604F">
        <w:t>зпълнение на КФП към 30.09</w:t>
      </w:r>
      <w:r w:rsidR="004D04F7">
        <w:t>.</w:t>
      </w:r>
      <w:r w:rsidR="003B3137">
        <w:t>2025 г. и оценка за изпълнението на КФП за 2025 г.</w:t>
      </w:r>
      <w:bookmarkEnd w:id="540"/>
    </w:p>
    <w:p w14:paraId="04510457" w14:textId="77777777" w:rsidR="00574A2C" w:rsidRPr="00AA3F66" w:rsidRDefault="00EB33FD" w:rsidP="00C76C3A">
      <w:pPr>
        <w:pStyle w:val="Heading2"/>
        <w:numPr>
          <w:ilvl w:val="1"/>
          <w:numId w:val="3"/>
        </w:numPr>
        <w:ind w:hanging="270"/>
      </w:pPr>
      <w:bookmarkStart w:id="542" w:name="_Toc216029373"/>
      <w:bookmarkEnd w:id="528"/>
      <w:bookmarkEnd w:id="529"/>
      <w:bookmarkEnd w:id="530"/>
      <w:bookmarkEnd w:id="531"/>
      <w:bookmarkEnd w:id="532"/>
      <w:bookmarkEnd w:id="533"/>
      <w:bookmarkEnd w:id="534"/>
      <w:bookmarkEnd w:id="535"/>
      <w:bookmarkEnd w:id="536"/>
      <w:bookmarkEnd w:id="541"/>
      <w:r w:rsidRPr="00AA3F66">
        <w:t>Преглед на изпълнението на КФП за 202</w:t>
      </w:r>
      <w:r w:rsidR="003B3137">
        <w:t>4</w:t>
      </w:r>
      <w:r w:rsidRPr="00AA3F66">
        <w:t xml:space="preserve"> г.</w:t>
      </w:r>
      <w:r w:rsidR="00F53D6C" w:rsidRPr="00F53D6C">
        <w:rPr>
          <w:rStyle w:val="FootnoteReference"/>
          <w:color w:val="852010" w:themeColor="accent3" w:themeShade="BF"/>
          <w:sz w:val="20"/>
          <w:szCs w:val="20"/>
        </w:rPr>
        <w:footnoteReference w:id="52"/>
      </w:r>
      <w:bookmarkEnd w:id="542"/>
    </w:p>
    <w:p w14:paraId="33203CEC" w14:textId="77777777" w:rsidR="0006604F" w:rsidRPr="0006604F" w:rsidRDefault="00F53246" w:rsidP="0006604F">
      <w:pPr>
        <w:spacing w:after="60"/>
        <w:ind w:right="259"/>
        <w:jc w:val="right"/>
        <w:rPr>
          <w:rFonts w:eastAsia="Batang"/>
          <w:sz w:val="18"/>
          <w:szCs w:val="18"/>
        </w:rPr>
      </w:pPr>
      <w:r w:rsidRPr="00F53246">
        <w:rPr>
          <w:rFonts w:eastAsia="Batang"/>
          <w:sz w:val="18"/>
          <w:szCs w:val="18"/>
        </w:rPr>
        <w:t>(в млн.</w:t>
      </w:r>
      <w:r w:rsidR="00FB3B52">
        <w:rPr>
          <w:rFonts w:eastAsia="Batang"/>
          <w:sz w:val="18"/>
          <w:szCs w:val="18"/>
        </w:rPr>
        <w:t xml:space="preserve"> </w:t>
      </w:r>
      <w:r w:rsidR="00310A97">
        <w:rPr>
          <w:rFonts w:eastAsia="Batang"/>
          <w:sz w:val="18"/>
          <w:szCs w:val="18"/>
        </w:rPr>
        <w:t>евро</w:t>
      </w:r>
      <w:r w:rsidR="00647705" w:rsidRPr="00F53246">
        <w:rPr>
          <w:rFonts w:eastAsia="Batang"/>
          <w:sz w:val="18"/>
          <w:szCs w:val="18"/>
        </w:rPr>
        <w:t>)</w:t>
      </w:r>
    </w:p>
    <w:tbl>
      <w:tblPr>
        <w:tblW w:w="14466" w:type="dxa"/>
        <w:jc w:val="center"/>
        <w:tblLayout w:type="fixed"/>
        <w:tblLook w:val="04A0" w:firstRow="1" w:lastRow="0" w:firstColumn="1" w:lastColumn="0" w:noHBand="0" w:noVBand="1"/>
      </w:tblPr>
      <w:tblGrid>
        <w:gridCol w:w="6606"/>
        <w:gridCol w:w="1792"/>
        <w:gridCol w:w="1517"/>
        <w:gridCol w:w="1379"/>
        <w:gridCol w:w="1460"/>
        <w:gridCol w:w="1712"/>
      </w:tblGrid>
      <w:tr w:rsidR="0006604F" w:rsidRPr="002E7DF5" w14:paraId="24DE86B5" w14:textId="77777777" w:rsidTr="00D81C97">
        <w:trPr>
          <w:trHeight w:val="32"/>
          <w:tblHeader/>
          <w:jc w:val="center"/>
        </w:trPr>
        <w:tc>
          <w:tcPr>
            <w:tcW w:w="6606" w:type="dxa"/>
            <w:vMerge w:val="restart"/>
            <w:tcBorders>
              <w:top w:val="single" w:sz="4" w:space="0" w:color="auto"/>
            </w:tcBorders>
            <w:shd w:val="clear" w:color="auto" w:fill="auto"/>
            <w:noWrap/>
            <w:vAlign w:val="center"/>
            <w:hideMark/>
          </w:tcPr>
          <w:p w14:paraId="76CDEFDD" w14:textId="77777777" w:rsidR="0006604F" w:rsidRPr="002E7DF5" w:rsidRDefault="0006604F" w:rsidP="00B4306D">
            <w:pPr>
              <w:spacing w:after="0"/>
              <w:jc w:val="center"/>
              <w:rPr>
                <w:rFonts w:eastAsia="Times New Roman" w:cs="Times New Roman"/>
                <w:b/>
                <w:bCs/>
                <w:sz w:val="18"/>
                <w:szCs w:val="18"/>
                <w:lang w:val="en-US"/>
              </w:rPr>
            </w:pPr>
            <w:r>
              <w:rPr>
                <w:rFonts w:eastAsia="Times New Roman" w:cs="Times New Roman"/>
                <w:b/>
                <w:bCs/>
                <w:sz w:val="18"/>
                <w:szCs w:val="18"/>
              </w:rPr>
              <w:t>П</w:t>
            </w:r>
            <w:r w:rsidRPr="002E7DF5">
              <w:rPr>
                <w:rFonts w:eastAsia="Times New Roman" w:cs="Times New Roman"/>
                <w:b/>
                <w:bCs/>
                <w:sz w:val="18"/>
                <w:szCs w:val="18"/>
              </w:rPr>
              <w:t>ОКАЗАТЕЛ</w:t>
            </w:r>
          </w:p>
        </w:tc>
        <w:tc>
          <w:tcPr>
            <w:tcW w:w="1792" w:type="dxa"/>
            <w:vMerge w:val="restart"/>
            <w:tcBorders>
              <w:top w:val="single" w:sz="4" w:space="0" w:color="auto"/>
            </w:tcBorders>
            <w:shd w:val="clear" w:color="auto" w:fill="auto"/>
            <w:noWrap/>
            <w:vAlign w:val="center"/>
            <w:hideMark/>
          </w:tcPr>
          <w:p w14:paraId="5577F216" w14:textId="77777777" w:rsidR="0006604F" w:rsidRDefault="0006604F" w:rsidP="00B4306D">
            <w:pPr>
              <w:spacing w:after="0"/>
              <w:jc w:val="center"/>
              <w:rPr>
                <w:rFonts w:eastAsia="Times New Roman" w:cs="Times New Roman"/>
                <w:b/>
                <w:bCs/>
                <w:sz w:val="18"/>
                <w:szCs w:val="18"/>
              </w:rPr>
            </w:pPr>
            <w:r>
              <w:rPr>
                <w:rFonts w:eastAsia="Times New Roman" w:cs="Times New Roman"/>
                <w:b/>
                <w:bCs/>
                <w:sz w:val="18"/>
                <w:szCs w:val="18"/>
              </w:rPr>
              <w:t>Програма</w:t>
            </w:r>
            <w:r w:rsidRPr="006C00DD">
              <w:rPr>
                <w:rFonts w:eastAsia="Times New Roman" w:cs="Times New Roman"/>
                <w:b/>
                <w:bCs/>
                <w:sz w:val="18"/>
                <w:szCs w:val="18"/>
                <w:vertAlign w:val="superscript"/>
              </w:rPr>
              <w:footnoteReference w:id="53"/>
            </w:r>
            <w:r w:rsidRPr="002E7DF5">
              <w:rPr>
                <w:rFonts w:eastAsia="Times New Roman" w:cs="Times New Roman"/>
                <w:b/>
                <w:bCs/>
                <w:sz w:val="18"/>
                <w:szCs w:val="18"/>
              </w:rPr>
              <w:t xml:space="preserve"> </w:t>
            </w:r>
          </w:p>
          <w:p w14:paraId="758F191F" w14:textId="77777777" w:rsidR="0006604F" w:rsidRPr="002E7DF5" w:rsidRDefault="0006604F" w:rsidP="00B4306D">
            <w:pPr>
              <w:spacing w:after="0"/>
              <w:jc w:val="center"/>
              <w:rPr>
                <w:rFonts w:eastAsia="Times New Roman" w:cs="Times New Roman"/>
                <w:b/>
                <w:bCs/>
                <w:sz w:val="18"/>
                <w:szCs w:val="18"/>
                <w:lang w:val="en-US"/>
              </w:rPr>
            </w:pPr>
            <w:r w:rsidRPr="002E7DF5">
              <w:rPr>
                <w:rFonts w:eastAsia="Times New Roman" w:cs="Times New Roman"/>
                <w:b/>
                <w:bCs/>
                <w:sz w:val="18"/>
                <w:szCs w:val="18"/>
              </w:rPr>
              <w:t>20</w:t>
            </w:r>
            <w:r>
              <w:rPr>
                <w:rFonts w:eastAsia="Times New Roman" w:cs="Times New Roman"/>
                <w:b/>
                <w:bCs/>
                <w:sz w:val="18"/>
                <w:szCs w:val="18"/>
              </w:rPr>
              <w:t>24</w:t>
            </w:r>
            <w:r w:rsidRPr="002E7DF5">
              <w:rPr>
                <w:rFonts w:eastAsia="Times New Roman" w:cs="Times New Roman"/>
                <w:b/>
                <w:bCs/>
                <w:sz w:val="18"/>
                <w:szCs w:val="18"/>
              </w:rPr>
              <w:t xml:space="preserve"> г.</w:t>
            </w:r>
          </w:p>
        </w:tc>
        <w:tc>
          <w:tcPr>
            <w:tcW w:w="6068" w:type="dxa"/>
            <w:gridSpan w:val="4"/>
            <w:tcBorders>
              <w:top w:val="single" w:sz="4" w:space="0" w:color="auto"/>
            </w:tcBorders>
            <w:shd w:val="clear" w:color="auto" w:fill="F2F2F2" w:themeFill="background1" w:themeFillShade="F2"/>
            <w:noWrap/>
            <w:vAlign w:val="center"/>
            <w:hideMark/>
          </w:tcPr>
          <w:p w14:paraId="0DC3A005" w14:textId="77777777" w:rsidR="0006604F" w:rsidRPr="005D554A" w:rsidRDefault="0006604F" w:rsidP="00B4306D">
            <w:pPr>
              <w:spacing w:after="0"/>
              <w:jc w:val="center"/>
              <w:rPr>
                <w:rFonts w:eastAsia="Times New Roman" w:cs="Times New Roman"/>
                <w:b/>
                <w:bCs/>
                <w:sz w:val="18"/>
                <w:szCs w:val="18"/>
                <w:lang w:val="ru-RU"/>
              </w:rPr>
            </w:pPr>
            <w:r w:rsidRPr="002E7DF5">
              <w:rPr>
                <w:rFonts w:eastAsia="Times New Roman" w:cs="Times New Roman"/>
                <w:b/>
                <w:bCs/>
                <w:sz w:val="18"/>
                <w:szCs w:val="18"/>
              </w:rPr>
              <w:t>Отчет 31.12.202</w:t>
            </w:r>
            <w:r>
              <w:rPr>
                <w:rFonts w:eastAsia="Times New Roman" w:cs="Times New Roman"/>
                <w:b/>
                <w:bCs/>
                <w:sz w:val="18"/>
                <w:szCs w:val="18"/>
              </w:rPr>
              <w:t>4</w:t>
            </w:r>
            <w:r w:rsidRPr="002E7DF5">
              <w:rPr>
                <w:rFonts w:eastAsia="Times New Roman" w:cs="Times New Roman"/>
                <w:b/>
                <w:bCs/>
                <w:sz w:val="18"/>
                <w:szCs w:val="18"/>
              </w:rPr>
              <w:t xml:space="preserve"> г.</w:t>
            </w:r>
          </w:p>
        </w:tc>
      </w:tr>
      <w:tr w:rsidR="0006604F" w:rsidRPr="002E7DF5" w14:paraId="75DCEC79" w14:textId="77777777" w:rsidTr="00D81C97">
        <w:trPr>
          <w:trHeight w:val="454"/>
          <w:tblHeader/>
          <w:jc w:val="center"/>
        </w:trPr>
        <w:tc>
          <w:tcPr>
            <w:tcW w:w="6606" w:type="dxa"/>
            <w:vMerge/>
            <w:shd w:val="clear" w:color="auto" w:fill="auto"/>
            <w:vAlign w:val="center"/>
            <w:hideMark/>
          </w:tcPr>
          <w:p w14:paraId="07E28BA6" w14:textId="77777777" w:rsidR="0006604F" w:rsidRPr="005D554A" w:rsidRDefault="0006604F" w:rsidP="00B4306D">
            <w:pPr>
              <w:spacing w:after="0"/>
              <w:rPr>
                <w:rFonts w:eastAsia="Times New Roman" w:cs="Times New Roman"/>
                <w:b/>
                <w:bCs/>
                <w:sz w:val="18"/>
                <w:szCs w:val="18"/>
                <w:lang w:val="ru-RU"/>
              </w:rPr>
            </w:pPr>
          </w:p>
        </w:tc>
        <w:tc>
          <w:tcPr>
            <w:tcW w:w="1792" w:type="dxa"/>
            <w:vMerge/>
            <w:shd w:val="clear" w:color="auto" w:fill="auto"/>
            <w:vAlign w:val="center"/>
            <w:hideMark/>
          </w:tcPr>
          <w:p w14:paraId="19141422" w14:textId="77777777" w:rsidR="0006604F" w:rsidRPr="005D554A" w:rsidRDefault="0006604F" w:rsidP="00B4306D">
            <w:pPr>
              <w:spacing w:after="0"/>
              <w:rPr>
                <w:rFonts w:eastAsia="Times New Roman" w:cs="Times New Roman"/>
                <w:b/>
                <w:bCs/>
                <w:sz w:val="18"/>
                <w:szCs w:val="18"/>
                <w:lang w:val="ru-RU"/>
              </w:rPr>
            </w:pPr>
          </w:p>
        </w:tc>
        <w:tc>
          <w:tcPr>
            <w:tcW w:w="1517" w:type="dxa"/>
            <w:shd w:val="clear" w:color="auto" w:fill="F2F2F2" w:themeFill="background1" w:themeFillShade="F2"/>
            <w:noWrap/>
            <w:vAlign w:val="center"/>
            <w:hideMark/>
          </w:tcPr>
          <w:p w14:paraId="32551200" w14:textId="77777777" w:rsidR="0006604F" w:rsidRPr="005D554A" w:rsidRDefault="0006604F" w:rsidP="00B4306D">
            <w:pPr>
              <w:spacing w:after="0"/>
              <w:jc w:val="center"/>
              <w:rPr>
                <w:rFonts w:eastAsia="Times New Roman" w:cs="Times New Roman"/>
                <w:b/>
                <w:bCs/>
                <w:sz w:val="18"/>
                <w:szCs w:val="18"/>
                <w:lang w:val="ru-RU"/>
              </w:rPr>
            </w:pPr>
            <w:r w:rsidRPr="002E7DF5">
              <w:rPr>
                <w:rFonts w:eastAsia="Times New Roman" w:cs="Times New Roman"/>
                <w:b/>
                <w:bCs/>
                <w:sz w:val="18"/>
                <w:szCs w:val="18"/>
              </w:rPr>
              <w:t>КФП*</w:t>
            </w:r>
          </w:p>
        </w:tc>
        <w:tc>
          <w:tcPr>
            <w:tcW w:w="1379" w:type="dxa"/>
            <w:shd w:val="clear" w:color="auto" w:fill="F2F2F2" w:themeFill="background1" w:themeFillShade="F2"/>
            <w:vAlign w:val="center"/>
            <w:hideMark/>
          </w:tcPr>
          <w:p w14:paraId="04A065F1" w14:textId="77777777" w:rsidR="0006604F" w:rsidRPr="005D554A" w:rsidRDefault="0006604F" w:rsidP="00B4306D">
            <w:pPr>
              <w:spacing w:after="0"/>
              <w:ind w:right="-129"/>
              <w:jc w:val="center"/>
              <w:rPr>
                <w:rFonts w:eastAsia="Times New Roman" w:cs="Times New Roman"/>
                <w:b/>
                <w:bCs/>
                <w:sz w:val="18"/>
                <w:szCs w:val="18"/>
                <w:lang w:val="ru-RU"/>
              </w:rPr>
            </w:pPr>
            <w:r w:rsidRPr="002E7DF5">
              <w:rPr>
                <w:rFonts w:eastAsia="Times New Roman" w:cs="Times New Roman"/>
                <w:b/>
                <w:bCs/>
                <w:sz w:val="18"/>
                <w:szCs w:val="18"/>
              </w:rPr>
              <w:t>Национален бюджет</w:t>
            </w:r>
          </w:p>
        </w:tc>
        <w:tc>
          <w:tcPr>
            <w:tcW w:w="1460" w:type="dxa"/>
            <w:shd w:val="clear" w:color="auto" w:fill="F2F2F2" w:themeFill="background1" w:themeFillShade="F2"/>
            <w:vAlign w:val="center"/>
            <w:hideMark/>
          </w:tcPr>
          <w:p w14:paraId="18737D29" w14:textId="77777777" w:rsidR="0006604F" w:rsidRPr="005D554A" w:rsidRDefault="0006604F" w:rsidP="00B4306D">
            <w:pPr>
              <w:spacing w:after="0"/>
              <w:jc w:val="center"/>
              <w:rPr>
                <w:rFonts w:eastAsia="Times New Roman" w:cs="Times New Roman"/>
                <w:b/>
                <w:bCs/>
                <w:sz w:val="18"/>
                <w:szCs w:val="18"/>
                <w:lang w:val="ru-RU"/>
              </w:rPr>
            </w:pPr>
            <w:r>
              <w:rPr>
                <w:rFonts w:eastAsia="Times New Roman" w:cs="Times New Roman"/>
                <w:b/>
                <w:bCs/>
                <w:sz w:val="18"/>
                <w:szCs w:val="18"/>
              </w:rPr>
              <w:t>ЕС</w:t>
            </w:r>
            <w:r w:rsidRPr="002E7DF5">
              <w:rPr>
                <w:rStyle w:val="FootnoteReference"/>
                <w:rFonts w:eastAsia="Times New Roman"/>
              </w:rPr>
              <w:footnoteReference w:id="54"/>
            </w:r>
          </w:p>
        </w:tc>
        <w:tc>
          <w:tcPr>
            <w:tcW w:w="1711" w:type="dxa"/>
            <w:shd w:val="clear" w:color="auto" w:fill="F2F2F2" w:themeFill="background1" w:themeFillShade="F2"/>
            <w:vAlign w:val="center"/>
            <w:hideMark/>
          </w:tcPr>
          <w:p w14:paraId="219540A0" w14:textId="77777777" w:rsidR="0006604F" w:rsidRPr="005D554A" w:rsidRDefault="0006604F" w:rsidP="00B4306D">
            <w:pPr>
              <w:spacing w:after="0"/>
              <w:jc w:val="center"/>
              <w:rPr>
                <w:rFonts w:eastAsia="Times New Roman" w:cs="Times New Roman"/>
                <w:b/>
                <w:bCs/>
                <w:sz w:val="18"/>
                <w:szCs w:val="18"/>
                <w:lang w:val="ru-RU"/>
              </w:rPr>
            </w:pPr>
            <w:r>
              <w:rPr>
                <w:rFonts w:eastAsia="Times New Roman" w:cs="Times New Roman"/>
                <w:b/>
                <w:bCs/>
                <w:sz w:val="18"/>
                <w:szCs w:val="18"/>
              </w:rPr>
              <w:t>с</w:t>
            </w:r>
            <w:r w:rsidRPr="002E7DF5">
              <w:rPr>
                <w:rFonts w:eastAsia="Times New Roman" w:cs="Times New Roman"/>
                <w:b/>
                <w:bCs/>
                <w:sz w:val="18"/>
                <w:szCs w:val="18"/>
              </w:rPr>
              <w:t>прямо</w:t>
            </w:r>
            <w:r>
              <w:rPr>
                <w:rFonts w:eastAsia="Times New Roman" w:cs="Times New Roman"/>
                <w:b/>
                <w:bCs/>
                <w:sz w:val="18"/>
                <w:szCs w:val="18"/>
              </w:rPr>
              <w:t xml:space="preserve"> Програма</w:t>
            </w:r>
            <w:r w:rsidRPr="002E7DF5">
              <w:rPr>
                <w:rFonts w:eastAsia="Times New Roman" w:cs="Times New Roman"/>
                <w:b/>
                <w:bCs/>
                <w:sz w:val="18"/>
                <w:szCs w:val="18"/>
              </w:rPr>
              <w:t xml:space="preserve">    20</w:t>
            </w:r>
            <w:r>
              <w:rPr>
                <w:rFonts w:eastAsia="Times New Roman" w:cs="Times New Roman"/>
                <w:b/>
                <w:bCs/>
                <w:sz w:val="18"/>
                <w:szCs w:val="18"/>
              </w:rPr>
              <w:t>24</w:t>
            </w:r>
            <w:r w:rsidRPr="002E7DF5">
              <w:rPr>
                <w:rFonts w:eastAsia="Times New Roman" w:cs="Times New Roman"/>
                <w:b/>
                <w:bCs/>
                <w:sz w:val="18"/>
                <w:szCs w:val="18"/>
              </w:rPr>
              <w:t xml:space="preserve"> г.</w:t>
            </w:r>
          </w:p>
        </w:tc>
      </w:tr>
      <w:tr w:rsidR="0006604F" w:rsidRPr="002E7DF5" w14:paraId="0BDD521A" w14:textId="77777777" w:rsidTr="00D81C97">
        <w:trPr>
          <w:trHeight w:val="59"/>
          <w:tblHeader/>
          <w:jc w:val="center"/>
        </w:trPr>
        <w:tc>
          <w:tcPr>
            <w:tcW w:w="6606" w:type="dxa"/>
            <w:tcBorders>
              <w:bottom w:val="single" w:sz="4" w:space="0" w:color="auto"/>
            </w:tcBorders>
            <w:shd w:val="clear" w:color="auto" w:fill="auto"/>
            <w:noWrap/>
            <w:vAlign w:val="center"/>
            <w:hideMark/>
          </w:tcPr>
          <w:p w14:paraId="3768E08F" w14:textId="77777777" w:rsidR="0006604F" w:rsidRPr="005D554A" w:rsidRDefault="0006604F" w:rsidP="00B4306D">
            <w:pPr>
              <w:spacing w:after="0"/>
              <w:jc w:val="center"/>
              <w:rPr>
                <w:rFonts w:eastAsia="Times New Roman" w:cs="Times New Roman"/>
                <w:b/>
                <w:bCs/>
                <w:sz w:val="18"/>
                <w:szCs w:val="18"/>
                <w:lang w:val="ru-RU"/>
              </w:rPr>
            </w:pPr>
            <w:r w:rsidRPr="002E7DF5">
              <w:rPr>
                <w:rFonts w:eastAsia="Times New Roman" w:cs="Times New Roman"/>
                <w:b/>
                <w:bCs/>
                <w:sz w:val="18"/>
                <w:szCs w:val="18"/>
              </w:rPr>
              <w:t>к.</w:t>
            </w:r>
            <w:r w:rsidRPr="002E7DF5">
              <w:rPr>
                <w:rFonts w:eastAsia="Times New Roman" w:cs="Times New Roman"/>
                <w:b/>
                <w:bCs/>
                <w:sz w:val="16"/>
                <w:szCs w:val="16"/>
              </w:rPr>
              <w:t>1</w:t>
            </w:r>
          </w:p>
        </w:tc>
        <w:tc>
          <w:tcPr>
            <w:tcW w:w="1792" w:type="dxa"/>
            <w:tcBorders>
              <w:bottom w:val="single" w:sz="4" w:space="0" w:color="auto"/>
            </w:tcBorders>
            <w:shd w:val="clear" w:color="auto" w:fill="auto"/>
            <w:noWrap/>
            <w:vAlign w:val="center"/>
            <w:hideMark/>
          </w:tcPr>
          <w:p w14:paraId="4D7B9881" w14:textId="77777777" w:rsidR="0006604F" w:rsidRPr="005D554A" w:rsidRDefault="0006604F" w:rsidP="00B4306D">
            <w:pPr>
              <w:spacing w:after="0"/>
              <w:jc w:val="center"/>
              <w:rPr>
                <w:rFonts w:eastAsia="Times New Roman" w:cs="Times New Roman"/>
                <w:b/>
                <w:bCs/>
                <w:sz w:val="14"/>
                <w:szCs w:val="14"/>
                <w:lang w:val="ru-RU"/>
              </w:rPr>
            </w:pPr>
            <w:r w:rsidRPr="002E7DF5">
              <w:rPr>
                <w:rFonts w:eastAsia="Times New Roman" w:cs="Times New Roman"/>
                <w:b/>
                <w:bCs/>
                <w:sz w:val="14"/>
                <w:szCs w:val="14"/>
              </w:rPr>
              <w:t>к.2</w:t>
            </w:r>
          </w:p>
        </w:tc>
        <w:tc>
          <w:tcPr>
            <w:tcW w:w="1517" w:type="dxa"/>
            <w:tcBorders>
              <w:bottom w:val="single" w:sz="4" w:space="0" w:color="auto"/>
            </w:tcBorders>
            <w:shd w:val="clear" w:color="auto" w:fill="F2F2F2" w:themeFill="background1" w:themeFillShade="F2"/>
            <w:noWrap/>
            <w:vAlign w:val="center"/>
            <w:hideMark/>
          </w:tcPr>
          <w:p w14:paraId="19965C71" w14:textId="77777777" w:rsidR="0006604F" w:rsidRPr="005D554A" w:rsidRDefault="0006604F" w:rsidP="00B4306D">
            <w:pPr>
              <w:spacing w:after="0"/>
              <w:jc w:val="center"/>
              <w:rPr>
                <w:rFonts w:eastAsia="Times New Roman" w:cs="Times New Roman"/>
                <w:b/>
                <w:bCs/>
                <w:sz w:val="14"/>
                <w:szCs w:val="14"/>
                <w:lang w:val="ru-RU"/>
              </w:rPr>
            </w:pPr>
            <w:r w:rsidRPr="002E7DF5">
              <w:rPr>
                <w:rFonts w:eastAsia="Times New Roman" w:cs="Times New Roman"/>
                <w:b/>
                <w:bCs/>
                <w:sz w:val="14"/>
                <w:szCs w:val="14"/>
              </w:rPr>
              <w:t>к.3=к.4+к.5</w:t>
            </w:r>
          </w:p>
        </w:tc>
        <w:tc>
          <w:tcPr>
            <w:tcW w:w="1379" w:type="dxa"/>
            <w:tcBorders>
              <w:bottom w:val="single" w:sz="4" w:space="0" w:color="auto"/>
            </w:tcBorders>
            <w:shd w:val="clear" w:color="auto" w:fill="F2F2F2" w:themeFill="background1" w:themeFillShade="F2"/>
            <w:noWrap/>
            <w:vAlign w:val="center"/>
            <w:hideMark/>
          </w:tcPr>
          <w:p w14:paraId="38650AC8" w14:textId="77777777" w:rsidR="0006604F" w:rsidRPr="005D554A" w:rsidRDefault="0006604F" w:rsidP="00B4306D">
            <w:pPr>
              <w:spacing w:after="0"/>
              <w:ind w:right="-129"/>
              <w:jc w:val="center"/>
              <w:rPr>
                <w:rFonts w:eastAsia="Times New Roman" w:cs="Times New Roman"/>
                <w:b/>
                <w:bCs/>
                <w:sz w:val="14"/>
                <w:szCs w:val="14"/>
                <w:lang w:val="ru-RU"/>
              </w:rPr>
            </w:pPr>
            <w:r w:rsidRPr="002E7DF5">
              <w:rPr>
                <w:rFonts w:eastAsia="Times New Roman" w:cs="Times New Roman"/>
                <w:b/>
                <w:bCs/>
                <w:sz w:val="14"/>
                <w:szCs w:val="14"/>
              </w:rPr>
              <w:t>к.4</w:t>
            </w:r>
          </w:p>
        </w:tc>
        <w:tc>
          <w:tcPr>
            <w:tcW w:w="1460" w:type="dxa"/>
            <w:tcBorders>
              <w:bottom w:val="single" w:sz="4" w:space="0" w:color="auto"/>
            </w:tcBorders>
            <w:shd w:val="clear" w:color="auto" w:fill="F2F2F2" w:themeFill="background1" w:themeFillShade="F2"/>
            <w:noWrap/>
            <w:vAlign w:val="center"/>
            <w:hideMark/>
          </w:tcPr>
          <w:p w14:paraId="175B692F" w14:textId="77777777" w:rsidR="0006604F" w:rsidRPr="005D554A" w:rsidRDefault="0006604F" w:rsidP="00B4306D">
            <w:pPr>
              <w:spacing w:after="0"/>
              <w:jc w:val="center"/>
              <w:rPr>
                <w:rFonts w:eastAsia="Times New Roman" w:cs="Times New Roman"/>
                <w:b/>
                <w:bCs/>
                <w:sz w:val="14"/>
                <w:szCs w:val="14"/>
                <w:lang w:val="ru-RU"/>
              </w:rPr>
            </w:pPr>
            <w:r w:rsidRPr="002E7DF5">
              <w:rPr>
                <w:rFonts w:eastAsia="Times New Roman" w:cs="Times New Roman"/>
                <w:b/>
                <w:bCs/>
                <w:sz w:val="14"/>
                <w:szCs w:val="14"/>
              </w:rPr>
              <w:t>к.5</w:t>
            </w:r>
          </w:p>
        </w:tc>
        <w:tc>
          <w:tcPr>
            <w:tcW w:w="1711" w:type="dxa"/>
            <w:tcBorders>
              <w:bottom w:val="single" w:sz="4" w:space="0" w:color="auto"/>
            </w:tcBorders>
            <w:shd w:val="clear" w:color="auto" w:fill="F2F2F2" w:themeFill="background1" w:themeFillShade="F2"/>
            <w:noWrap/>
            <w:vAlign w:val="center"/>
            <w:hideMark/>
          </w:tcPr>
          <w:p w14:paraId="28DEF157" w14:textId="77777777" w:rsidR="0006604F" w:rsidRPr="005D554A" w:rsidRDefault="0006604F" w:rsidP="00B4306D">
            <w:pPr>
              <w:spacing w:after="0"/>
              <w:jc w:val="center"/>
              <w:rPr>
                <w:rFonts w:eastAsia="Times New Roman" w:cs="Times New Roman"/>
                <w:b/>
                <w:bCs/>
                <w:sz w:val="14"/>
                <w:szCs w:val="14"/>
                <w:lang w:val="ru-RU"/>
              </w:rPr>
            </w:pPr>
            <w:r w:rsidRPr="002E7DF5">
              <w:rPr>
                <w:rFonts w:eastAsia="Times New Roman" w:cs="Times New Roman"/>
                <w:b/>
                <w:bCs/>
                <w:sz w:val="14"/>
                <w:szCs w:val="14"/>
              </w:rPr>
              <w:t>к.</w:t>
            </w:r>
            <w:r>
              <w:rPr>
                <w:rFonts w:eastAsia="Times New Roman" w:cs="Times New Roman"/>
                <w:b/>
                <w:bCs/>
                <w:sz w:val="14"/>
                <w:szCs w:val="14"/>
              </w:rPr>
              <w:t>6</w:t>
            </w:r>
            <w:r w:rsidRPr="002E7DF5">
              <w:rPr>
                <w:rFonts w:eastAsia="Times New Roman" w:cs="Times New Roman"/>
                <w:b/>
                <w:bCs/>
                <w:sz w:val="14"/>
                <w:szCs w:val="14"/>
              </w:rPr>
              <w:t>=к.</w:t>
            </w:r>
            <w:r>
              <w:rPr>
                <w:rFonts w:eastAsia="Times New Roman" w:cs="Times New Roman"/>
                <w:b/>
                <w:bCs/>
                <w:sz w:val="14"/>
                <w:szCs w:val="14"/>
              </w:rPr>
              <w:t>3</w:t>
            </w:r>
            <w:r w:rsidRPr="002E7DF5">
              <w:rPr>
                <w:rFonts w:eastAsia="Times New Roman" w:cs="Times New Roman"/>
                <w:b/>
                <w:bCs/>
                <w:sz w:val="14"/>
                <w:szCs w:val="14"/>
              </w:rPr>
              <w:t>:к.2</w:t>
            </w:r>
          </w:p>
        </w:tc>
      </w:tr>
      <w:tr w:rsidR="0006604F" w:rsidRPr="002E7DF5" w14:paraId="640102E6" w14:textId="77777777" w:rsidTr="00B4306D">
        <w:trPr>
          <w:trHeight w:val="126"/>
          <w:jc w:val="center"/>
        </w:trPr>
        <w:tc>
          <w:tcPr>
            <w:tcW w:w="6606" w:type="dxa"/>
            <w:tcBorders>
              <w:top w:val="single" w:sz="4" w:space="0" w:color="auto"/>
            </w:tcBorders>
            <w:shd w:val="clear" w:color="auto" w:fill="auto"/>
            <w:noWrap/>
            <w:vAlign w:val="center"/>
            <w:hideMark/>
          </w:tcPr>
          <w:p w14:paraId="44A36B77" w14:textId="77777777" w:rsidR="0006604F" w:rsidRPr="007D2EF6" w:rsidRDefault="0006604F" w:rsidP="00B4306D">
            <w:pPr>
              <w:spacing w:after="0"/>
              <w:rPr>
                <w:rFonts w:eastAsia="Times New Roman" w:cs="Times New Roman"/>
                <w:b/>
                <w:bCs/>
                <w:sz w:val="18"/>
                <w:szCs w:val="18"/>
                <w:lang w:val="ru-RU"/>
              </w:rPr>
            </w:pPr>
            <w:r w:rsidRPr="002E7DF5">
              <w:rPr>
                <w:rFonts w:eastAsia="Times New Roman" w:cs="Times New Roman"/>
                <w:b/>
                <w:bCs/>
                <w:sz w:val="18"/>
                <w:szCs w:val="18"/>
              </w:rPr>
              <w:t>ПРИХОДИ, ПОМОЩИ И ДАРЕНИЯ</w:t>
            </w:r>
          </w:p>
        </w:tc>
        <w:tc>
          <w:tcPr>
            <w:tcW w:w="1792" w:type="dxa"/>
            <w:tcBorders>
              <w:top w:val="single" w:sz="4" w:space="0" w:color="auto"/>
            </w:tcBorders>
            <w:shd w:val="clear" w:color="auto" w:fill="auto"/>
            <w:noWrap/>
          </w:tcPr>
          <w:p w14:paraId="4C5E7AAA" w14:textId="77777777" w:rsidR="0006604F" w:rsidRPr="0025514C" w:rsidRDefault="0006604F" w:rsidP="00B4306D">
            <w:pPr>
              <w:spacing w:after="0"/>
              <w:jc w:val="right"/>
              <w:rPr>
                <w:rFonts w:cs="Times New Roman"/>
                <w:b/>
                <w:bCs/>
                <w:sz w:val="18"/>
                <w:szCs w:val="18"/>
              </w:rPr>
            </w:pPr>
            <w:r>
              <w:rPr>
                <w:rFonts w:cs="Times New Roman"/>
                <w:b/>
                <w:bCs/>
                <w:sz w:val="18"/>
                <w:szCs w:val="18"/>
              </w:rPr>
              <w:t>38 495,0</w:t>
            </w:r>
          </w:p>
        </w:tc>
        <w:tc>
          <w:tcPr>
            <w:tcW w:w="1517" w:type="dxa"/>
            <w:tcBorders>
              <w:top w:val="single" w:sz="4" w:space="0" w:color="auto"/>
            </w:tcBorders>
            <w:shd w:val="clear" w:color="auto" w:fill="F2F2F2" w:themeFill="background1" w:themeFillShade="F2"/>
            <w:noWrap/>
            <w:vAlign w:val="bottom"/>
          </w:tcPr>
          <w:p w14:paraId="5F949BB4" w14:textId="77777777" w:rsidR="0006604F" w:rsidRPr="00124E4C" w:rsidRDefault="0006604F" w:rsidP="00B4306D">
            <w:pPr>
              <w:spacing w:after="0"/>
              <w:jc w:val="right"/>
              <w:rPr>
                <w:rFonts w:cs="Times New Roman"/>
                <w:b/>
                <w:bCs/>
                <w:sz w:val="18"/>
                <w:szCs w:val="18"/>
              </w:rPr>
            </w:pPr>
            <w:r>
              <w:rPr>
                <w:rFonts w:cs="Times New Roman"/>
                <w:b/>
                <w:bCs/>
                <w:sz w:val="18"/>
                <w:szCs w:val="18"/>
              </w:rPr>
              <w:t>36 820,8</w:t>
            </w:r>
          </w:p>
        </w:tc>
        <w:tc>
          <w:tcPr>
            <w:tcW w:w="1379" w:type="dxa"/>
            <w:tcBorders>
              <w:top w:val="single" w:sz="4" w:space="0" w:color="auto"/>
            </w:tcBorders>
            <w:shd w:val="clear" w:color="auto" w:fill="F2F2F2" w:themeFill="background1" w:themeFillShade="F2"/>
            <w:noWrap/>
            <w:vAlign w:val="bottom"/>
          </w:tcPr>
          <w:p w14:paraId="63264153" w14:textId="77777777" w:rsidR="0006604F" w:rsidRPr="00023984" w:rsidRDefault="0006604F" w:rsidP="00B4306D">
            <w:pPr>
              <w:spacing w:after="0"/>
              <w:jc w:val="right"/>
              <w:rPr>
                <w:rFonts w:cs="Times New Roman"/>
                <w:b/>
                <w:bCs/>
                <w:sz w:val="18"/>
                <w:szCs w:val="18"/>
              </w:rPr>
            </w:pPr>
            <w:r>
              <w:rPr>
                <w:rFonts w:cs="Times New Roman"/>
                <w:b/>
                <w:bCs/>
                <w:sz w:val="18"/>
                <w:szCs w:val="18"/>
              </w:rPr>
              <w:t>35 060,1</w:t>
            </w:r>
          </w:p>
        </w:tc>
        <w:tc>
          <w:tcPr>
            <w:tcW w:w="1460" w:type="dxa"/>
            <w:tcBorders>
              <w:top w:val="single" w:sz="4" w:space="0" w:color="auto"/>
            </w:tcBorders>
            <w:shd w:val="clear" w:color="auto" w:fill="F2F2F2" w:themeFill="background1" w:themeFillShade="F2"/>
            <w:noWrap/>
            <w:vAlign w:val="bottom"/>
          </w:tcPr>
          <w:p w14:paraId="4DA4ED6F" w14:textId="77777777" w:rsidR="0006604F" w:rsidRPr="00124E4C" w:rsidRDefault="0006604F" w:rsidP="00B4306D">
            <w:pPr>
              <w:spacing w:after="0"/>
              <w:jc w:val="right"/>
              <w:rPr>
                <w:rFonts w:cs="Times New Roman"/>
                <w:b/>
                <w:bCs/>
                <w:sz w:val="18"/>
                <w:szCs w:val="18"/>
              </w:rPr>
            </w:pPr>
            <w:r>
              <w:rPr>
                <w:rFonts w:cs="Times New Roman"/>
                <w:b/>
                <w:bCs/>
                <w:sz w:val="18"/>
                <w:szCs w:val="18"/>
              </w:rPr>
              <w:t>1 760,7</w:t>
            </w:r>
          </w:p>
        </w:tc>
        <w:tc>
          <w:tcPr>
            <w:tcW w:w="1711" w:type="dxa"/>
            <w:tcBorders>
              <w:top w:val="single" w:sz="4" w:space="0" w:color="auto"/>
            </w:tcBorders>
            <w:shd w:val="clear" w:color="auto" w:fill="F2F2F2" w:themeFill="background1" w:themeFillShade="F2"/>
            <w:noWrap/>
            <w:vAlign w:val="bottom"/>
          </w:tcPr>
          <w:p w14:paraId="4B35A4D3" w14:textId="77777777" w:rsidR="0006604F" w:rsidRPr="000057FD" w:rsidRDefault="0006604F" w:rsidP="00B4306D">
            <w:pPr>
              <w:spacing w:after="0"/>
              <w:jc w:val="right"/>
              <w:rPr>
                <w:rFonts w:cs="Times New Roman"/>
                <w:b/>
                <w:bCs/>
                <w:sz w:val="18"/>
                <w:szCs w:val="18"/>
              </w:rPr>
            </w:pPr>
            <w:r>
              <w:rPr>
                <w:rFonts w:cs="Times New Roman"/>
                <w:b/>
                <w:bCs/>
                <w:sz w:val="18"/>
                <w:szCs w:val="18"/>
              </w:rPr>
              <w:t>95,7</w:t>
            </w:r>
            <w:r w:rsidRPr="00F3430E">
              <w:rPr>
                <w:rFonts w:cs="Times New Roman"/>
                <w:b/>
                <w:bCs/>
                <w:sz w:val="18"/>
                <w:szCs w:val="18"/>
              </w:rPr>
              <w:t>%</w:t>
            </w:r>
          </w:p>
        </w:tc>
      </w:tr>
      <w:tr w:rsidR="0006604F" w:rsidRPr="002E7DF5" w14:paraId="46105F54" w14:textId="77777777" w:rsidTr="009B41DE">
        <w:trPr>
          <w:trHeight w:val="292"/>
          <w:jc w:val="center"/>
        </w:trPr>
        <w:tc>
          <w:tcPr>
            <w:tcW w:w="6606" w:type="dxa"/>
            <w:shd w:val="clear" w:color="auto" w:fill="auto"/>
            <w:noWrap/>
            <w:vAlign w:val="center"/>
            <w:hideMark/>
          </w:tcPr>
          <w:p w14:paraId="15D92000" w14:textId="77777777" w:rsidR="0006604F" w:rsidRPr="007D2EF6" w:rsidRDefault="0006604F" w:rsidP="00B4306D">
            <w:pPr>
              <w:spacing w:after="0"/>
              <w:rPr>
                <w:rFonts w:eastAsia="Times New Roman" w:cs="Times New Roman"/>
                <w:sz w:val="18"/>
                <w:szCs w:val="18"/>
                <w:lang w:val="ru-RU"/>
              </w:rPr>
            </w:pPr>
            <w:r w:rsidRPr="002E7DF5">
              <w:rPr>
                <w:rFonts w:eastAsia="Times New Roman" w:cs="Times New Roman"/>
                <w:sz w:val="18"/>
                <w:szCs w:val="18"/>
              </w:rPr>
              <w:t>Данъчни приходи</w:t>
            </w:r>
          </w:p>
        </w:tc>
        <w:tc>
          <w:tcPr>
            <w:tcW w:w="1792" w:type="dxa"/>
            <w:shd w:val="clear" w:color="auto" w:fill="auto"/>
            <w:noWrap/>
          </w:tcPr>
          <w:p w14:paraId="45AD6FCC" w14:textId="77777777" w:rsidR="0006604F" w:rsidRPr="007D2EF6" w:rsidRDefault="0006604F" w:rsidP="00B4306D">
            <w:pPr>
              <w:spacing w:after="0"/>
              <w:jc w:val="right"/>
              <w:rPr>
                <w:rFonts w:cs="Times New Roman"/>
                <w:bCs/>
                <w:sz w:val="18"/>
                <w:szCs w:val="18"/>
                <w:lang w:val="ru-RU"/>
              </w:rPr>
            </w:pPr>
            <w:r>
              <w:rPr>
                <w:rFonts w:cs="Times New Roman"/>
                <w:bCs/>
                <w:sz w:val="18"/>
                <w:szCs w:val="18"/>
                <w:lang w:val="ru-RU"/>
              </w:rPr>
              <w:t>29 629,8</w:t>
            </w:r>
          </w:p>
        </w:tc>
        <w:tc>
          <w:tcPr>
            <w:tcW w:w="1517" w:type="dxa"/>
            <w:shd w:val="clear" w:color="auto" w:fill="F2F2F2" w:themeFill="background1" w:themeFillShade="F2"/>
            <w:noWrap/>
            <w:vAlign w:val="bottom"/>
          </w:tcPr>
          <w:p w14:paraId="29A6D01C" w14:textId="77777777" w:rsidR="0006604F" w:rsidRPr="00124E4C" w:rsidRDefault="0006604F" w:rsidP="00B4306D">
            <w:pPr>
              <w:spacing w:after="0"/>
              <w:jc w:val="right"/>
              <w:rPr>
                <w:rFonts w:cs="Times New Roman"/>
                <w:sz w:val="18"/>
                <w:szCs w:val="18"/>
              </w:rPr>
            </w:pPr>
            <w:r>
              <w:rPr>
                <w:rFonts w:cs="Times New Roman"/>
                <w:sz w:val="18"/>
                <w:szCs w:val="18"/>
              </w:rPr>
              <w:t>30 010,3</w:t>
            </w:r>
          </w:p>
        </w:tc>
        <w:tc>
          <w:tcPr>
            <w:tcW w:w="1379" w:type="dxa"/>
            <w:shd w:val="clear" w:color="auto" w:fill="F2F2F2" w:themeFill="background1" w:themeFillShade="F2"/>
            <w:noWrap/>
            <w:vAlign w:val="bottom"/>
          </w:tcPr>
          <w:p w14:paraId="7F8A8454" w14:textId="77777777" w:rsidR="0006604F" w:rsidRPr="00FB45A5" w:rsidRDefault="0006604F" w:rsidP="00B4306D">
            <w:pPr>
              <w:spacing w:after="0"/>
              <w:jc w:val="right"/>
              <w:rPr>
                <w:rFonts w:cs="Times New Roman"/>
                <w:bCs/>
                <w:sz w:val="18"/>
                <w:szCs w:val="18"/>
              </w:rPr>
            </w:pPr>
            <w:r>
              <w:rPr>
                <w:rFonts w:cs="Times New Roman"/>
                <w:bCs/>
                <w:sz w:val="18"/>
                <w:szCs w:val="18"/>
              </w:rPr>
              <w:t>30 010,3</w:t>
            </w:r>
          </w:p>
        </w:tc>
        <w:tc>
          <w:tcPr>
            <w:tcW w:w="1460" w:type="dxa"/>
            <w:shd w:val="clear" w:color="auto" w:fill="F2F2F2" w:themeFill="background1" w:themeFillShade="F2"/>
            <w:noWrap/>
            <w:vAlign w:val="bottom"/>
          </w:tcPr>
          <w:p w14:paraId="000399A2" w14:textId="77777777" w:rsidR="0006604F" w:rsidRPr="00FB45A5" w:rsidRDefault="0006604F" w:rsidP="00B4306D">
            <w:pPr>
              <w:spacing w:after="0"/>
              <w:jc w:val="right"/>
              <w:rPr>
                <w:rFonts w:cs="Times New Roman"/>
                <w:sz w:val="18"/>
                <w:szCs w:val="18"/>
              </w:rPr>
            </w:pPr>
            <w:r w:rsidRPr="00FB45A5">
              <w:rPr>
                <w:rFonts w:cs="Times New Roman"/>
                <w:sz w:val="18"/>
                <w:szCs w:val="18"/>
              </w:rPr>
              <w:t>0,0</w:t>
            </w:r>
          </w:p>
        </w:tc>
        <w:tc>
          <w:tcPr>
            <w:tcW w:w="1711" w:type="dxa"/>
            <w:shd w:val="clear" w:color="auto" w:fill="F2F2F2" w:themeFill="background1" w:themeFillShade="F2"/>
            <w:noWrap/>
            <w:vAlign w:val="bottom"/>
          </w:tcPr>
          <w:p w14:paraId="25298CEE" w14:textId="77777777" w:rsidR="0006604F" w:rsidRPr="003A22CC" w:rsidRDefault="0006604F" w:rsidP="00B4306D">
            <w:pPr>
              <w:spacing w:after="0"/>
              <w:jc w:val="right"/>
              <w:rPr>
                <w:rFonts w:cs="Times New Roman"/>
                <w:sz w:val="18"/>
                <w:szCs w:val="18"/>
              </w:rPr>
            </w:pPr>
            <w:r>
              <w:rPr>
                <w:rFonts w:cs="Times New Roman"/>
                <w:sz w:val="18"/>
                <w:szCs w:val="18"/>
              </w:rPr>
              <w:t>101,3</w:t>
            </w:r>
            <w:r w:rsidRPr="00F3430E">
              <w:rPr>
                <w:rFonts w:cs="Times New Roman"/>
                <w:sz w:val="18"/>
                <w:szCs w:val="18"/>
              </w:rPr>
              <w:t>%</w:t>
            </w:r>
          </w:p>
        </w:tc>
      </w:tr>
      <w:tr w:rsidR="0006604F" w:rsidRPr="002E7DF5" w14:paraId="70371880" w14:textId="77777777" w:rsidTr="009B41DE">
        <w:trPr>
          <w:trHeight w:val="274"/>
          <w:jc w:val="center"/>
        </w:trPr>
        <w:tc>
          <w:tcPr>
            <w:tcW w:w="6606" w:type="dxa"/>
            <w:shd w:val="clear" w:color="auto" w:fill="auto"/>
            <w:noWrap/>
            <w:vAlign w:val="center"/>
            <w:hideMark/>
          </w:tcPr>
          <w:p w14:paraId="7D25EB26" w14:textId="77777777" w:rsidR="0006604F" w:rsidRPr="002E7DF5" w:rsidRDefault="0006604F" w:rsidP="00B4306D">
            <w:pPr>
              <w:spacing w:after="0"/>
              <w:rPr>
                <w:rFonts w:eastAsia="Times New Roman" w:cs="Times New Roman"/>
                <w:sz w:val="18"/>
                <w:szCs w:val="18"/>
                <w:lang w:val="en-US"/>
              </w:rPr>
            </w:pPr>
            <w:r w:rsidRPr="002E7DF5">
              <w:rPr>
                <w:rFonts w:eastAsia="Times New Roman" w:cs="Times New Roman"/>
                <w:sz w:val="18"/>
                <w:szCs w:val="18"/>
              </w:rPr>
              <w:t xml:space="preserve">    Преки данъци</w:t>
            </w:r>
          </w:p>
        </w:tc>
        <w:tc>
          <w:tcPr>
            <w:tcW w:w="1792" w:type="dxa"/>
            <w:shd w:val="clear" w:color="auto" w:fill="auto"/>
            <w:noWrap/>
          </w:tcPr>
          <w:p w14:paraId="32BAF9DB" w14:textId="77777777" w:rsidR="0006604F" w:rsidRPr="00821B91" w:rsidRDefault="0006604F" w:rsidP="00B4306D">
            <w:pPr>
              <w:spacing w:after="0"/>
              <w:jc w:val="right"/>
              <w:rPr>
                <w:rFonts w:cs="Times New Roman"/>
                <w:bCs/>
                <w:sz w:val="18"/>
                <w:szCs w:val="18"/>
              </w:rPr>
            </w:pPr>
            <w:r>
              <w:rPr>
                <w:rFonts w:cs="Times New Roman"/>
                <w:bCs/>
                <w:sz w:val="18"/>
                <w:szCs w:val="18"/>
              </w:rPr>
              <w:t>6 579,7</w:t>
            </w:r>
          </w:p>
        </w:tc>
        <w:tc>
          <w:tcPr>
            <w:tcW w:w="1517" w:type="dxa"/>
            <w:shd w:val="clear" w:color="auto" w:fill="F2F2F2" w:themeFill="background1" w:themeFillShade="F2"/>
            <w:noWrap/>
            <w:vAlign w:val="bottom"/>
          </w:tcPr>
          <w:p w14:paraId="4A101382" w14:textId="77777777" w:rsidR="0006604F" w:rsidRPr="00124E4C" w:rsidRDefault="0006604F" w:rsidP="00B4306D">
            <w:pPr>
              <w:spacing w:after="0"/>
              <w:jc w:val="right"/>
              <w:rPr>
                <w:rFonts w:cs="Times New Roman"/>
                <w:sz w:val="18"/>
                <w:szCs w:val="18"/>
              </w:rPr>
            </w:pPr>
            <w:r>
              <w:rPr>
                <w:rFonts w:cs="Times New Roman"/>
                <w:sz w:val="18"/>
                <w:szCs w:val="18"/>
              </w:rPr>
              <w:t>6 399,8</w:t>
            </w:r>
          </w:p>
        </w:tc>
        <w:tc>
          <w:tcPr>
            <w:tcW w:w="1379" w:type="dxa"/>
            <w:shd w:val="clear" w:color="auto" w:fill="F2F2F2" w:themeFill="background1" w:themeFillShade="F2"/>
            <w:noWrap/>
            <w:vAlign w:val="bottom"/>
          </w:tcPr>
          <w:p w14:paraId="65C950F8" w14:textId="77777777" w:rsidR="0006604F" w:rsidRPr="00124E4C" w:rsidRDefault="0006604F" w:rsidP="00B4306D">
            <w:pPr>
              <w:spacing w:after="0"/>
              <w:jc w:val="right"/>
              <w:rPr>
                <w:rFonts w:cs="Times New Roman"/>
                <w:sz w:val="18"/>
                <w:szCs w:val="18"/>
              </w:rPr>
            </w:pPr>
            <w:r>
              <w:rPr>
                <w:rFonts w:cs="Times New Roman"/>
                <w:sz w:val="18"/>
                <w:szCs w:val="18"/>
              </w:rPr>
              <w:t>6 399,8</w:t>
            </w:r>
          </w:p>
        </w:tc>
        <w:tc>
          <w:tcPr>
            <w:tcW w:w="1460" w:type="dxa"/>
            <w:shd w:val="clear" w:color="auto" w:fill="F2F2F2" w:themeFill="background1" w:themeFillShade="F2"/>
            <w:noWrap/>
          </w:tcPr>
          <w:p w14:paraId="773425C3" w14:textId="77777777" w:rsidR="0006604F" w:rsidRPr="00FB45A5" w:rsidRDefault="0006604F" w:rsidP="00B4306D">
            <w:pPr>
              <w:spacing w:after="0"/>
              <w:jc w:val="right"/>
              <w:rPr>
                <w:rFonts w:eastAsia="Times New Roman" w:cs="Times New Roman"/>
                <w:bCs/>
                <w:sz w:val="18"/>
                <w:szCs w:val="18"/>
              </w:rPr>
            </w:pPr>
          </w:p>
        </w:tc>
        <w:tc>
          <w:tcPr>
            <w:tcW w:w="1711" w:type="dxa"/>
            <w:shd w:val="clear" w:color="auto" w:fill="F2F2F2" w:themeFill="background1" w:themeFillShade="F2"/>
            <w:noWrap/>
            <w:hideMark/>
          </w:tcPr>
          <w:p w14:paraId="2699AAB8" w14:textId="77777777" w:rsidR="0006604F" w:rsidRPr="003A22CC" w:rsidRDefault="0006604F" w:rsidP="00B4306D">
            <w:pPr>
              <w:spacing w:after="0"/>
              <w:jc w:val="right"/>
              <w:rPr>
                <w:rFonts w:eastAsia="Times New Roman" w:cs="Times New Roman"/>
                <w:bCs/>
                <w:sz w:val="18"/>
                <w:szCs w:val="18"/>
              </w:rPr>
            </w:pPr>
            <w:r>
              <w:rPr>
                <w:rFonts w:eastAsia="Times New Roman" w:cs="Times New Roman"/>
                <w:bCs/>
                <w:sz w:val="18"/>
                <w:szCs w:val="18"/>
              </w:rPr>
              <w:t>97,3</w:t>
            </w:r>
            <w:r w:rsidRPr="00F3430E">
              <w:rPr>
                <w:rFonts w:eastAsia="Times New Roman" w:cs="Times New Roman"/>
                <w:bCs/>
                <w:sz w:val="18"/>
                <w:szCs w:val="18"/>
              </w:rPr>
              <w:t>%</w:t>
            </w:r>
          </w:p>
        </w:tc>
      </w:tr>
      <w:tr w:rsidR="0006604F" w:rsidRPr="002E7DF5" w14:paraId="4516B00A" w14:textId="77777777" w:rsidTr="00B4306D">
        <w:trPr>
          <w:trHeight w:val="118"/>
          <w:jc w:val="center"/>
        </w:trPr>
        <w:tc>
          <w:tcPr>
            <w:tcW w:w="6606" w:type="dxa"/>
            <w:shd w:val="clear" w:color="auto" w:fill="auto"/>
            <w:noWrap/>
            <w:vAlign w:val="center"/>
            <w:hideMark/>
          </w:tcPr>
          <w:p w14:paraId="0CB3E788" w14:textId="77777777" w:rsidR="0006604F" w:rsidRPr="002E7DF5" w:rsidRDefault="0006604F" w:rsidP="00B4306D">
            <w:pPr>
              <w:spacing w:after="0"/>
              <w:rPr>
                <w:rFonts w:eastAsia="Times New Roman" w:cs="Times New Roman"/>
                <w:sz w:val="18"/>
                <w:szCs w:val="18"/>
                <w:lang w:val="en-US"/>
              </w:rPr>
            </w:pPr>
            <w:r w:rsidRPr="002E7DF5">
              <w:rPr>
                <w:rFonts w:eastAsia="Times New Roman" w:cs="Times New Roman"/>
                <w:sz w:val="18"/>
                <w:szCs w:val="18"/>
              </w:rPr>
              <w:t xml:space="preserve">    Косвени данъци </w:t>
            </w:r>
          </w:p>
        </w:tc>
        <w:tc>
          <w:tcPr>
            <w:tcW w:w="1792" w:type="dxa"/>
            <w:shd w:val="clear" w:color="auto" w:fill="auto"/>
            <w:noWrap/>
          </w:tcPr>
          <w:p w14:paraId="6CC5F7CA" w14:textId="77777777" w:rsidR="0006604F" w:rsidRPr="0025514C" w:rsidRDefault="0006604F" w:rsidP="00B4306D">
            <w:pPr>
              <w:spacing w:after="0"/>
              <w:jc w:val="right"/>
              <w:rPr>
                <w:rFonts w:cs="Times New Roman"/>
                <w:bCs/>
                <w:sz w:val="18"/>
                <w:szCs w:val="18"/>
              </w:rPr>
            </w:pPr>
            <w:r>
              <w:rPr>
                <w:rFonts w:cs="Times New Roman"/>
                <w:bCs/>
                <w:sz w:val="18"/>
                <w:szCs w:val="18"/>
              </w:rPr>
              <w:t>13 040,0</w:t>
            </w:r>
          </w:p>
        </w:tc>
        <w:tc>
          <w:tcPr>
            <w:tcW w:w="1517" w:type="dxa"/>
            <w:shd w:val="clear" w:color="auto" w:fill="F2F2F2" w:themeFill="background1" w:themeFillShade="F2"/>
            <w:noWrap/>
          </w:tcPr>
          <w:p w14:paraId="01BFE0BF" w14:textId="77777777" w:rsidR="0006604F" w:rsidRPr="00124E4C" w:rsidRDefault="0006604F" w:rsidP="00B4306D">
            <w:pPr>
              <w:spacing w:after="0"/>
              <w:jc w:val="right"/>
              <w:rPr>
                <w:rFonts w:eastAsia="Times New Roman" w:cs="Times New Roman"/>
                <w:bCs/>
                <w:sz w:val="18"/>
                <w:szCs w:val="18"/>
              </w:rPr>
            </w:pPr>
            <w:r>
              <w:rPr>
                <w:rFonts w:eastAsia="Times New Roman" w:cs="Times New Roman"/>
                <w:bCs/>
                <w:sz w:val="18"/>
                <w:szCs w:val="18"/>
              </w:rPr>
              <w:t>13 219,0</w:t>
            </w:r>
          </w:p>
        </w:tc>
        <w:tc>
          <w:tcPr>
            <w:tcW w:w="1379" w:type="dxa"/>
            <w:shd w:val="clear" w:color="auto" w:fill="F2F2F2" w:themeFill="background1" w:themeFillShade="F2"/>
            <w:noWrap/>
          </w:tcPr>
          <w:p w14:paraId="391DA347" w14:textId="77777777" w:rsidR="0006604F" w:rsidRPr="00124E4C" w:rsidRDefault="0006604F" w:rsidP="00B4306D">
            <w:pPr>
              <w:spacing w:after="0"/>
              <w:jc w:val="right"/>
              <w:rPr>
                <w:rFonts w:eastAsia="Times New Roman" w:cs="Times New Roman"/>
                <w:bCs/>
                <w:sz w:val="18"/>
                <w:szCs w:val="18"/>
              </w:rPr>
            </w:pPr>
            <w:r>
              <w:rPr>
                <w:rFonts w:eastAsia="Times New Roman" w:cs="Times New Roman"/>
                <w:bCs/>
                <w:sz w:val="18"/>
                <w:szCs w:val="18"/>
              </w:rPr>
              <w:t>13 219,0</w:t>
            </w:r>
          </w:p>
        </w:tc>
        <w:tc>
          <w:tcPr>
            <w:tcW w:w="1460" w:type="dxa"/>
            <w:shd w:val="clear" w:color="auto" w:fill="F2F2F2" w:themeFill="background1" w:themeFillShade="F2"/>
            <w:noWrap/>
          </w:tcPr>
          <w:p w14:paraId="410DB4DC" w14:textId="77777777" w:rsidR="0006604F" w:rsidRPr="00FB45A5" w:rsidRDefault="0006604F" w:rsidP="00B4306D">
            <w:pPr>
              <w:spacing w:after="0"/>
              <w:jc w:val="right"/>
              <w:rPr>
                <w:rFonts w:eastAsia="Times New Roman" w:cs="Times New Roman"/>
                <w:bCs/>
                <w:sz w:val="18"/>
                <w:szCs w:val="18"/>
              </w:rPr>
            </w:pPr>
          </w:p>
        </w:tc>
        <w:tc>
          <w:tcPr>
            <w:tcW w:w="1711" w:type="dxa"/>
            <w:shd w:val="clear" w:color="auto" w:fill="F2F2F2" w:themeFill="background1" w:themeFillShade="F2"/>
            <w:noWrap/>
            <w:hideMark/>
          </w:tcPr>
          <w:p w14:paraId="45E03323" w14:textId="77777777" w:rsidR="0006604F" w:rsidRPr="003A22CC" w:rsidRDefault="0006604F" w:rsidP="00B4306D">
            <w:pPr>
              <w:spacing w:after="0"/>
              <w:jc w:val="right"/>
              <w:rPr>
                <w:rFonts w:eastAsia="Times New Roman" w:cs="Times New Roman"/>
                <w:bCs/>
                <w:sz w:val="18"/>
                <w:szCs w:val="18"/>
              </w:rPr>
            </w:pPr>
            <w:r>
              <w:rPr>
                <w:rFonts w:eastAsia="Times New Roman" w:cs="Times New Roman"/>
                <w:bCs/>
                <w:sz w:val="18"/>
                <w:szCs w:val="18"/>
              </w:rPr>
              <w:t>101,4</w:t>
            </w:r>
            <w:r w:rsidRPr="00F3430E">
              <w:rPr>
                <w:rFonts w:eastAsia="Times New Roman" w:cs="Times New Roman"/>
                <w:bCs/>
                <w:sz w:val="18"/>
                <w:szCs w:val="18"/>
              </w:rPr>
              <w:t>%</w:t>
            </w:r>
          </w:p>
        </w:tc>
      </w:tr>
      <w:tr w:rsidR="0006604F" w:rsidRPr="002E7DF5" w14:paraId="0680B124" w14:textId="77777777" w:rsidTr="009B41DE">
        <w:trPr>
          <w:trHeight w:val="229"/>
          <w:jc w:val="center"/>
        </w:trPr>
        <w:tc>
          <w:tcPr>
            <w:tcW w:w="6606" w:type="dxa"/>
            <w:shd w:val="clear" w:color="auto" w:fill="auto"/>
            <w:noWrap/>
            <w:vAlign w:val="center"/>
            <w:hideMark/>
          </w:tcPr>
          <w:p w14:paraId="126C3FCF" w14:textId="77777777" w:rsidR="0006604F" w:rsidRPr="00054BEA" w:rsidRDefault="0006604F" w:rsidP="00B4306D">
            <w:pPr>
              <w:spacing w:after="0"/>
              <w:rPr>
                <w:rFonts w:eastAsia="Times New Roman" w:cs="Times New Roman"/>
                <w:sz w:val="18"/>
                <w:szCs w:val="18"/>
              </w:rPr>
            </w:pPr>
            <w:r w:rsidRPr="002E7DF5">
              <w:rPr>
                <w:rFonts w:eastAsia="Times New Roman" w:cs="Times New Roman"/>
                <w:sz w:val="18"/>
                <w:szCs w:val="18"/>
              </w:rPr>
              <w:t xml:space="preserve">    Приходи от социални и </w:t>
            </w:r>
            <w:proofErr w:type="spellStart"/>
            <w:r w:rsidRPr="002E7DF5">
              <w:rPr>
                <w:rFonts w:eastAsia="Times New Roman" w:cs="Times New Roman"/>
                <w:sz w:val="18"/>
                <w:szCs w:val="18"/>
              </w:rPr>
              <w:t>здравноосиг</w:t>
            </w:r>
            <w:proofErr w:type="spellEnd"/>
            <w:r w:rsidRPr="002E7DF5">
              <w:rPr>
                <w:rFonts w:eastAsia="Times New Roman" w:cs="Times New Roman"/>
                <w:sz w:val="18"/>
                <w:szCs w:val="18"/>
              </w:rPr>
              <w:t>. вноски</w:t>
            </w:r>
          </w:p>
        </w:tc>
        <w:tc>
          <w:tcPr>
            <w:tcW w:w="1792" w:type="dxa"/>
            <w:shd w:val="clear" w:color="auto" w:fill="auto"/>
            <w:noWrap/>
          </w:tcPr>
          <w:p w14:paraId="5DD8A94F" w14:textId="77777777" w:rsidR="0006604F" w:rsidRPr="003A55C1" w:rsidRDefault="0006604F" w:rsidP="00B4306D">
            <w:pPr>
              <w:spacing w:after="0"/>
              <w:jc w:val="right"/>
              <w:rPr>
                <w:rFonts w:cs="Times New Roman"/>
                <w:bCs/>
                <w:sz w:val="18"/>
                <w:szCs w:val="18"/>
              </w:rPr>
            </w:pPr>
            <w:r>
              <w:rPr>
                <w:rFonts w:cs="Times New Roman"/>
                <w:bCs/>
                <w:sz w:val="18"/>
                <w:szCs w:val="18"/>
              </w:rPr>
              <w:t>9 063,4</w:t>
            </w:r>
          </w:p>
        </w:tc>
        <w:tc>
          <w:tcPr>
            <w:tcW w:w="1517" w:type="dxa"/>
            <w:shd w:val="clear" w:color="auto" w:fill="F2F2F2" w:themeFill="background1" w:themeFillShade="F2"/>
            <w:noWrap/>
          </w:tcPr>
          <w:p w14:paraId="5BE435FB" w14:textId="77777777" w:rsidR="0006604F" w:rsidRPr="00DF0E6B" w:rsidRDefault="0006604F" w:rsidP="00B4306D">
            <w:pPr>
              <w:spacing w:after="0"/>
              <w:jc w:val="right"/>
              <w:rPr>
                <w:rFonts w:eastAsia="Times New Roman" w:cs="Times New Roman"/>
                <w:bCs/>
                <w:sz w:val="18"/>
                <w:szCs w:val="18"/>
                <w:lang w:val="ru-RU"/>
              </w:rPr>
            </w:pPr>
            <w:r>
              <w:rPr>
                <w:rFonts w:eastAsia="Times New Roman" w:cs="Times New Roman"/>
                <w:bCs/>
                <w:sz w:val="18"/>
                <w:szCs w:val="18"/>
                <w:lang w:val="ru-RU"/>
              </w:rPr>
              <w:t>9 211,0</w:t>
            </w:r>
          </w:p>
        </w:tc>
        <w:tc>
          <w:tcPr>
            <w:tcW w:w="1379" w:type="dxa"/>
            <w:shd w:val="clear" w:color="auto" w:fill="F2F2F2" w:themeFill="background1" w:themeFillShade="F2"/>
            <w:noWrap/>
          </w:tcPr>
          <w:p w14:paraId="5CF7C8CE" w14:textId="77777777" w:rsidR="0006604F" w:rsidRPr="00DF0E6B" w:rsidRDefault="0006604F" w:rsidP="00B4306D">
            <w:pPr>
              <w:spacing w:after="0"/>
              <w:jc w:val="right"/>
              <w:rPr>
                <w:rFonts w:eastAsia="Times New Roman" w:cs="Times New Roman"/>
                <w:bCs/>
                <w:sz w:val="18"/>
                <w:szCs w:val="18"/>
                <w:lang w:val="ru-RU"/>
              </w:rPr>
            </w:pPr>
            <w:r>
              <w:rPr>
                <w:rFonts w:eastAsia="Times New Roman" w:cs="Times New Roman"/>
                <w:bCs/>
                <w:sz w:val="18"/>
                <w:szCs w:val="18"/>
                <w:lang w:val="ru-RU"/>
              </w:rPr>
              <w:t>9 211,0</w:t>
            </w:r>
          </w:p>
        </w:tc>
        <w:tc>
          <w:tcPr>
            <w:tcW w:w="1460" w:type="dxa"/>
            <w:shd w:val="clear" w:color="auto" w:fill="F2F2F2" w:themeFill="background1" w:themeFillShade="F2"/>
            <w:noWrap/>
          </w:tcPr>
          <w:p w14:paraId="28DF72E2" w14:textId="77777777" w:rsidR="0006604F" w:rsidRPr="00FB45A5" w:rsidRDefault="0006604F" w:rsidP="00B4306D">
            <w:pPr>
              <w:spacing w:after="0"/>
              <w:jc w:val="right"/>
              <w:rPr>
                <w:rFonts w:eastAsia="Times New Roman" w:cs="Times New Roman"/>
                <w:bCs/>
                <w:sz w:val="18"/>
                <w:szCs w:val="18"/>
              </w:rPr>
            </w:pPr>
          </w:p>
        </w:tc>
        <w:tc>
          <w:tcPr>
            <w:tcW w:w="1711" w:type="dxa"/>
            <w:shd w:val="clear" w:color="auto" w:fill="F2F2F2" w:themeFill="background1" w:themeFillShade="F2"/>
            <w:noWrap/>
            <w:hideMark/>
          </w:tcPr>
          <w:p w14:paraId="1F471F18" w14:textId="77777777" w:rsidR="0006604F" w:rsidRPr="00EB01F2" w:rsidRDefault="0006604F" w:rsidP="00B4306D">
            <w:pPr>
              <w:spacing w:after="0"/>
              <w:jc w:val="right"/>
              <w:rPr>
                <w:rFonts w:eastAsia="Times New Roman" w:cs="Times New Roman"/>
                <w:bCs/>
                <w:sz w:val="18"/>
                <w:szCs w:val="18"/>
              </w:rPr>
            </w:pPr>
            <w:r>
              <w:rPr>
                <w:rFonts w:eastAsia="Times New Roman" w:cs="Times New Roman"/>
                <w:bCs/>
                <w:sz w:val="18"/>
                <w:szCs w:val="18"/>
              </w:rPr>
              <w:t>101,6</w:t>
            </w:r>
            <w:r w:rsidRPr="00F3430E">
              <w:rPr>
                <w:rFonts w:eastAsia="Times New Roman" w:cs="Times New Roman"/>
                <w:bCs/>
                <w:sz w:val="18"/>
                <w:szCs w:val="18"/>
              </w:rPr>
              <w:t>%</w:t>
            </w:r>
          </w:p>
        </w:tc>
      </w:tr>
      <w:tr w:rsidR="0006604F" w:rsidRPr="002E7DF5" w14:paraId="7C6958D2" w14:textId="77777777" w:rsidTr="009B41DE">
        <w:trPr>
          <w:trHeight w:val="274"/>
          <w:jc w:val="center"/>
        </w:trPr>
        <w:tc>
          <w:tcPr>
            <w:tcW w:w="6606" w:type="dxa"/>
            <w:shd w:val="clear" w:color="auto" w:fill="auto"/>
            <w:noWrap/>
            <w:vAlign w:val="center"/>
            <w:hideMark/>
          </w:tcPr>
          <w:p w14:paraId="12186841" w14:textId="77777777" w:rsidR="0006604F" w:rsidRPr="00DF0E6B" w:rsidRDefault="0006604F" w:rsidP="00B4306D">
            <w:pPr>
              <w:spacing w:after="0"/>
              <w:rPr>
                <w:rFonts w:eastAsia="Times New Roman" w:cs="Times New Roman"/>
                <w:sz w:val="18"/>
                <w:szCs w:val="18"/>
                <w:lang w:val="ru-RU"/>
              </w:rPr>
            </w:pPr>
            <w:r w:rsidRPr="002E7DF5">
              <w:rPr>
                <w:rFonts w:eastAsia="Times New Roman" w:cs="Times New Roman"/>
                <w:sz w:val="18"/>
                <w:szCs w:val="18"/>
              </w:rPr>
              <w:t xml:space="preserve">    Други данъци</w:t>
            </w:r>
          </w:p>
        </w:tc>
        <w:tc>
          <w:tcPr>
            <w:tcW w:w="1792" w:type="dxa"/>
            <w:shd w:val="clear" w:color="auto" w:fill="auto"/>
            <w:noWrap/>
          </w:tcPr>
          <w:p w14:paraId="4D64459A" w14:textId="77777777" w:rsidR="0006604F" w:rsidRPr="0025514C" w:rsidRDefault="0006604F" w:rsidP="00B4306D">
            <w:pPr>
              <w:spacing w:after="0"/>
              <w:jc w:val="right"/>
              <w:rPr>
                <w:rFonts w:cs="Times New Roman"/>
                <w:bCs/>
                <w:sz w:val="18"/>
                <w:szCs w:val="18"/>
              </w:rPr>
            </w:pPr>
            <w:r>
              <w:rPr>
                <w:rFonts w:cs="Times New Roman"/>
                <w:bCs/>
                <w:sz w:val="18"/>
                <w:szCs w:val="18"/>
              </w:rPr>
              <w:t>946,6</w:t>
            </w:r>
          </w:p>
        </w:tc>
        <w:tc>
          <w:tcPr>
            <w:tcW w:w="1517" w:type="dxa"/>
            <w:shd w:val="clear" w:color="auto" w:fill="F2F2F2" w:themeFill="background1" w:themeFillShade="F2"/>
            <w:noWrap/>
          </w:tcPr>
          <w:p w14:paraId="1ACF036F" w14:textId="77777777" w:rsidR="0006604F" w:rsidRPr="00DF0E6B" w:rsidRDefault="0006604F" w:rsidP="00B4306D">
            <w:pPr>
              <w:spacing w:after="0"/>
              <w:jc w:val="right"/>
              <w:rPr>
                <w:rFonts w:eastAsia="Times New Roman" w:cs="Times New Roman"/>
                <w:bCs/>
                <w:sz w:val="18"/>
                <w:szCs w:val="18"/>
                <w:lang w:val="ru-RU"/>
              </w:rPr>
            </w:pPr>
            <w:r>
              <w:rPr>
                <w:rFonts w:eastAsia="Times New Roman" w:cs="Times New Roman"/>
                <w:bCs/>
                <w:sz w:val="18"/>
                <w:szCs w:val="18"/>
                <w:lang w:val="ru-RU"/>
              </w:rPr>
              <w:t>1 180,5</w:t>
            </w:r>
          </w:p>
        </w:tc>
        <w:tc>
          <w:tcPr>
            <w:tcW w:w="1379" w:type="dxa"/>
            <w:shd w:val="clear" w:color="auto" w:fill="F2F2F2" w:themeFill="background1" w:themeFillShade="F2"/>
            <w:noWrap/>
          </w:tcPr>
          <w:p w14:paraId="12C36EAD" w14:textId="77777777" w:rsidR="0006604F" w:rsidRPr="00FB45A5" w:rsidRDefault="0006604F" w:rsidP="00B4306D">
            <w:pPr>
              <w:spacing w:after="0"/>
              <w:jc w:val="right"/>
              <w:rPr>
                <w:rFonts w:cs="Times New Roman"/>
                <w:bCs/>
                <w:sz w:val="18"/>
                <w:szCs w:val="18"/>
              </w:rPr>
            </w:pPr>
            <w:r>
              <w:rPr>
                <w:rFonts w:cs="Times New Roman"/>
                <w:bCs/>
                <w:sz w:val="18"/>
                <w:szCs w:val="18"/>
              </w:rPr>
              <w:t>1 180,5</w:t>
            </w:r>
          </w:p>
        </w:tc>
        <w:tc>
          <w:tcPr>
            <w:tcW w:w="1460" w:type="dxa"/>
            <w:shd w:val="clear" w:color="auto" w:fill="F2F2F2" w:themeFill="background1" w:themeFillShade="F2"/>
            <w:noWrap/>
          </w:tcPr>
          <w:p w14:paraId="6E79A2E9" w14:textId="77777777" w:rsidR="0006604F" w:rsidRPr="00FB45A5" w:rsidRDefault="0006604F" w:rsidP="00B4306D">
            <w:pPr>
              <w:spacing w:after="0"/>
              <w:jc w:val="right"/>
              <w:rPr>
                <w:rFonts w:eastAsia="Times New Roman" w:cs="Times New Roman"/>
                <w:bCs/>
                <w:sz w:val="18"/>
                <w:szCs w:val="18"/>
              </w:rPr>
            </w:pPr>
            <w:r w:rsidRPr="00FB45A5">
              <w:rPr>
                <w:rFonts w:eastAsia="Times New Roman" w:cs="Times New Roman"/>
                <w:bCs/>
                <w:sz w:val="18"/>
                <w:szCs w:val="18"/>
              </w:rPr>
              <w:t>0,0</w:t>
            </w:r>
          </w:p>
        </w:tc>
        <w:tc>
          <w:tcPr>
            <w:tcW w:w="1711" w:type="dxa"/>
            <w:shd w:val="clear" w:color="auto" w:fill="F2F2F2" w:themeFill="background1" w:themeFillShade="F2"/>
            <w:noWrap/>
            <w:hideMark/>
          </w:tcPr>
          <w:p w14:paraId="4B6BAA19" w14:textId="77777777" w:rsidR="0006604F" w:rsidRPr="000057FD" w:rsidRDefault="0006604F" w:rsidP="00B4306D">
            <w:pPr>
              <w:spacing w:after="0"/>
              <w:jc w:val="right"/>
              <w:rPr>
                <w:rFonts w:eastAsia="Times New Roman" w:cs="Times New Roman"/>
                <w:bCs/>
                <w:sz w:val="18"/>
                <w:szCs w:val="18"/>
              </w:rPr>
            </w:pPr>
            <w:r>
              <w:rPr>
                <w:rFonts w:eastAsia="Times New Roman" w:cs="Times New Roman"/>
                <w:bCs/>
                <w:sz w:val="18"/>
                <w:szCs w:val="18"/>
              </w:rPr>
              <w:t>124,7</w:t>
            </w:r>
            <w:r w:rsidRPr="009151CE">
              <w:rPr>
                <w:rFonts w:eastAsia="Times New Roman" w:cs="Times New Roman"/>
                <w:bCs/>
                <w:sz w:val="18"/>
                <w:szCs w:val="18"/>
              </w:rPr>
              <w:t>%</w:t>
            </w:r>
          </w:p>
        </w:tc>
      </w:tr>
      <w:tr w:rsidR="0006604F" w:rsidRPr="002E7DF5" w14:paraId="3559EA1A" w14:textId="77777777" w:rsidTr="00B4306D">
        <w:trPr>
          <w:trHeight w:val="59"/>
          <w:jc w:val="center"/>
        </w:trPr>
        <w:tc>
          <w:tcPr>
            <w:tcW w:w="6606" w:type="dxa"/>
            <w:shd w:val="clear" w:color="auto" w:fill="auto"/>
            <w:noWrap/>
            <w:vAlign w:val="center"/>
            <w:hideMark/>
          </w:tcPr>
          <w:p w14:paraId="70816506" w14:textId="77777777" w:rsidR="0006604F" w:rsidRPr="002E7DF5" w:rsidRDefault="0006604F" w:rsidP="00B4306D">
            <w:pPr>
              <w:spacing w:after="0"/>
              <w:rPr>
                <w:rFonts w:eastAsia="Times New Roman" w:cs="Times New Roman"/>
                <w:sz w:val="18"/>
                <w:szCs w:val="18"/>
                <w:lang w:val="en-US"/>
              </w:rPr>
            </w:pPr>
            <w:r w:rsidRPr="002E7DF5">
              <w:rPr>
                <w:rFonts w:eastAsia="Times New Roman" w:cs="Times New Roman"/>
                <w:sz w:val="18"/>
                <w:szCs w:val="18"/>
              </w:rPr>
              <w:t>Неданъчни приходи</w:t>
            </w:r>
          </w:p>
        </w:tc>
        <w:tc>
          <w:tcPr>
            <w:tcW w:w="1792" w:type="dxa"/>
            <w:shd w:val="clear" w:color="auto" w:fill="auto"/>
            <w:noWrap/>
          </w:tcPr>
          <w:p w14:paraId="2F0D9762" w14:textId="77777777" w:rsidR="0006604F" w:rsidRPr="0025514C" w:rsidRDefault="0006604F" w:rsidP="00B4306D">
            <w:pPr>
              <w:spacing w:after="0"/>
              <w:jc w:val="right"/>
              <w:rPr>
                <w:rFonts w:cs="Times New Roman"/>
                <w:bCs/>
                <w:sz w:val="18"/>
                <w:szCs w:val="18"/>
              </w:rPr>
            </w:pPr>
            <w:r>
              <w:rPr>
                <w:rFonts w:cs="Times New Roman"/>
                <w:bCs/>
                <w:sz w:val="18"/>
                <w:szCs w:val="18"/>
              </w:rPr>
              <w:t>5 244,9</w:t>
            </w:r>
          </w:p>
        </w:tc>
        <w:tc>
          <w:tcPr>
            <w:tcW w:w="1517" w:type="dxa"/>
            <w:shd w:val="clear" w:color="auto" w:fill="F2F2F2" w:themeFill="background1" w:themeFillShade="F2"/>
            <w:noWrap/>
          </w:tcPr>
          <w:p w14:paraId="37755C59" w14:textId="77777777" w:rsidR="0006604F" w:rsidRPr="00D24148" w:rsidRDefault="0006604F" w:rsidP="00B4306D">
            <w:pPr>
              <w:spacing w:after="0"/>
              <w:jc w:val="right"/>
              <w:rPr>
                <w:rFonts w:eastAsia="Times New Roman" w:cs="Times New Roman"/>
                <w:bCs/>
                <w:sz w:val="18"/>
                <w:szCs w:val="18"/>
              </w:rPr>
            </w:pPr>
            <w:r>
              <w:rPr>
                <w:rFonts w:eastAsia="Times New Roman" w:cs="Times New Roman"/>
                <w:bCs/>
                <w:sz w:val="18"/>
                <w:szCs w:val="18"/>
              </w:rPr>
              <w:t>4 953,3</w:t>
            </w:r>
          </w:p>
        </w:tc>
        <w:tc>
          <w:tcPr>
            <w:tcW w:w="1379" w:type="dxa"/>
            <w:shd w:val="clear" w:color="auto" w:fill="F2F2F2" w:themeFill="background1" w:themeFillShade="F2"/>
            <w:noWrap/>
          </w:tcPr>
          <w:p w14:paraId="2C64A2B1" w14:textId="77777777" w:rsidR="0006604F" w:rsidRPr="00FB45A5" w:rsidRDefault="0006604F" w:rsidP="00B4306D">
            <w:pPr>
              <w:spacing w:after="0"/>
              <w:jc w:val="right"/>
              <w:rPr>
                <w:rFonts w:cs="Times New Roman"/>
                <w:bCs/>
                <w:sz w:val="18"/>
                <w:szCs w:val="18"/>
              </w:rPr>
            </w:pPr>
            <w:r>
              <w:rPr>
                <w:rFonts w:cs="Times New Roman"/>
                <w:bCs/>
                <w:sz w:val="18"/>
                <w:szCs w:val="18"/>
              </w:rPr>
              <w:t>4 956,7</w:t>
            </w:r>
          </w:p>
        </w:tc>
        <w:tc>
          <w:tcPr>
            <w:tcW w:w="1460" w:type="dxa"/>
            <w:shd w:val="clear" w:color="auto" w:fill="F2F2F2" w:themeFill="background1" w:themeFillShade="F2"/>
            <w:noWrap/>
          </w:tcPr>
          <w:p w14:paraId="2BC22A68" w14:textId="77777777" w:rsidR="0006604F" w:rsidRPr="00FB45A5" w:rsidRDefault="0006604F" w:rsidP="00B4306D">
            <w:pPr>
              <w:spacing w:after="0"/>
              <w:jc w:val="right"/>
              <w:rPr>
                <w:rFonts w:eastAsia="Times New Roman" w:cs="Times New Roman"/>
                <w:bCs/>
                <w:sz w:val="18"/>
                <w:szCs w:val="18"/>
                <w:lang w:val="en-US"/>
              </w:rPr>
            </w:pPr>
            <w:r w:rsidRPr="00FB45A5">
              <w:rPr>
                <w:rFonts w:eastAsia="Times New Roman" w:cs="Times New Roman"/>
                <w:bCs/>
                <w:sz w:val="18"/>
                <w:szCs w:val="18"/>
              </w:rPr>
              <w:t>-</w:t>
            </w:r>
            <w:r>
              <w:rPr>
                <w:rFonts w:eastAsia="Times New Roman" w:cs="Times New Roman"/>
                <w:bCs/>
                <w:sz w:val="18"/>
                <w:szCs w:val="18"/>
              </w:rPr>
              <w:t>3,4</w:t>
            </w:r>
          </w:p>
        </w:tc>
        <w:tc>
          <w:tcPr>
            <w:tcW w:w="1711" w:type="dxa"/>
            <w:shd w:val="clear" w:color="auto" w:fill="F2F2F2" w:themeFill="background1" w:themeFillShade="F2"/>
            <w:noWrap/>
            <w:hideMark/>
          </w:tcPr>
          <w:p w14:paraId="52E1A3E8" w14:textId="77777777" w:rsidR="0006604F" w:rsidRPr="000057FD" w:rsidRDefault="0006604F" w:rsidP="00B4306D">
            <w:pPr>
              <w:spacing w:after="0"/>
              <w:jc w:val="right"/>
              <w:rPr>
                <w:rFonts w:eastAsia="Times New Roman" w:cs="Times New Roman"/>
                <w:bCs/>
                <w:sz w:val="18"/>
                <w:szCs w:val="18"/>
              </w:rPr>
            </w:pPr>
            <w:r>
              <w:rPr>
                <w:rFonts w:eastAsia="Times New Roman" w:cs="Times New Roman"/>
                <w:bCs/>
                <w:sz w:val="18"/>
                <w:szCs w:val="18"/>
              </w:rPr>
              <w:t>94,4</w:t>
            </w:r>
            <w:r w:rsidRPr="009151CE">
              <w:rPr>
                <w:rFonts w:eastAsia="Times New Roman" w:cs="Times New Roman"/>
                <w:bCs/>
                <w:sz w:val="18"/>
                <w:szCs w:val="18"/>
              </w:rPr>
              <w:t>%</w:t>
            </w:r>
          </w:p>
        </w:tc>
      </w:tr>
      <w:tr w:rsidR="0006604F" w:rsidRPr="002E7DF5" w14:paraId="12B85C6C" w14:textId="77777777" w:rsidTr="009B41DE">
        <w:trPr>
          <w:trHeight w:val="247"/>
          <w:jc w:val="center"/>
        </w:trPr>
        <w:tc>
          <w:tcPr>
            <w:tcW w:w="6606" w:type="dxa"/>
            <w:shd w:val="clear" w:color="auto" w:fill="auto"/>
            <w:noWrap/>
            <w:vAlign w:val="center"/>
            <w:hideMark/>
          </w:tcPr>
          <w:p w14:paraId="5576B3B9" w14:textId="77777777" w:rsidR="0006604F" w:rsidRPr="002E7DF5" w:rsidRDefault="0006604F" w:rsidP="00B4306D">
            <w:pPr>
              <w:spacing w:after="0"/>
              <w:rPr>
                <w:rFonts w:eastAsia="Times New Roman" w:cs="Times New Roman"/>
                <w:sz w:val="18"/>
                <w:szCs w:val="18"/>
                <w:lang w:val="en-US"/>
              </w:rPr>
            </w:pPr>
            <w:r w:rsidRPr="002E7DF5">
              <w:rPr>
                <w:rFonts w:eastAsia="Times New Roman" w:cs="Times New Roman"/>
                <w:sz w:val="18"/>
                <w:szCs w:val="18"/>
              </w:rPr>
              <w:t>Помощи и дарения</w:t>
            </w:r>
          </w:p>
        </w:tc>
        <w:tc>
          <w:tcPr>
            <w:tcW w:w="1792" w:type="dxa"/>
            <w:shd w:val="clear" w:color="auto" w:fill="auto"/>
            <w:noWrap/>
          </w:tcPr>
          <w:p w14:paraId="45D99699" w14:textId="77777777" w:rsidR="0006604F" w:rsidRPr="0025514C" w:rsidRDefault="0006604F" w:rsidP="00B4306D">
            <w:pPr>
              <w:spacing w:after="0"/>
              <w:jc w:val="right"/>
              <w:rPr>
                <w:rFonts w:cs="Times New Roman"/>
                <w:bCs/>
                <w:sz w:val="18"/>
                <w:szCs w:val="18"/>
              </w:rPr>
            </w:pPr>
            <w:r>
              <w:rPr>
                <w:rFonts w:cs="Times New Roman"/>
                <w:bCs/>
                <w:sz w:val="18"/>
                <w:szCs w:val="18"/>
              </w:rPr>
              <w:t>3 620,3</w:t>
            </w:r>
          </w:p>
        </w:tc>
        <w:tc>
          <w:tcPr>
            <w:tcW w:w="1517" w:type="dxa"/>
            <w:shd w:val="clear" w:color="auto" w:fill="F2F2F2" w:themeFill="background1" w:themeFillShade="F2"/>
            <w:noWrap/>
          </w:tcPr>
          <w:p w14:paraId="477355FB" w14:textId="77777777" w:rsidR="0006604F" w:rsidRPr="00124E4C" w:rsidRDefault="0006604F" w:rsidP="00B4306D">
            <w:pPr>
              <w:spacing w:after="0"/>
              <w:jc w:val="right"/>
              <w:rPr>
                <w:rFonts w:eastAsia="Times New Roman" w:cs="Times New Roman"/>
                <w:bCs/>
                <w:sz w:val="18"/>
                <w:szCs w:val="18"/>
              </w:rPr>
            </w:pPr>
            <w:r>
              <w:rPr>
                <w:rFonts w:eastAsia="Times New Roman" w:cs="Times New Roman"/>
                <w:bCs/>
                <w:sz w:val="18"/>
                <w:szCs w:val="18"/>
              </w:rPr>
              <w:t>1 857,1</w:t>
            </w:r>
          </w:p>
        </w:tc>
        <w:tc>
          <w:tcPr>
            <w:tcW w:w="1379" w:type="dxa"/>
            <w:shd w:val="clear" w:color="auto" w:fill="F2F2F2" w:themeFill="background1" w:themeFillShade="F2"/>
            <w:noWrap/>
          </w:tcPr>
          <w:p w14:paraId="2EB65554" w14:textId="77777777" w:rsidR="0006604F" w:rsidRPr="00FB45A5" w:rsidRDefault="0006604F" w:rsidP="00B4306D">
            <w:pPr>
              <w:spacing w:after="0"/>
              <w:jc w:val="right"/>
              <w:rPr>
                <w:rFonts w:cs="Times New Roman"/>
                <w:bCs/>
                <w:sz w:val="18"/>
                <w:szCs w:val="18"/>
              </w:rPr>
            </w:pPr>
            <w:r>
              <w:rPr>
                <w:rFonts w:cs="Times New Roman"/>
                <w:bCs/>
                <w:sz w:val="18"/>
                <w:szCs w:val="18"/>
              </w:rPr>
              <w:t>93,1</w:t>
            </w:r>
          </w:p>
        </w:tc>
        <w:tc>
          <w:tcPr>
            <w:tcW w:w="1460" w:type="dxa"/>
            <w:shd w:val="clear" w:color="auto" w:fill="F2F2F2" w:themeFill="background1" w:themeFillShade="F2"/>
            <w:noWrap/>
          </w:tcPr>
          <w:p w14:paraId="23F43482" w14:textId="77777777" w:rsidR="0006604F" w:rsidRPr="00FB45A5" w:rsidRDefault="0006604F" w:rsidP="00B4306D">
            <w:pPr>
              <w:spacing w:after="0"/>
              <w:jc w:val="right"/>
              <w:rPr>
                <w:rFonts w:eastAsia="Times New Roman" w:cs="Times New Roman"/>
                <w:bCs/>
                <w:sz w:val="18"/>
                <w:szCs w:val="18"/>
              </w:rPr>
            </w:pPr>
            <w:r>
              <w:rPr>
                <w:rFonts w:eastAsia="Times New Roman" w:cs="Times New Roman"/>
                <w:bCs/>
                <w:sz w:val="18"/>
                <w:szCs w:val="18"/>
              </w:rPr>
              <w:t>1 764,0</w:t>
            </w:r>
          </w:p>
        </w:tc>
        <w:tc>
          <w:tcPr>
            <w:tcW w:w="1711" w:type="dxa"/>
            <w:shd w:val="clear" w:color="auto" w:fill="F2F2F2" w:themeFill="background1" w:themeFillShade="F2"/>
            <w:noWrap/>
            <w:hideMark/>
          </w:tcPr>
          <w:p w14:paraId="6A8F3385" w14:textId="77777777" w:rsidR="0006604F" w:rsidRPr="000057FD" w:rsidRDefault="0006604F" w:rsidP="00B4306D">
            <w:pPr>
              <w:spacing w:after="0"/>
              <w:jc w:val="right"/>
              <w:rPr>
                <w:rFonts w:eastAsia="Times New Roman" w:cs="Times New Roman"/>
                <w:bCs/>
                <w:sz w:val="18"/>
                <w:szCs w:val="18"/>
              </w:rPr>
            </w:pPr>
            <w:r>
              <w:rPr>
                <w:rFonts w:eastAsia="Times New Roman" w:cs="Times New Roman"/>
                <w:bCs/>
                <w:sz w:val="18"/>
                <w:szCs w:val="18"/>
              </w:rPr>
              <w:t>51,3</w:t>
            </w:r>
            <w:r w:rsidRPr="009151CE">
              <w:rPr>
                <w:rFonts w:eastAsia="Times New Roman" w:cs="Times New Roman"/>
                <w:bCs/>
                <w:sz w:val="18"/>
                <w:szCs w:val="18"/>
              </w:rPr>
              <w:t>%</w:t>
            </w:r>
          </w:p>
        </w:tc>
      </w:tr>
      <w:tr w:rsidR="0006604F" w:rsidRPr="002E7DF5" w14:paraId="25529314" w14:textId="77777777" w:rsidTr="00B4306D">
        <w:trPr>
          <w:trHeight w:val="102"/>
          <w:jc w:val="center"/>
        </w:trPr>
        <w:tc>
          <w:tcPr>
            <w:tcW w:w="6606" w:type="dxa"/>
            <w:shd w:val="clear" w:color="auto" w:fill="auto"/>
            <w:vAlign w:val="center"/>
            <w:hideMark/>
          </w:tcPr>
          <w:p w14:paraId="45BE4C50" w14:textId="77777777" w:rsidR="0006604F" w:rsidRPr="00054BEA" w:rsidRDefault="0006604F" w:rsidP="00B4306D">
            <w:pPr>
              <w:spacing w:after="0"/>
              <w:rPr>
                <w:rFonts w:eastAsia="Times New Roman" w:cs="Times New Roman"/>
                <w:b/>
                <w:bCs/>
                <w:sz w:val="18"/>
                <w:szCs w:val="18"/>
              </w:rPr>
            </w:pPr>
            <w:r w:rsidRPr="002E7DF5">
              <w:rPr>
                <w:rFonts w:eastAsia="Times New Roman" w:cs="Times New Roman"/>
                <w:b/>
                <w:bCs/>
                <w:sz w:val="18"/>
                <w:szCs w:val="18"/>
              </w:rPr>
              <w:t>РАЗХОДИ И ВНОСКА В БЮДЖЕТА НА ЕС</w:t>
            </w:r>
          </w:p>
        </w:tc>
        <w:tc>
          <w:tcPr>
            <w:tcW w:w="1792" w:type="dxa"/>
            <w:shd w:val="clear" w:color="auto" w:fill="auto"/>
            <w:noWrap/>
          </w:tcPr>
          <w:p w14:paraId="308271EE" w14:textId="77777777" w:rsidR="0006604F" w:rsidRPr="0025514C" w:rsidRDefault="0006604F" w:rsidP="00B4306D">
            <w:pPr>
              <w:spacing w:after="0"/>
              <w:jc w:val="right"/>
              <w:rPr>
                <w:rFonts w:cs="Times New Roman"/>
                <w:b/>
                <w:bCs/>
                <w:sz w:val="18"/>
                <w:szCs w:val="18"/>
              </w:rPr>
            </w:pPr>
            <w:r>
              <w:rPr>
                <w:rFonts w:cs="Times New Roman"/>
                <w:b/>
                <w:bCs/>
                <w:sz w:val="18"/>
                <w:szCs w:val="18"/>
              </w:rPr>
              <w:t>41 674,9</w:t>
            </w:r>
          </w:p>
        </w:tc>
        <w:tc>
          <w:tcPr>
            <w:tcW w:w="1517" w:type="dxa"/>
            <w:shd w:val="clear" w:color="auto" w:fill="F2F2F2" w:themeFill="background1" w:themeFillShade="F2"/>
            <w:noWrap/>
          </w:tcPr>
          <w:p w14:paraId="17597B46" w14:textId="77777777" w:rsidR="0006604F" w:rsidRPr="00124E4C" w:rsidRDefault="0006604F" w:rsidP="00B4306D">
            <w:pPr>
              <w:spacing w:after="0"/>
              <w:jc w:val="right"/>
              <w:rPr>
                <w:rFonts w:eastAsia="Times New Roman" w:cs="Times New Roman"/>
                <w:b/>
                <w:bCs/>
                <w:sz w:val="18"/>
                <w:szCs w:val="18"/>
              </w:rPr>
            </w:pPr>
            <w:r>
              <w:rPr>
                <w:rFonts w:eastAsia="Times New Roman" w:cs="Times New Roman"/>
                <w:b/>
                <w:bCs/>
                <w:sz w:val="18"/>
                <w:szCs w:val="18"/>
              </w:rPr>
              <w:t>39 972,2</w:t>
            </w:r>
          </w:p>
        </w:tc>
        <w:tc>
          <w:tcPr>
            <w:tcW w:w="1379" w:type="dxa"/>
            <w:shd w:val="clear" w:color="auto" w:fill="F2F2F2" w:themeFill="background1" w:themeFillShade="F2"/>
            <w:noWrap/>
          </w:tcPr>
          <w:p w14:paraId="5EDAEEAA" w14:textId="77777777" w:rsidR="0006604F" w:rsidRPr="009743FA" w:rsidRDefault="0006604F" w:rsidP="00B4306D">
            <w:pPr>
              <w:spacing w:after="0"/>
              <w:jc w:val="right"/>
              <w:rPr>
                <w:rFonts w:cs="Times New Roman"/>
                <w:b/>
                <w:bCs/>
                <w:sz w:val="18"/>
                <w:szCs w:val="18"/>
              </w:rPr>
            </w:pPr>
            <w:r>
              <w:rPr>
                <w:rFonts w:cs="Times New Roman"/>
                <w:b/>
                <w:bCs/>
                <w:sz w:val="18"/>
                <w:szCs w:val="18"/>
              </w:rPr>
              <w:t>38 029,9</w:t>
            </w:r>
          </w:p>
        </w:tc>
        <w:tc>
          <w:tcPr>
            <w:tcW w:w="1460" w:type="dxa"/>
            <w:shd w:val="clear" w:color="auto" w:fill="F2F2F2" w:themeFill="background1" w:themeFillShade="F2"/>
            <w:noWrap/>
          </w:tcPr>
          <w:p w14:paraId="1002DF7B" w14:textId="77777777" w:rsidR="0006604F" w:rsidRPr="00CE0BDD" w:rsidRDefault="0006604F" w:rsidP="00B4306D">
            <w:pPr>
              <w:spacing w:after="0"/>
              <w:jc w:val="right"/>
              <w:rPr>
                <w:rFonts w:eastAsia="Times New Roman" w:cs="Times New Roman"/>
                <w:b/>
                <w:bCs/>
                <w:sz w:val="18"/>
                <w:szCs w:val="18"/>
              </w:rPr>
            </w:pPr>
            <w:r>
              <w:rPr>
                <w:rFonts w:eastAsia="Times New Roman" w:cs="Times New Roman"/>
                <w:b/>
                <w:bCs/>
                <w:sz w:val="18"/>
                <w:szCs w:val="18"/>
              </w:rPr>
              <w:t>1 942,3</w:t>
            </w:r>
          </w:p>
        </w:tc>
        <w:tc>
          <w:tcPr>
            <w:tcW w:w="1711" w:type="dxa"/>
            <w:shd w:val="clear" w:color="auto" w:fill="F2F2F2" w:themeFill="background1" w:themeFillShade="F2"/>
            <w:noWrap/>
          </w:tcPr>
          <w:p w14:paraId="59441E7D" w14:textId="77777777" w:rsidR="0006604F" w:rsidRPr="000057FD" w:rsidRDefault="0006604F" w:rsidP="00B4306D">
            <w:pPr>
              <w:spacing w:after="0"/>
              <w:jc w:val="right"/>
              <w:rPr>
                <w:rFonts w:eastAsia="Times New Roman" w:cs="Times New Roman"/>
                <w:b/>
                <w:bCs/>
                <w:sz w:val="18"/>
                <w:szCs w:val="18"/>
              </w:rPr>
            </w:pPr>
            <w:r>
              <w:rPr>
                <w:rFonts w:eastAsia="Times New Roman" w:cs="Times New Roman"/>
                <w:b/>
                <w:bCs/>
                <w:sz w:val="18"/>
                <w:szCs w:val="18"/>
              </w:rPr>
              <w:t>95,9</w:t>
            </w:r>
            <w:r w:rsidRPr="009151CE">
              <w:rPr>
                <w:rFonts w:eastAsia="Times New Roman" w:cs="Times New Roman"/>
                <w:b/>
                <w:bCs/>
                <w:sz w:val="18"/>
                <w:szCs w:val="18"/>
              </w:rPr>
              <w:t>%</w:t>
            </w:r>
          </w:p>
        </w:tc>
      </w:tr>
      <w:tr w:rsidR="0006604F" w:rsidRPr="001172ED" w14:paraId="01D6AE93" w14:textId="77777777" w:rsidTr="009B41DE">
        <w:trPr>
          <w:trHeight w:val="265"/>
          <w:jc w:val="center"/>
        </w:trPr>
        <w:tc>
          <w:tcPr>
            <w:tcW w:w="6606" w:type="dxa"/>
            <w:shd w:val="clear" w:color="auto" w:fill="auto"/>
            <w:noWrap/>
            <w:vAlign w:val="center"/>
            <w:hideMark/>
          </w:tcPr>
          <w:p w14:paraId="6BE12ECB" w14:textId="77777777" w:rsidR="0006604F" w:rsidRPr="00983874" w:rsidRDefault="0006604F" w:rsidP="00B4306D">
            <w:pPr>
              <w:spacing w:after="0"/>
              <w:rPr>
                <w:rFonts w:eastAsia="Times New Roman" w:cs="Times New Roman"/>
                <w:sz w:val="18"/>
                <w:szCs w:val="18"/>
                <w:lang w:val="ru-RU"/>
              </w:rPr>
            </w:pPr>
            <w:r w:rsidRPr="002E7DF5">
              <w:rPr>
                <w:rFonts w:eastAsia="Times New Roman" w:cs="Times New Roman"/>
                <w:sz w:val="18"/>
                <w:szCs w:val="18"/>
              </w:rPr>
              <w:t xml:space="preserve"> Нелихвени</w:t>
            </w:r>
          </w:p>
        </w:tc>
        <w:tc>
          <w:tcPr>
            <w:tcW w:w="1792" w:type="dxa"/>
            <w:shd w:val="clear" w:color="auto" w:fill="auto"/>
            <w:noWrap/>
          </w:tcPr>
          <w:p w14:paraId="38CD1B5B" w14:textId="77777777" w:rsidR="0006604F" w:rsidRPr="0025514C" w:rsidRDefault="0006604F" w:rsidP="00B4306D">
            <w:pPr>
              <w:spacing w:after="0"/>
              <w:jc w:val="right"/>
              <w:rPr>
                <w:rFonts w:cs="Times New Roman"/>
                <w:bCs/>
                <w:sz w:val="18"/>
                <w:szCs w:val="18"/>
              </w:rPr>
            </w:pPr>
            <w:r>
              <w:rPr>
                <w:rFonts w:cs="Times New Roman"/>
                <w:bCs/>
                <w:sz w:val="18"/>
                <w:szCs w:val="18"/>
              </w:rPr>
              <w:t>39 997,0</w:t>
            </w:r>
          </w:p>
        </w:tc>
        <w:tc>
          <w:tcPr>
            <w:tcW w:w="1517" w:type="dxa"/>
            <w:shd w:val="clear" w:color="auto" w:fill="F2F2F2" w:themeFill="background1" w:themeFillShade="F2"/>
            <w:noWrap/>
          </w:tcPr>
          <w:p w14:paraId="2F9F4468" w14:textId="77777777" w:rsidR="0006604F" w:rsidRPr="00124E4C" w:rsidRDefault="0006604F" w:rsidP="00B4306D">
            <w:pPr>
              <w:spacing w:after="0"/>
              <w:jc w:val="right"/>
              <w:rPr>
                <w:rFonts w:eastAsia="Times New Roman" w:cs="Times New Roman"/>
                <w:bCs/>
                <w:sz w:val="18"/>
                <w:szCs w:val="18"/>
              </w:rPr>
            </w:pPr>
            <w:r>
              <w:rPr>
                <w:rFonts w:eastAsia="Times New Roman" w:cs="Times New Roman"/>
                <w:bCs/>
                <w:sz w:val="18"/>
                <w:szCs w:val="18"/>
              </w:rPr>
              <w:t>38 642,2</w:t>
            </w:r>
          </w:p>
        </w:tc>
        <w:tc>
          <w:tcPr>
            <w:tcW w:w="1379" w:type="dxa"/>
            <w:shd w:val="clear" w:color="auto" w:fill="F2F2F2" w:themeFill="background1" w:themeFillShade="F2"/>
            <w:noWrap/>
          </w:tcPr>
          <w:p w14:paraId="0C10152A" w14:textId="77777777" w:rsidR="0006604F" w:rsidRPr="00FB45A5" w:rsidRDefault="0006604F" w:rsidP="00B4306D">
            <w:pPr>
              <w:spacing w:after="0"/>
              <w:jc w:val="right"/>
              <w:rPr>
                <w:rFonts w:cs="Times New Roman"/>
                <w:bCs/>
                <w:sz w:val="18"/>
                <w:szCs w:val="18"/>
              </w:rPr>
            </w:pPr>
            <w:r>
              <w:rPr>
                <w:rFonts w:cs="Times New Roman"/>
                <w:bCs/>
                <w:sz w:val="18"/>
                <w:szCs w:val="18"/>
              </w:rPr>
              <w:t>36 700,0</w:t>
            </w:r>
          </w:p>
        </w:tc>
        <w:tc>
          <w:tcPr>
            <w:tcW w:w="1460" w:type="dxa"/>
            <w:shd w:val="clear" w:color="auto" w:fill="F2F2F2" w:themeFill="background1" w:themeFillShade="F2"/>
            <w:noWrap/>
          </w:tcPr>
          <w:p w14:paraId="60089564" w14:textId="77777777" w:rsidR="0006604F" w:rsidRPr="00F3430E" w:rsidRDefault="0006604F" w:rsidP="00B4306D">
            <w:pPr>
              <w:spacing w:after="0"/>
              <w:jc w:val="right"/>
              <w:rPr>
                <w:rFonts w:eastAsia="Times New Roman" w:cs="Times New Roman"/>
                <w:bCs/>
                <w:sz w:val="18"/>
                <w:szCs w:val="18"/>
              </w:rPr>
            </w:pPr>
            <w:r>
              <w:rPr>
                <w:rFonts w:eastAsia="Times New Roman" w:cs="Times New Roman"/>
                <w:bCs/>
                <w:sz w:val="18"/>
                <w:szCs w:val="18"/>
              </w:rPr>
              <w:t>1 942,2</w:t>
            </w:r>
          </w:p>
        </w:tc>
        <w:tc>
          <w:tcPr>
            <w:tcW w:w="1711" w:type="dxa"/>
            <w:shd w:val="clear" w:color="auto" w:fill="F2F2F2" w:themeFill="background1" w:themeFillShade="F2"/>
            <w:noWrap/>
          </w:tcPr>
          <w:p w14:paraId="445812D1" w14:textId="77777777" w:rsidR="0006604F" w:rsidRPr="000057FD" w:rsidRDefault="0006604F" w:rsidP="00B4306D">
            <w:pPr>
              <w:spacing w:after="0"/>
              <w:jc w:val="right"/>
              <w:rPr>
                <w:rFonts w:eastAsia="Times New Roman" w:cs="Times New Roman"/>
                <w:bCs/>
                <w:sz w:val="18"/>
                <w:szCs w:val="18"/>
              </w:rPr>
            </w:pPr>
            <w:r>
              <w:rPr>
                <w:rFonts w:eastAsia="Times New Roman" w:cs="Times New Roman"/>
                <w:bCs/>
                <w:sz w:val="18"/>
                <w:szCs w:val="18"/>
              </w:rPr>
              <w:t>96,6</w:t>
            </w:r>
            <w:r w:rsidRPr="009151CE">
              <w:rPr>
                <w:rFonts w:eastAsia="Times New Roman" w:cs="Times New Roman"/>
                <w:bCs/>
                <w:sz w:val="18"/>
                <w:szCs w:val="18"/>
              </w:rPr>
              <w:t>%</w:t>
            </w:r>
          </w:p>
        </w:tc>
      </w:tr>
      <w:tr w:rsidR="0006604F" w:rsidRPr="002E7DF5" w14:paraId="55A60026" w14:textId="77777777" w:rsidTr="00B4306D">
        <w:trPr>
          <w:trHeight w:val="209"/>
          <w:jc w:val="center"/>
        </w:trPr>
        <w:tc>
          <w:tcPr>
            <w:tcW w:w="6606" w:type="dxa"/>
            <w:shd w:val="clear" w:color="auto" w:fill="auto"/>
            <w:noWrap/>
            <w:vAlign w:val="center"/>
          </w:tcPr>
          <w:p w14:paraId="23F3FE4B" w14:textId="77777777" w:rsidR="0006604F" w:rsidRPr="002E7DF5" w:rsidRDefault="0006604F" w:rsidP="00B4306D">
            <w:pPr>
              <w:spacing w:after="0"/>
              <w:rPr>
                <w:rFonts w:eastAsia="Times New Roman" w:cs="Times New Roman"/>
                <w:sz w:val="18"/>
                <w:szCs w:val="18"/>
                <w:lang w:val="en-US"/>
              </w:rPr>
            </w:pPr>
            <w:r w:rsidRPr="002E7DF5">
              <w:rPr>
                <w:rFonts w:eastAsia="Times New Roman" w:cs="Times New Roman"/>
                <w:sz w:val="18"/>
                <w:szCs w:val="18"/>
              </w:rPr>
              <w:t xml:space="preserve">     Текущи</w:t>
            </w:r>
          </w:p>
        </w:tc>
        <w:tc>
          <w:tcPr>
            <w:tcW w:w="1792" w:type="dxa"/>
            <w:shd w:val="clear" w:color="auto" w:fill="auto"/>
            <w:noWrap/>
          </w:tcPr>
          <w:p w14:paraId="626F4243" w14:textId="77777777" w:rsidR="0006604F" w:rsidRDefault="0006604F" w:rsidP="00B4306D">
            <w:pPr>
              <w:spacing w:after="0"/>
              <w:jc w:val="right"/>
              <w:rPr>
                <w:rFonts w:cs="Times New Roman"/>
                <w:bCs/>
                <w:sz w:val="18"/>
                <w:szCs w:val="18"/>
              </w:rPr>
            </w:pPr>
            <w:r>
              <w:rPr>
                <w:rFonts w:cs="Times New Roman"/>
                <w:bCs/>
                <w:sz w:val="18"/>
                <w:szCs w:val="18"/>
              </w:rPr>
              <w:t>34 667,8</w:t>
            </w:r>
          </w:p>
        </w:tc>
        <w:tc>
          <w:tcPr>
            <w:tcW w:w="1517" w:type="dxa"/>
            <w:shd w:val="clear" w:color="auto" w:fill="F2F2F2" w:themeFill="background1" w:themeFillShade="F2"/>
            <w:noWrap/>
          </w:tcPr>
          <w:p w14:paraId="614DEBF7" w14:textId="77777777" w:rsidR="0006604F" w:rsidRPr="00DF0E6B" w:rsidRDefault="0006604F" w:rsidP="00B4306D">
            <w:pPr>
              <w:spacing w:after="0"/>
              <w:jc w:val="right"/>
              <w:rPr>
                <w:rFonts w:eastAsia="Times New Roman" w:cs="Times New Roman"/>
                <w:bCs/>
                <w:sz w:val="18"/>
                <w:szCs w:val="18"/>
                <w:lang w:val="ru-RU"/>
              </w:rPr>
            </w:pPr>
            <w:r>
              <w:rPr>
                <w:rFonts w:eastAsia="Times New Roman" w:cs="Times New Roman"/>
                <w:bCs/>
                <w:sz w:val="18"/>
                <w:szCs w:val="18"/>
                <w:lang w:val="ru-RU"/>
              </w:rPr>
              <w:t>35 139,4</w:t>
            </w:r>
          </w:p>
        </w:tc>
        <w:tc>
          <w:tcPr>
            <w:tcW w:w="1379" w:type="dxa"/>
            <w:shd w:val="clear" w:color="auto" w:fill="F2F2F2" w:themeFill="background1" w:themeFillShade="F2"/>
            <w:noWrap/>
          </w:tcPr>
          <w:p w14:paraId="05624497" w14:textId="77777777" w:rsidR="0006604F" w:rsidRPr="00FB45A5" w:rsidRDefault="0006604F" w:rsidP="00B4306D">
            <w:pPr>
              <w:spacing w:after="0"/>
              <w:jc w:val="right"/>
              <w:rPr>
                <w:rFonts w:cs="Times New Roman"/>
                <w:bCs/>
                <w:sz w:val="18"/>
                <w:szCs w:val="18"/>
              </w:rPr>
            </w:pPr>
            <w:r>
              <w:rPr>
                <w:rFonts w:cs="Times New Roman"/>
                <w:bCs/>
                <w:sz w:val="18"/>
                <w:szCs w:val="18"/>
              </w:rPr>
              <w:t>34 457,4</w:t>
            </w:r>
          </w:p>
        </w:tc>
        <w:tc>
          <w:tcPr>
            <w:tcW w:w="1460" w:type="dxa"/>
            <w:shd w:val="clear" w:color="auto" w:fill="F2F2F2" w:themeFill="background1" w:themeFillShade="F2"/>
            <w:noWrap/>
          </w:tcPr>
          <w:p w14:paraId="25EE10E0"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681,9</w:t>
            </w:r>
          </w:p>
        </w:tc>
        <w:tc>
          <w:tcPr>
            <w:tcW w:w="1711" w:type="dxa"/>
            <w:shd w:val="clear" w:color="auto" w:fill="F2F2F2" w:themeFill="background1" w:themeFillShade="F2"/>
            <w:noWrap/>
          </w:tcPr>
          <w:p w14:paraId="390A27CF"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101,4</w:t>
            </w:r>
            <w:r w:rsidRPr="009151CE">
              <w:rPr>
                <w:rFonts w:eastAsia="Times New Roman" w:cs="Times New Roman"/>
                <w:bCs/>
                <w:sz w:val="18"/>
                <w:szCs w:val="18"/>
              </w:rPr>
              <w:t>%</w:t>
            </w:r>
          </w:p>
        </w:tc>
      </w:tr>
      <w:tr w:rsidR="0006604F" w:rsidRPr="002E7DF5" w14:paraId="0892EC61" w14:textId="77777777" w:rsidTr="009B41DE">
        <w:trPr>
          <w:trHeight w:val="229"/>
          <w:jc w:val="center"/>
        </w:trPr>
        <w:tc>
          <w:tcPr>
            <w:tcW w:w="6606" w:type="dxa"/>
            <w:shd w:val="clear" w:color="auto" w:fill="auto"/>
            <w:noWrap/>
            <w:vAlign w:val="center"/>
          </w:tcPr>
          <w:p w14:paraId="5C608460" w14:textId="77777777" w:rsidR="0006604F" w:rsidRPr="002E7DF5" w:rsidRDefault="0006604F" w:rsidP="00B4306D">
            <w:pPr>
              <w:spacing w:after="0"/>
              <w:rPr>
                <w:rFonts w:eastAsia="Times New Roman" w:cs="Times New Roman"/>
                <w:sz w:val="18"/>
                <w:szCs w:val="18"/>
                <w:lang w:val="en-US"/>
              </w:rPr>
            </w:pPr>
            <w:r w:rsidRPr="002E7DF5">
              <w:rPr>
                <w:rFonts w:eastAsia="Times New Roman" w:cs="Times New Roman"/>
                <w:sz w:val="18"/>
                <w:szCs w:val="18"/>
              </w:rPr>
              <w:lastRenderedPageBreak/>
              <w:t xml:space="preserve">     Капиталови**</w:t>
            </w:r>
          </w:p>
        </w:tc>
        <w:tc>
          <w:tcPr>
            <w:tcW w:w="1792" w:type="dxa"/>
            <w:shd w:val="clear" w:color="auto" w:fill="auto"/>
            <w:noWrap/>
          </w:tcPr>
          <w:p w14:paraId="7DC33728" w14:textId="77777777" w:rsidR="0006604F" w:rsidRDefault="0006604F" w:rsidP="00B4306D">
            <w:pPr>
              <w:spacing w:after="0"/>
              <w:jc w:val="right"/>
              <w:rPr>
                <w:rFonts w:cs="Times New Roman"/>
                <w:bCs/>
                <w:sz w:val="18"/>
                <w:szCs w:val="18"/>
              </w:rPr>
            </w:pPr>
            <w:r>
              <w:rPr>
                <w:rFonts w:cs="Times New Roman"/>
                <w:bCs/>
                <w:sz w:val="18"/>
                <w:szCs w:val="18"/>
              </w:rPr>
              <w:t>5 125,8</w:t>
            </w:r>
          </w:p>
        </w:tc>
        <w:tc>
          <w:tcPr>
            <w:tcW w:w="1517" w:type="dxa"/>
            <w:shd w:val="clear" w:color="auto" w:fill="F2F2F2" w:themeFill="background1" w:themeFillShade="F2"/>
            <w:noWrap/>
          </w:tcPr>
          <w:p w14:paraId="4527E308" w14:textId="77777777" w:rsidR="0006604F" w:rsidRPr="00DF0E6B" w:rsidRDefault="0006604F" w:rsidP="00B4306D">
            <w:pPr>
              <w:spacing w:after="0"/>
              <w:jc w:val="right"/>
              <w:rPr>
                <w:rFonts w:eastAsia="Times New Roman" w:cs="Times New Roman"/>
                <w:bCs/>
                <w:sz w:val="18"/>
                <w:szCs w:val="18"/>
                <w:lang w:val="ru-RU"/>
              </w:rPr>
            </w:pPr>
            <w:r>
              <w:rPr>
                <w:rFonts w:eastAsia="Times New Roman" w:cs="Times New Roman"/>
                <w:bCs/>
                <w:sz w:val="18"/>
                <w:szCs w:val="18"/>
                <w:lang w:val="ru-RU"/>
              </w:rPr>
              <w:t>3 478,0</w:t>
            </w:r>
          </w:p>
        </w:tc>
        <w:tc>
          <w:tcPr>
            <w:tcW w:w="1379" w:type="dxa"/>
            <w:shd w:val="clear" w:color="auto" w:fill="F2F2F2" w:themeFill="background1" w:themeFillShade="F2"/>
            <w:noWrap/>
          </w:tcPr>
          <w:p w14:paraId="263D7A28" w14:textId="77777777" w:rsidR="0006604F" w:rsidRPr="00FB45A5" w:rsidRDefault="0006604F" w:rsidP="00B4306D">
            <w:pPr>
              <w:spacing w:after="0"/>
              <w:jc w:val="right"/>
              <w:rPr>
                <w:rFonts w:cs="Times New Roman"/>
                <w:bCs/>
                <w:sz w:val="18"/>
                <w:szCs w:val="18"/>
              </w:rPr>
            </w:pPr>
            <w:r>
              <w:rPr>
                <w:rFonts w:cs="Times New Roman"/>
                <w:bCs/>
                <w:sz w:val="18"/>
                <w:szCs w:val="18"/>
              </w:rPr>
              <w:t>2 225,8</w:t>
            </w:r>
          </w:p>
        </w:tc>
        <w:tc>
          <w:tcPr>
            <w:tcW w:w="1460" w:type="dxa"/>
            <w:shd w:val="clear" w:color="auto" w:fill="F2F2F2" w:themeFill="background1" w:themeFillShade="F2"/>
            <w:noWrap/>
          </w:tcPr>
          <w:p w14:paraId="1F84189D"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1 252,3</w:t>
            </w:r>
          </w:p>
        </w:tc>
        <w:tc>
          <w:tcPr>
            <w:tcW w:w="1711" w:type="dxa"/>
            <w:shd w:val="clear" w:color="auto" w:fill="F2F2F2" w:themeFill="background1" w:themeFillShade="F2"/>
            <w:noWrap/>
          </w:tcPr>
          <w:p w14:paraId="29B10ED6"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67,9</w:t>
            </w:r>
            <w:r w:rsidRPr="009151CE">
              <w:rPr>
                <w:rFonts w:eastAsia="Times New Roman" w:cs="Times New Roman"/>
                <w:bCs/>
                <w:sz w:val="18"/>
                <w:szCs w:val="18"/>
              </w:rPr>
              <w:t>%</w:t>
            </w:r>
          </w:p>
        </w:tc>
      </w:tr>
      <w:tr w:rsidR="0006604F" w:rsidRPr="002E7DF5" w14:paraId="18A82065" w14:textId="77777777" w:rsidTr="009B41DE">
        <w:trPr>
          <w:trHeight w:val="274"/>
          <w:jc w:val="center"/>
        </w:trPr>
        <w:tc>
          <w:tcPr>
            <w:tcW w:w="6606" w:type="dxa"/>
            <w:shd w:val="clear" w:color="auto" w:fill="auto"/>
            <w:noWrap/>
            <w:vAlign w:val="center"/>
          </w:tcPr>
          <w:p w14:paraId="07830767" w14:textId="77777777" w:rsidR="0006604F" w:rsidRPr="002E7DF5" w:rsidRDefault="0006604F" w:rsidP="00B4306D">
            <w:pPr>
              <w:spacing w:after="0"/>
              <w:rPr>
                <w:rFonts w:eastAsia="Times New Roman" w:cs="Times New Roman"/>
                <w:sz w:val="18"/>
                <w:szCs w:val="18"/>
              </w:rPr>
            </w:pPr>
            <w:r w:rsidRPr="002E7DF5">
              <w:rPr>
                <w:rFonts w:eastAsia="Times New Roman" w:cs="Times New Roman"/>
                <w:sz w:val="18"/>
                <w:szCs w:val="18"/>
              </w:rPr>
              <w:t xml:space="preserve">     Предоставени тек. и </w:t>
            </w:r>
            <w:proofErr w:type="spellStart"/>
            <w:r w:rsidRPr="002E7DF5">
              <w:rPr>
                <w:rFonts w:eastAsia="Times New Roman" w:cs="Times New Roman"/>
                <w:sz w:val="18"/>
                <w:szCs w:val="18"/>
              </w:rPr>
              <w:t>кап</w:t>
            </w:r>
            <w:proofErr w:type="spellEnd"/>
            <w:r w:rsidRPr="002E7DF5">
              <w:rPr>
                <w:rFonts w:eastAsia="Times New Roman" w:cs="Times New Roman"/>
                <w:sz w:val="18"/>
                <w:szCs w:val="18"/>
              </w:rPr>
              <w:t>. трансфери за чужбина</w:t>
            </w:r>
          </w:p>
        </w:tc>
        <w:tc>
          <w:tcPr>
            <w:tcW w:w="1792" w:type="dxa"/>
            <w:shd w:val="clear" w:color="auto" w:fill="auto"/>
            <w:noWrap/>
          </w:tcPr>
          <w:p w14:paraId="48BFBCCE" w14:textId="77777777" w:rsidR="0006604F" w:rsidRDefault="0006604F" w:rsidP="00B4306D">
            <w:pPr>
              <w:spacing w:after="0"/>
              <w:jc w:val="right"/>
              <w:rPr>
                <w:rFonts w:cs="Times New Roman"/>
                <w:bCs/>
                <w:sz w:val="18"/>
                <w:szCs w:val="18"/>
              </w:rPr>
            </w:pPr>
            <w:r>
              <w:rPr>
                <w:rFonts w:cs="Times New Roman"/>
                <w:bCs/>
                <w:sz w:val="18"/>
                <w:szCs w:val="18"/>
              </w:rPr>
              <w:t>14,1</w:t>
            </w:r>
          </w:p>
        </w:tc>
        <w:tc>
          <w:tcPr>
            <w:tcW w:w="1517" w:type="dxa"/>
            <w:shd w:val="clear" w:color="auto" w:fill="F2F2F2" w:themeFill="background1" w:themeFillShade="F2"/>
            <w:noWrap/>
          </w:tcPr>
          <w:p w14:paraId="7EBB0220" w14:textId="77777777" w:rsidR="0006604F" w:rsidRPr="00DF0E6B" w:rsidRDefault="0006604F" w:rsidP="00B4306D">
            <w:pPr>
              <w:spacing w:after="0"/>
              <w:jc w:val="right"/>
              <w:rPr>
                <w:rFonts w:eastAsia="Times New Roman" w:cs="Times New Roman"/>
                <w:bCs/>
                <w:sz w:val="18"/>
                <w:szCs w:val="18"/>
                <w:lang w:val="ru-RU"/>
              </w:rPr>
            </w:pPr>
            <w:r>
              <w:rPr>
                <w:rFonts w:eastAsia="Times New Roman" w:cs="Times New Roman"/>
                <w:bCs/>
                <w:sz w:val="18"/>
                <w:szCs w:val="18"/>
                <w:lang w:val="ru-RU"/>
              </w:rPr>
              <w:t>24,9</w:t>
            </w:r>
          </w:p>
        </w:tc>
        <w:tc>
          <w:tcPr>
            <w:tcW w:w="1379" w:type="dxa"/>
            <w:shd w:val="clear" w:color="auto" w:fill="F2F2F2" w:themeFill="background1" w:themeFillShade="F2"/>
            <w:noWrap/>
          </w:tcPr>
          <w:p w14:paraId="674D76EA" w14:textId="77777777" w:rsidR="0006604F" w:rsidRPr="00FB45A5" w:rsidRDefault="0006604F" w:rsidP="00B4306D">
            <w:pPr>
              <w:spacing w:after="0"/>
              <w:jc w:val="right"/>
              <w:rPr>
                <w:rFonts w:cs="Times New Roman"/>
                <w:bCs/>
                <w:sz w:val="18"/>
                <w:szCs w:val="18"/>
              </w:rPr>
            </w:pPr>
            <w:r>
              <w:rPr>
                <w:rFonts w:cs="Times New Roman"/>
                <w:bCs/>
                <w:sz w:val="18"/>
                <w:szCs w:val="18"/>
              </w:rPr>
              <w:t>16,8</w:t>
            </w:r>
          </w:p>
        </w:tc>
        <w:tc>
          <w:tcPr>
            <w:tcW w:w="1460" w:type="dxa"/>
            <w:shd w:val="clear" w:color="auto" w:fill="F2F2F2" w:themeFill="background1" w:themeFillShade="F2"/>
            <w:noWrap/>
          </w:tcPr>
          <w:p w14:paraId="21D7E16D"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8,1</w:t>
            </w:r>
          </w:p>
        </w:tc>
        <w:tc>
          <w:tcPr>
            <w:tcW w:w="1711" w:type="dxa"/>
            <w:shd w:val="clear" w:color="auto" w:fill="F2F2F2" w:themeFill="background1" w:themeFillShade="F2"/>
            <w:noWrap/>
          </w:tcPr>
          <w:p w14:paraId="71EFD415"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176,8</w:t>
            </w:r>
            <w:r w:rsidRPr="009151CE">
              <w:rPr>
                <w:rFonts w:eastAsia="Times New Roman" w:cs="Times New Roman"/>
                <w:bCs/>
                <w:sz w:val="18"/>
                <w:szCs w:val="18"/>
              </w:rPr>
              <w:t>%</w:t>
            </w:r>
          </w:p>
        </w:tc>
      </w:tr>
      <w:tr w:rsidR="0006604F" w:rsidRPr="002E7DF5" w14:paraId="4714B4D1" w14:textId="77777777" w:rsidTr="00B4306D">
        <w:trPr>
          <w:trHeight w:val="254"/>
          <w:jc w:val="center"/>
        </w:trPr>
        <w:tc>
          <w:tcPr>
            <w:tcW w:w="6606" w:type="dxa"/>
            <w:shd w:val="clear" w:color="auto" w:fill="auto"/>
            <w:noWrap/>
            <w:vAlign w:val="center"/>
            <w:hideMark/>
          </w:tcPr>
          <w:p w14:paraId="04EF726D" w14:textId="77777777" w:rsidR="0006604F" w:rsidRPr="00DF0E6B" w:rsidRDefault="0006604F" w:rsidP="00B4306D">
            <w:pPr>
              <w:spacing w:after="0"/>
              <w:rPr>
                <w:rFonts w:eastAsia="Times New Roman" w:cs="Times New Roman"/>
                <w:sz w:val="18"/>
                <w:szCs w:val="18"/>
                <w:lang w:val="ru-RU"/>
              </w:rPr>
            </w:pPr>
            <w:r w:rsidRPr="002E7DF5">
              <w:rPr>
                <w:rFonts w:eastAsia="Times New Roman" w:cs="Times New Roman"/>
                <w:sz w:val="18"/>
                <w:szCs w:val="18"/>
              </w:rPr>
              <w:t xml:space="preserve"> </w:t>
            </w:r>
            <w:r>
              <w:rPr>
                <w:rFonts w:eastAsia="Times New Roman" w:cs="Times New Roman"/>
                <w:sz w:val="18"/>
                <w:szCs w:val="18"/>
              </w:rPr>
              <w:t xml:space="preserve">    Р</w:t>
            </w:r>
            <w:r w:rsidRPr="003A55C1">
              <w:rPr>
                <w:rFonts w:eastAsia="Times New Roman" w:cs="Times New Roman"/>
                <w:sz w:val="18"/>
                <w:szCs w:val="18"/>
              </w:rPr>
              <w:t>езерв за непредвидени и</w:t>
            </w:r>
            <w:r>
              <w:rPr>
                <w:rFonts w:eastAsia="Times New Roman" w:cs="Times New Roman"/>
                <w:sz w:val="18"/>
                <w:szCs w:val="18"/>
              </w:rPr>
              <w:t>/или</w:t>
            </w:r>
            <w:r w:rsidRPr="003A55C1">
              <w:rPr>
                <w:rFonts w:eastAsia="Times New Roman" w:cs="Times New Roman"/>
                <w:sz w:val="18"/>
                <w:szCs w:val="18"/>
              </w:rPr>
              <w:t xml:space="preserve"> неотложни разходи</w:t>
            </w:r>
          </w:p>
        </w:tc>
        <w:tc>
          <w:tcPr>
            <w:tcW w:w="1792" w:type="dxa"/>
            <w:shd w:val="clear" w:color="auto" w:fill="auto"/>
            <w:noWrap/>
          </w:tcPr>
          <w:p w14:paraId="710567C2" w14:textId="77777777" w:rsidR="0006604F" w:rsidRPr="0025514C" w:rsidRDefault="0006604F" w:rsidP="00B4306D">
            <w:pPr>
              <w:spacing w:after="0"/>
              <w:jc w:val="right"/>
              <w:rPr>
                <w:rFonts w:cs="Times New Roman"/>
                <w:bCs/>
                <w:sz w:val="18"/>
                <w:szCs w:val="18"/>
              </w:rPr>
            </w:pPr>
            <w:r>
              <w:rPr>
                <w:rFonts w:cs="Times New Roman"/>
                <w:bCs/>
                <w:sz w:val="18"/>
                <w:szCs w:val="18"/>
              </w:rPr>
              <w:t>189,3</w:t>
            </w:r>
          </w:p>
        </w:tc>
        <w:tc>
          <w:tcPr>
            <w:tcW w:w="1517" w:type="dxa"/>
            <w:shd w:val="clear" w:color="auto" w:fill="F2F2F2" w:themeFill="background1" w:themeFillShade="F2"/>
            <w:noWrap/>
          </w:tcPr>
          <w:p w14:paraId="776A6519" w14:textId="77777777" w:rsidR="0006604F" w:rsidRPr="00DF0E6B" w:rsidRDefault="0006604F" w:rsidP="00B4306D">
            <w:pPr>
              <w:spacing w:after="0"/>
              <w:jc w:val="right"/>
              <w:rPr>
                <w:rFonts w:eastAsia="Times New Roman" w:cs="Times New Roman"/>
                <w:bCs/>
                <w:sz w:val="18"/>
                <w:szCs w:val="18"/>
                <w:lang w:val="ru-RU"/>
              </w:rPr>
            </w:pPr>
          </w:p>
        </w:tc>
        <w:tc>
          <w:tcPr>
            <w:tcW w:w="1379" w:type="dxa"/>
            <w:shd w:val="clear" w:color="auto" w:fill="F2F2F2" w:themeFill="background1" w:themeFillShade="F2"/>
            <w:noWrap/>
          </w:tcPr>
          <w:p w14:paraId="47B57860" w14:textId="77777777" w:rsidR="0006604F" w:rsidRPr="00FB45A5" w:rsidRDefault="0006604F" w:rsidP="00B4306D">
            <w:pPr>
              <w:spacing w:after="0"/>
              <w:jc w:val="right"/>
              <w:rPr>
                <w:rFonts w:cs="Times New Roman"/>
                <w:bCs/>
                <w:sz w:val="18"/>
                <w:szCs w:val="18"/>
              </w:rPr>
            </w:pPr>
          </w:p>
        </w:tc>
        <w:tc>
          <w:tcPr>
            <w:tcW w:w="1460" w:type="dxa"/>
            <w:shd w:val="clear" w:color="auto" w:fill="F2F2F2" w:themeFill="background1" w:themeFillShade="F2"/>
            <w:noWrap/>
          </w:tcPr>
          <w:p w14:paraId="17D7E44D" w14:textId="77777777" w:rsidR="0006604F" w:rsidRPr="00561C95" w:rsidRDefault="0006604F" w:rsidP="00B4306D">
            <w:pPr>
              <w:spacing w:after="0"/>
              <w:jc w:val="right"/>
              <w:rPr>
                <w:rFonts w:eastAsia="Times New Roman" w:cs="Times New Roman"/>
                <w:bCs/>
                <w:sz w:val="18"/>
                <w:szCs w:val="18"/>
              </w:rPr>
            </w:pPr>
          </w:p>
        </w:tc>
        <w:tc>
          <w:tcPr>
            <w:tcW w:w="1711" w:type="dxa"/>
            <w:shd w:val="clear" w:color="auto" w:fill="F2F2F2" w:themeFill="background1" w:themeFillShade="F2"/>
            <w:noWrap/>
          </w:tcPr>
          <w:p w14:paraId="505E2740" w14:textId="77777777" w:rsidR="0006604F" w:rsidRPr="00561C95" w:rsidRDefault="0006604F" w:rsidP="00B4306D">
            <w:pPr>
              <w:spacing w:after="0"/>
              <w:jc w:val="right"/>
              <w:rPr>
                <w:rFonts w:eastAsia="Times New Roman" w:cs="Times New Roman"/>
                <w:bCs/>
                <w:sz w:val="18"/>
                <w:szCs w:val="18"/>
              </w:rPr>
            </w:pPr>
          </w:p>
        </w:tc>
      </w:tr>
      <w:tr w:rsidR="0006604F" w:rsidRPr="002E7DF5" w14:paraId="00BD23DA" w14:textId="77777777" w:rsidTr="00B4306D">
        <w:trPr>
          <w:trHeight w:val="59"/>
          <w:jc w:val="center"/>
        </w:trPr>
        <w:tc>
          <w:tcPr>
            <w:tcW w:w="6606" w:type="dxa"/>
            <w:shd w:val="clear" w:color="auto" w:fill="auto"/>
            <w:noWrap/>
            <w:vAlign w:val="center"/>
          </w:tcPr>
          <w:p w14:paraId="0069855B" w14:textId="77777777" w:rsidR="0006604F" w:rsidRPr="002E7DF5" w:rsidRDefault="0006604F" w:rsidP="00B4306D">
            <w:pPr>
              <w:spacing w:after="0"/>
              <w:rPr>
                <w:rFonts w:eastAsia="Times New Roman" w:cs="Times New Roman"/>
                <w:sz w:val="18"/>
                <w:szCs w:val="18"/>
              </w:rPr>
            </w:pPr>
            <w:r w:rsidRPr="002E7DF5">
              <w:rPr>
                <w:rFonts w:eastAsia="Times New Roman" w:cs="Times New Roman"/>
                <w:sz w:val="18"/>
                <w:szCs w:val="18"/>
              </w:rPr>
              <w:t>Лихвени</w:t>
            </w:r>
          </w:p>
        </w:tc>
        <w:tc>
          <w:tcPr>
            <w:tcW w:w="1792" w:type="dxa"/>
            <w:shd w:val="clear" w:color="auto" w:fill="auto"/>
            <w:noWrap/>
          </w:tcPr>
          <w:p w14:paraId="6B2D95D9" w14:textId="77777777" w:rsidR="0006604F" w:rsidRPr="0025514C" w:rsidRDefault="0006604F" w:rsidP="00B4306D">
            <w:pPr>
              <w:spacing w:after="0"/>
              <w:jc w:val="right"/>
              <w:rPr>
                <w:rFonts w:cs="Times New Roman"/>
                <w:bCs/>
                <w:sz w:val="18"/>
                <w:szCs w:val="18"/>
              </w:rPr>
            </w:pPr>
            <w:r>
              <w:rPr>
                <w:rFonts w:cs="Times New Roman"/>
                <w:bCs/>
                <w:sz w:val="18"/>
                <w:szCs w:val="18"/>
              </w:rPr>
              <w:t>516,7</w:t>
            </w:r>
          </w:p>
        </w:tc>
        <w:tc>
          <w:tcPr>
            <w:tcW w:w="1517" w:type="dxa"/>
            <w:shd w:val="clear" w:color="auto" w:fill="F2F2F2" w:themeFill="background1" w:themeFillShade="F2"/>
            <w:noWrap/>
          </w:tcPr>
          <w:p w14:paraId="4EDAA2F7" w14:textId="77777777" w:rsidR="0006604F" w:rsidRPr="00DF0E6B" w:rsidRDefault="0006604F" w:rsidP="00B4306D">
            <w:pPr>
              <w:spacing w:after="0"/>
              <w:jc w:val="right"/>
              <w:rPr>
                <w:rFonts w:eastAsia="Times New Roman" w:cs="Times New Roman"/>
                <w:bCs/>
                <w:sz w:val="18"/>
                <w:szCs w:val="18"/>
                <w:lang w:val="ru-RU"/>
              </w:rPr>
            </w:pPr>
            <w:r>
              <w:rPr>
                <w:rFonts w:eastAsia="Times New Roman" w:cs="Times New Roman"/>
                <w:bCs/>
                <w:sz w:val="18"/>
                <w:szCs w:val="18"/>
                <w:lang w:val="ru-RU"/>
              </w:rPr>
              <w:t>515,9</w:t>
            </w:r>
          </w:p>
        </w:tc>
        <w:tc>
          <w:tcPr>
            <w:tcW w:w="1379" w:type="dxa"/>
            <w:shd w:val="clear" w:color="auto" w:fill="F2F2F2" w:themeFill="background1" w:themeFillShade="F2"/>
            <w:noWrap/>
          </w:tcPr>
          <w:p w14:paraId="34AAACA2" w14:textId="77777777" w:rsidR="0006604F" w:rsidRPr="00FB45A5" w:rsidRDefault="0006604F" w:rsidP="00B4306D">
            <w:pPr>
              <w:spacing w:after="0"/>
              <w:jc w:val="right"/>
              <w:rPr>
                <w:rFonts w:cs="Times New Roman"/>
                <w:bCs/>
                <w:sz w:val="18"/>
                <w:szCs w:val="18"/>
              </w:rPr>
            </w:pPr>
            <w:r>
              <w:rPr>
                <w:rFonts w:cs="Times New Roman"/>
                <w:bCs/>
                <w:sz w:val="18"/>
                <w:szCs w:val="18"/>
              </w:rPr>
              <w:t>515,9</w:t>
            </w:r>
          </w:p>
        </w:tc>
        <w:tc>
          <w:tcPr>
            <w:tcW w:w="1460" w:type="dxa"/>
            <w:shd w:val="clear" w:color="auto" w:fill="F2F2F2" w:themeFill="background1" w:themeFillShade="F2"/>
            <w:noWrap/>
          </w:tcPr>
          <w:p w14:paraId="12AD8098"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0,0</w:t>
            </w:r>
          </w:p>
        </w:tc>
        <w:tc>
          <w:tcPr>
            <w:tcW w:w="1711" w:type="dxa"/>
            <w:shd w:val="clear" w:color="auto" w:fill="F2F2F2" w:themeFill="background1" w:themeFillShade="F2"/>
            <w:noWrap/>
          </w:tcPr>
          <w:p w14:paraId="252B1479" w14:textId="77777777" w:rsidR="0006604F" w:rsidRPr="00561C95" w:rsidRDefault="0006604F" w:rsidP="00B4306D">
            <w:pPr>
              <w:spacing w:after="0"/>
              <w:jc w:val="right"/>
              <w:rPr>
                <w:rFonts w:eastAsia="Times New Roman" w:cs="Times New Roman"/>
                <w:bCs/>
                <w:sz w:val="18"/>
                <w:szCs w:val="18"/>
              </w:rPr>
            </w:pPr>
            <w:r>
              <w:rPr>
                <w:rFonts w:eastAsia="Times New Roman" w:cs="Times New Roman"/>
                <w:bCs/>
                <w:sz w:val="18"/>
                <w:szCs w:val="18"/>
              </w:rPr>
              <w:t>99,8</w:t>
            </w:r>
            <w:r w:rsidRPr="009151CE">
              <w:rPr>
                <w:rFonts w:eastAsia="Times New Roman" w:cs="Times New Roman"/>
                <w:bCs/>
                <w:sz w:val="18"/>
                <w:szCs w:val="18"/>
              </w:rPr>
              <w:t>%</w:t>
            </w:r>
          </w:p>
        </w:tc>
      </w:tr>
      <w:tr w:rsidR="0006604F" w:rsidRPr="002E7DF5" w14:paraId="0110F7A7" w14:textId="77777777" w:rsidTr="00B4306D">
        <w:trPr>
          <w:trHeight w:val="59"/>
          <w:jc w:val="center"/>
        </w:trPr>
        <w:tc>
          <w:tcPr>
            <w:tcW w:w="6606" w:type="dxa"/>
            <w:shd w:val="clear" w:color="auto" w:fill="auto"/>
            <w:noWrap/>
            <w:vAlign w:val="center"/>
            <w:hideMark/>
          </w:tcPr>
          <w:p w14:paraId="73151704" w14:textId="77777777" w:rsidR="0006604F" w:rsidRPr="00054BEA" w:rsidRDefault="0006604F" w:rsidP="00B4306D">
            <w:pPr>
              <w:spacing w:after="0"/>
              <w:rPr>
                <w:rFonts w:eastAsia="Times New Roman" w:cs="Times New Roman"/>
                <w:sz w:val="18"/>
                <w:szCs w:val="18"/>
              </w:rPr>
            </w:pPr>
            <w:r w:rsidRPr="002E7DF5">
              <w:rPr>
                <w:rFonts w:eastAsia="Times New Roman" w:cs="Times New Roman"/>
                <w:sz w:val="18"/>
                <w:szCs w:val="18"/>
              </w:rPr>
              <w:t>Вноска в общия бюджет на ЕС</w:t>
            </w:r>
          </w:p>
        </w:tc>
        <w:tc>
          <w:tcPr>
            <w:tcW w:w="1792" w:type="dxa"/>
            <w:shd w:val="clear" w:color="auto" w:fill="auto"/>
            <w:noWrap/>
          </w:tcPr>
          <w:p w14:paraId="0B20F6D5" w14:textId="77777777" w:rsidR="0006604F" w:rsidRPr="0025514C" w:rsidRDefault="0006604F" w:rsidP="00B4306D">
            <w:pPr>
              <w:spacing w:after="0"/>
              <w:jc w:val="right"/>
              <w:rPr>
                <w:rFonts w:cs="Times New Roman"/>
                <w:bCs/>
                <w:sz w:val="18"/>
                <w:szCs w:val="18"/>
              </w:rPr>
            </w:pPr>
            <w:r>
              <w:rPr>
                <w:rFonts w:cs="Times New Roman"/>
                <w:bCs/>
                <w:sz w:val="18"/>
                <w:szCs w:val="18"/>
              </w:rPr>
              <w:t>1 161,2</w:t>
            </w:r>
          </w:p>
        </w:tc>
        <w:tc>
          <w:tcPr>
            <w:tcW w:w="1517" w:type="dxa"/>
            <w:shd w:val="clear" w:color="auto" w:fill="F2F2F2" w:themeFill="background1" w:themeFillShade="F2"/>
            <w:noWrap/>
          </w:tcPr>
          <w:p w14:paraId="0AAA0A7F" w14:textId="77777777" w:rsidR="0006604F" w:rsidRPr="00067A9D" w:rsidRDefault="0006604F" w:rsidP="00B4306D">
            <w:pPr>
              <w:spacing w:after="0"/>
              <w:jc w:val="right"/>
              <w:rPr>
                <w:rFonts w:eastAsia="Times New Roman" w:cs="Times New Roman"/>
                <w:bCs/>
                <w:sz w:val="18"/>
                <w:szCs w:val="18"/>
              </w:rPr>
            </w:pPr>
            <w:r>
              <w:rPr>
                <w:rFonts w:eastAsia="Times New Roman" w:cs="Times New Roman"/>
                <w:bCs/>
                <w:sz w:val="18"/>
                <w:szCs w:val="18"/>
              </w:rPr>
              <w:t>814,1</w:t>
            </w:r>
          </w:p>
        </w:tc>
        <w:tc>
          <w:tcPr>
            <w:tcW w:w="1379" w:type="dxa"/>
            <w:shd w:val="clear" w:color="auto" w:fill="F2F2F2" w:themeFill="background1" w:themeFillShade="F2"/>
            <w:noWrap/>
          </w:tcPr>
          <w:p w14:paraId="386157B2" w14:textId="77777777" w:rsidR="0006604F" w:rsidRPr="00FB45A5" w:rsidRDefault="0006604F" w:rsidP="00B4306D">
            <w:pPr>
              <w:spacing w:after="0"/>
              <w:jc w:val="right"/>
              <w:rPr>
                <w:rFonts w:cs="Times New Roman"/>
                <w:bCs/>
                <w:sz w:val="18"/>
                <w:szCs w:val="18"/>
              </w:rPr>
            </w:pPr>
            <w:r>
              <w:rPr>
                <w:rFonts w:cs="Times New Roman"/>
                <w:bCs/>
                <w:sz w:val="18"/>
                <w:szCs w:val="18"/>
              </w:rPr>
              <w:t>814,1</w:t>
            </w:r>
          </w:p>
        </w:tc>
        <w:tc>
          <w:tcPr>
            <w:tcW w:w="1460" w:type="dxa"/>
            <w:shd w:val="clear" w:color="auto" w:fill="F2F2F2" w:themeFill="background1" w:themeFillShade="F2"/>
            <w:noWrap/>
          </w:tcPr>
          <w:p w14:paraId="096E0BED" w14:textId="77777777" w:rsidR="0006604F" w:rsidRPr="00067A9D" w:rsidRDefault="0006604F" w:rsidP="00B4306D">
            <w:pPr>
              <w:spacing w:after="0"/>
              <w:jc w:val="right"/>
              <w:rPr>
                <w:rFonts w:eastAsia="Times New Roman" w:cs="Times New Roman"/>
                <w:bCs/>
                <w:sz w:val="18"/>
                <w:szCs w:val="18"/>
              </w:rPr>
            </w:pPr>
            <w:r>
              <w:rPr>
                <w:rFonts w:eastAsia="Times New Roman" w:cs="Times New Roman"/>
                <w:bCs/>
                <w:sz w:val="18"/>
                <w:szCs w:val="18"/>
              </w:rPr>
              <w:t>0,0</w:t>
            </w:r>
          </w:p>
        </w:tc>
        <w:tc>
          <w:tcPr>
            <w:tcW w:w="1711" w:type="dxa"/>
            <w:shd w:val="clear" w:color="auto" w:fill="F2F2F2" w:themeFill="background1" w:themeFillShade="F2"/>
            <w:noWrap/>
          </w:tcPr>
          <w:p w14:paraId="5DCC48C8" w14:textId="77777777" w:rsidR="0006604F" w:rsidRPr="00067A9D" w:rsidRDefault="0006604F" w:rsidP="00B4306D">
            <w:pPr>
              <w:spacing w:after="0"/>
              <w:jc w:val="right"/>
              <w:rPr>
                <w:rFonts w:eastAsia="Times New Roman" w:cs="Times New Roman"/>
                <w:bCs/>
                <w:sz w:val="18"/>
                <w:szCs w:val="18"/>
              </w:rPr>
            </w:pPr>
            <w:r>
              <w:rPr>
                <w:rFonts w:eastAsia="Times New Roman" w:cs="Times New Roman"/>
                <w:bCs/>
                <w:sz w:val="18"/>
                <w:szCs w:val="18"/>
              </w:rPr>
              <w:t>70,1</w:t>
            </w:r>
            <w:r w:rsidRPr="00067A9D">
              <w:rPr>
                <w:rFonts w:eastAsia="Times New Roman" w:cs="Times New Roman"/>
                <w:bCs/>
                <w:sz w:val="18"/>
                <w:szCs w:val="18"/>
              </w:rPr>
              <w:t>%</w:t>
            </w:r>
          </w:p>
        </w:tc>
      </w:tr>
      <w:tr w:rsidR="0006604F" w:rsidRPr="002E7DF5" w14:paraId="66615CBD" w14:textId="77777777" w:rsidTr="009B41DE">
        <w:trPr>
          <w:trHeight w:val="319"/>
          <w:jc w:val="center"/>
        </w:trPr>
        <w:tc>
          <w:tcPr>
            <w:tcW w:w="6606" w:type="dxa"/>
            <w:shd w:val="clear" w:color="auto" w:fill="auto"/>
            <w:vAlign w:val="center"/>
            <w:hideMark/>
          </w:tcPr>
          <w:p w14:paraId="02F970BA" w14:textId="77777777" w:rsidR="0006604F" w:rsidRPr="002E7DF5" w:rsidRDefault="0006604F" w:rsidP="00B4306D">
            <w:pPr>
              <w:spacing w:after="0"/>
              <w:rPr>
                <w:rFonts w:eastAsia="Times New Roman" w:cs="Times New Roman"/>
                <w:b/>
                <w:bCs/>
                <w:sz w:val="18"/>
                <w:szCs w:val="18"/>
                <w:lang w:val="en-US"/>
              </w:rPr>
            </w:pPr>
            <w:r w:rsidRPr="002E7DF5">
              <w:rPr>
                <w:rFonts w:eastAsia="Times New Roman" w:cs="Times New Roman"/>
                <w:b/>
                <w:bCs/>
                <w:sz w:val="18"/>
                <w:szCs w:val="18"/>
              </w:rPr>
              <w:t xml:space="preserve">ТРАНСФЕРИ </w:t>
            </w:r>
            <w:r>
              <w:rPr>
                <w:rFonts w:eastAsia="Times New Roman" w:cs="Times New Roman"/>
                <w:b/>
                <w:bCs/>
                <w:sz w:val="18"/>
                <w:szCs w:val="18"/>
              </w:rPr>
              <w:t>–</w:t>
            </w:r>
            <w:r w:rsidRPr="002E7DF5">
              <w:rPr>
                <w:rFonts w:eastAsia="Times New Roman" w:cs="Times New Roman"/>
                <w:b/>
                <w:bCs/>
                <w:sz w:val="18"/>
                <w:szCs w:val="18"/>
              </w:rPr>
              <w:t xml:space="preserve"> НЕТО</w:t>
            </w:r>
          </w:p>
        </w:tc>
        <w:tc>
          <w:tcPr>
            <w:tcW w:w="1792" w:type="dxa"/>
            <w:shd w:val="clear" w:color="auto" w:fill="auto"/>
            <w:noWrap/>
          </w:tcPr>
          <w:p w14:paraId="366645BF" w14:textId="77777777" w:rsidR="0006604F" w:rsidRPr="005E581F" w:rsidRDefault="0006604F" w:rsidP="00B4306D">
            <w:pPr>
              <w:spacing w:after="0"/>
              <w:jc w:val="right"/>
              <w:rPr>
                <w:rFonts w:cs="Times New Roman"/>
                <w:bCs/>
                <w:sz w:val="18"/>
                <w:szCs w:val="18"/>
                <w:lang w:val="en-US"/>
              </w:rPr>
            </w:pPr>
          </w:p>
        </w:tc>
        <w:tc>
          <w:tcPr>
            <w:tcW w:w="1517" w:type="dxa"/>
            <w:shd w:val="clear" w:color="auto" w:fill="F2F2F2" w:themeFill="background1" w:themeFillShade="F2"/>
            <w:noWrap/>
          </w:tcPr>
          <w:p w14:paraId="0C8E7BE1" w14:textId="77777777" w:rsidR="0006604F" w:rsidRPr="00561C95" w:rsidRDefault="0006604F" w:rsidP="00B4306D">
            <w:pPr>
              <w:spacing w:after="0"/>
              <w:jc w:val="right"/>
              <w:rPr>
                <w:rFonts w:eastAsia="Times New Roman" w:cs="Times New Roman"/>
                <w:b/>
                <w:bCs/>
                <w:color w:val="FE8637" w:themeColor="accent1"/>
                <w:sz w:val="18"/>
                <w:szCs w:val="18"/>
              </w:rPr>
            </w:pPr>
          </w:p>
        </w:tc>
        <w:tc>
          <w:tcPr>
            <w:tcW w:w="1379" w:type="dxa"/>
            <w:shd w:val="clear" w:color="auto" w:fill="F2F2F2" w:themeFill="background1" w:themeFillShade="F2"/>
            <w:noWrap/>
          </w:tcPr>
          <w:p w14:paraId="5133168B" w14:textId="77777777" w:rsidR="0006604F" w:rsidRPr="009743FA" w:rsidRDefault="0006604F" w:rsidP="00B4306D">
            <w:pPr>
              <w:spacing w:after="0"/>
              <w:jc w:val="right"/>
              <w:rPr>
                <w:rFonts w:cs="Times New Roman"/>
                <w:b/>
                <w:bCs/>
                <w:sz w:val="18"/>
                <w:szCs w:val="18"/>
              </w:rPr>
            </w:pPr>
            <w:r>
              <w:rPr>
                <w:rFonts w:cs="Times New Roman"/>
                <w:b/>
                <w:bCs/>
                <w:sz w:val="18"/>
                <w:szCs w:val="18"/>
              </w:rPr>
              <w:t>-434,2</w:t>
            </w:r>
          </w:p>
        </w:tc>
        <w:tc>
          <w:tcPr>
            <w:tcW w:w="1460" w:type="dxa"/>
            <w:shd w:val="clear" w:color="auto" w:fill="F2F2F2" w:themeFill="background1" w:themeFillShade="F2"/>
            <w:noWrap/>
          </w:tcPr>
          <w:p w14:paraId="2FF4A7FE" w14:textId="77777777" w:rsidR="0006604F" w:rsidRPr="00F870C6" w:rsidRDefault="0006604F" w:rsidP="00B4306D">
            <w:pPr>
              <w:spacing w:after="0"/>
              <w:jc w:val="right"/>
              <w:rPr>
                <w:rFonts w:eastAsia="Times New Roman" w:cs="Times New Roman"/>
                <w:b/>
                <w:bCs/>
                <w:sz w:val="18"/>
                <w:szCs w:val="18"/>
              </w:rPr>
            </w:pPr>
            <w:r>
              <w:rPr>
                <w:rFonts w:eastAsia="Times New Roman" w:cs="Times New Roman"/>
                <w:b/>
                <w:bCs/>
                <w:sz w:val="18"/>
                <w:szCs w:val="18"/>
              </w:rPr>
              <w:t>434,1</w:t>
            </w:r>
          </w:p>
        </w:tc>
        <w:tc>
          <w:tcPr>
            <w:tcW w:w="1711" w:type="dxa"/>
            <w:shd w:val="clear" w:color="auto" w:fill="F2F2F2" w:themeFill="background1" w:themeFillShade="F2"/>
            <w:noWrap/>
            <w:vAlign w:val="center"/>
            <w:hideMark/>
          </w:tcPr>
          <w:p w14:paraId="57DD786A" w14:textId="77777777" w:rsidR="0006604F" w:rsidRPr="002E7DF5" w:rsidRDefault="0006604F" w:rsidP="00B4306D">
            <w:pPr>
              <w:spacing w:after="0"/>
              <w:jc w:val="right"/>
              <w:rPr>
                <w:rFonts w:eastAsia="Times New Roman" w:cs="Times New Roman"/>
                <w:b/>
                <w:bCs/>
                <w:color w:val="969DAB" w:themeColor="text2" w:themeTint="99"/>
                <w:sz w:val="18"/>
                <w:szCs w:val="18"/>
                <w:lang w:val="en-US"/>
              </w:rPr>
            </w:pPr>
            <w:r w:rsidRPr="002E7DF5">
              <w:rPr>
                <w:rFonts w:eastAsia="Times New Roman" w:cs="Times New Roman"/>
                <w:b/>
                <w:bCs/>
                <w:color w:val="969DAB" w:themeColor="text2" w:themeTint="99"/>
                <w:sz w:val="18"/>
                <w:szCs w:val="18"/>
                <w:lang w:val="en-US"/>
              </w:rPr>
              <w:t> </w:t>
            </w:r>
          </w:p>
        </w:tc>
      </w:tr>
      <w:tr w:rsidR="0006604F" w:rsidRPr="002E7DF5" w14:paraId="10C1AF65" w14:textId="77777777" w:rsidTr="00B4306D">
        <w:trPr>
          <w:trHeight w:val="161"/>
          <w:jc w:val="center"/>
        </w:trPr>
        <w:tc>
          <w:tcPr>
            <w:tcW w:w="6606" w:type="dxa"/>
            <w:tcBorders>
              <w:bottom w:val="single" w:sz="4" w:space="0" w:color="auto"/>
            </w:tcBorders>
            <w:shd w:val="clear" w:color="auto" w:fill="auto"/>
            <w:noWrap/>
            <w:vAlign w:val="center"/>
            <w:hideMark/>
          </w:tcPr>
          <w:p w14:paraId="402F9D85" w14:textId="77777777" w:rsidR="0006604F" w:rsidRPr="002E7DF5" w:rsidRDefault="0006604F" w:rsidP="00B4306D">
            <w:pPr>
              <w:spacing w:after="0"/>
              <w:rPr>
                <w:rFonts w:eastAsia="Times New Roman" w:cs="Times New Roman"/>
                <w:b/>
                <w:bCs/>
                <w:sz w:val="18"/>
                <w:szCs w:val="18"/>
                <w:lang w:val="en-US"/>
              </w:rPr>
            </w:pPr>
            <w:r w:rsidRPr="002E7DF5">
              <w:rPr>
                <w:rFonts w:eastAsia="Times New Roman" w:cs="Times New Roman"/>
                <w:b/>
                <w:bCs/>
                <w:sz w:val="18"/>
                <w:szCs w:val="18"/>
              </w:rPr>
              <w:t>БЮДЖЕТНО САЛДО</w:t>
            </w:r>
          </w:p>
        </w:tc>
        <w:tc>
          <w:tcPr>
            <w:tcW w:w="1792" w:type="dxa"/>
            <w:tcBorders>
              <w:bottom w:val="single" w:sz="4" w:space="0" w:color="auto"/>
            </w:tcBorders>
            <w:shd w:val="clear" w:color="auto" w:fill="auto"/>
            <w:noWrap/>
          </w:tcPr>
          <w:p w14:paraId="7DBACF81" w14:textId="77777777" w:rsidR="0006604F" w:rsidRPr="0025514C" w:rsidRDefault="0006604F" w:rsidP="00B4306D">
            <w:pPr>
              <w:spacing w:after="0"/>
              <w:jc w:val="right"/>
              <w:rPr>
                <w:rFonts w:cs="Times New Roman"/>
                <w:b/>
                <w:bCs/>
                <w:sz w:val="18"/>
                <w:szCs w:val="18"/>
              </w:rPr>
            </w:pPr>
            <w:r>
              <w:rPr>
                <w:rFonts w:cs="Times New Roman"/>
                <w:b/>
                <w:bCs/>
                <w:sz w:val="18"/>
                <w:szCs w:val="18"/>
              </w:rPr>
              <w:t>-3 179,9</w:t>
            </w:r>
          </w:p>
        </w:tc>
        <w:tc>
          <w:tcPr>
            <w:tcW w:w="1517" w:type="dxa"/>
            <w:tcBorders>
              <w:bottom w:val="single" w:sz="4" w:space="0" w:color="auto"/>
            </w:tcBorders>
            <w:shd w:val="clear" w:color="auto" w:fill="F2F2F2" w:themeFill="background1" w:themeFillShade="F2"/>
            <w:noWrap/>
          </w:tcPr>
          <w:p w14:paraId="02B7800D" w14:textId="77777777" w:rsidR="0006604F" w:rsidRPr="00124E4C" w:rsidRDefault="0006604F" w:rsidP="00B4306D">
            <w:pPr>
              <w:spacing w:after="0"/>
              <w:jc w:val="right"/>
              <w:rPr>
                <w:rFonts w:eastAsia="Times New Roman" w:cs="Times New Roman"/>
                <w:b/>
                <w:bCs/>
                <w:sz w:val="18"/>
                <w:szCs w:val="18"/>
              </w:rPr>
            </w:pPr>
            <w:r>
              <w:rPr>
                <w:rFonts w:eastAsia="Times New Roman" w:cs="Times New Roman"/>
                <w:b/>
                <w:bCs/>
                <w:sz w:val="18"/>
                <w:szCs w:val="18"/>
              </w:rPr>
              <w:t>-3 151,4</w:t>
            </w:r>
          </w:p>
        </w:tc>
        <w:tc>
          <w:tcPr>
            <w:tcW w:w="1379" w:type="dxa"/>
            <w:tcBorders>
              <w:bottom w:val="single" w:sz="4" w:space="0" w:color="auto"/>
            </w:tcBorders>
            <w:shd w:val="clear" w:color="auto" w:fill="F2F2F2" w:themeFill="background1" w:themeFillShade="F2"/>
            <w:noWrap/>
          </w:tcPr>
          <w:p w14:paraId="54B833AF" w14:textId="77777777" w:rsidR="0006604F" w:rsidRPr="009743FA" w:rsidRDefault="0006604F" w:rsidP="00B4306D">
            <w:pPr>
              <w:spacing w:after="0"/>
              <w:jc w:val="right"/>
              <w:rPr>
                <w:rFonts w:cs="Times New Roman"/>
                <w:b/>
                <w:bCs/>
                <w:sz w:val="18"/>
                <w:szCs w:val="18"/>
              </w:rPr>
            </w:pPr>
            <w:r>
              <w:rPr>
                <w:rFonts w:cs="Times New Roman"/>
                <w:b/>
                <w:bCs/>
                <w:sz w:val="18"/>
                <w:szCs w:val="18"/>
              </w:rPr>
              <w:t>-3 404,1</w:t>
            </w:r>
          </w:p>
        </w:tc>
        <w:tc>
          <w:tcPr>
            <w:tcW w:w="1460" w:type="dxa"/>
            <w:tcBorders>
              <w:bottom w:val="single" w:sz="4" w:space="0" w:color="auto"/>
            </w:tcBorders>
            <w:shd w:val="clear" w:color="auto" w:fill="F2F2F2" w:themeFill="background1" w:themeFillShade="F2"/>
            <w:noWrap/>
          </w:tcPr>
          <w:p w14:paraId="39A3ACEC" w14:textId="77777777" w:rsidR="0006604F" w:rsidRPr="009F0256" w:rsidRDefault="0006604F" w:rsidP="00B4306D">
            <w:pPr>
              <w:spacing w:after="0"/>
              <w:jc w:val="right"/>
              <w:rPr>
                <w:rFonts w:eastAsia="Times New Roman" w:cs="Times New Roman"/>
                <w:b/>
                <w:bCs/>
                <w:sz w:val="18"/>
                <w:szCs w:val="18"/>
              </w:rPr>
            </w:pPr>
            <w:r>
              <w:rPr>
                <w:rFonts w:eastAsia="Times New Roman" w:cs="Times New Roman"/>
                <w:b/>
                <w:bCs/>
                <w:sz w:val="18"/>
                <w:szCs w:val="18"/>
              </w:rPr>
              <w:t>252,6</w:t>
            </w:r>
          </w:p>
        </w:tc>
        <w:tc>
          <w:tcPr>
            <w:tcW w:w="1711" w:type="dxa"/>
            <w:tcBorders>
              <w:bottom w:val="single" w:sz="4" w:space="0" w:color="auto"/>
            </w:tcBorders>
            <w:shd w:val="clear" w:color="auto" w:fill="F2F2F2" w:themeFill="background1" w:themeFillShade="F2"/>
            <w:noWrap/>
            <w:vAlign w:val="center"/>
            <w:hideMark/>
          </w:tcPr>
          <w:p w14:paraId="572DBD3D" w14:textId="77777777" w:rsidR="0006604F" w:rsidRPr="00435C98" w:rsidRDefault="0006604F" w:rsidP="00B4306D">
            <w:pPr>
              <w:spacing w:after="0"/>
              <w:jc w:val="right"/>
              <w:rPr>
                <w:rFonts w:eastAsia="Times New Roman" w:cs="Times New Roman"/>
                <w:b/>
                <w:bCs/>
                <w:sz w:val="18"/>
                <w:szCs w:val="18"/>
                <w:lang w:val="en-US"/>
              </w:rPr>
            </w:pPr>
            <w:r w:rsidRPr="00435C98">
              <w:rPr>
                <w:rFonts w:eastAsia="Times New Roman" w:cs="Times New Roman"/>
                <w:b/>
                <w:bCs/>
                <w:sz w:val="18"/>
                <w:szCs w:val="18"/>
                <w:lang w:val="en-US"/>
              </w:rPr>
              <w:t> </w:t>
            </w:r>
          </w:p>
        </w:tc>
      </w:tr>
    </w:tbl>
    <w:p w14:paraId="71726E2F" w14:textId="77777777" w:rsidR="0006604F" w:rsidRDefault="0006604F" w:rsidP="00310A97">
      <w:pPr>
        <w:spacing w:after="0"/>
        <w:rPr>
          <w:rFonts w:eastAsia="Batang" w:cs="Times New Roman"/>
          <w:sz w:val="18"/>
          <w:szCs w:val="18"/>
        </w:rPr>
      </w:pPr>
    </w:p>
    <w:p w14:paraId="4DF9FFA1" w14:textId="77777777" w:rsidR="00A610B8" w:rsidRDefault="00B55406" w:rsidP="0006604F">
      <w:pPr>
        <w:spacing w:after="0"/>
        <w:rPr>
          <w:rFonts w:eastAsia="Batang" w:cs="Times New Roman"/>
          <w:sz w:val="18"/>
          <w:szCs w:val="18"/>
        </w:rPr>
      </w:pPr>
      <w:r>
        <w:rPr>
          <w:rFonts w:eastAsia="Batang" w:cs="Times New Roman"/>
          <w:sz w:val="18"/>
          <w:szCs w:val="18"/>
        </w:rPr>
        <w:t xml:space="preserve">* </w:t>
      </w:r>
      <w:r w:rsidR="00F53246" w:rsidRPr="002E7DF5">
        <w:rPr>
          <w:rFonts w:eastAsia="Batang" w:cs="Times New Roman"/>
          <w:sz w:val="18"/>
          <w:szCs w:val="18"/>
        </w:rPr>
        <w:t>Данните са на база</w:t>
      </w:r>
      <w:r w:rsidR="00F53246" w:rsidRPr="00BF40ED">
        <w:rPr>
          <w:rFonts w:eastAsia="Batang" w:cs="Times New Roman"/>
          <w:sz w:val="18"/>
          <w:szCs w:val="18"/>
        </w:rPr>
        <w:t xml:space="preserve"> </w:t>
      </w:r>
      <w:r w:rsidR="00F53246">
        <w:rPr>
          <w:rFonts w:eastAsia="Batang" w:cs="Times New Roman"/>
          <w:sz w:val="18"/>
          <w:szCs w:val="18"/>
        </w:rPr>
        <w:t>на</w:t>
      </w:r>
      <w:r w:rsidR="00F53246" w:rsidRPr="002E7DF5">
        <w:rPr>
          <w:rFonts w:eastAsia="Batang" w:cs="Times New Roman"/>
          <w:sz w:val="18"/>
          <w:szCs w:val="18"/>
        </w:rPr>
        <w:t xml:space="preserve"> тримесечните отчети за касовото изпълнение на ПРБ</w:t>
      </w:r>
      <w:r w:rsidR="00A610B8">
        <w:rPr>
          <w:rFonts w:eastAsia="Batang" w:cs="Times New Roman"/>
          <w:sz w:val="18"/>
          <w:szCs w:val="18"/>
        </w:rPr>
        <w:t>.</w:t>
      </w:r>
      <w:r w:rsidR="00F53246">
        <w:rPr>
          <w:rFonts w:eastAsia="Batang" w:cs="Times New Roman"/>
          <w:sz w:val="18"/>
          <w:szCs w:val="18"/>
        </w:rPr>
        <w:t xml:space="preserve"> </w:t>
      </w:r>
    </w:p>
    <w:p w14:paraId="0AD09563" w14:textId="77777777" w:rsidR="00F53246" w:rsidRPr="002E7DF5" w:rsidRDefault="00F53246" w:rsidP="0006604F">
      <w:pPr>
        <w:spacing w:after="0"/>
        <w:rPr>
          <w:rFonts w:eastAsia="Batang" w:cs="Times New Roman"/>
          <w:sz w:val="18"/>
          <w:szCs w:val="18"/>
        </w:rPr>
      </w:pPr>
      <w:r w:rsidRPr="002E7DF5">
        <w:rPr>
          <w:rFonts w:eastAsia="Batang" w:cs="Times New Roman"/>
          <w:sz w:val="18"/>
          <w:szCs w:val="18"/>
        </w:rPr>
        <w:t>*</w:t>
      </w:r>
      <w:r w:rsidRPr="00054BEA">
        <w:rPr>
          <w:rFonts w:eastAsia="Batang" w:cs="Times New Roman"/>
          <w:sz w:val="18"/>
          <w:szCs w:val="18"/>
        </w:rPr>
        <w:t>*</w:t>
      </w:r>
      <w:r w:rsidRPr="002E7DF5">
        <w:rPr>
          <w:rFonts w:eastAsia="Batang" w:cs="Times New Roman"/>
          <w:sz w:val="18"/>
          <w:szCs w:val="18"/>
        </w:rPr>
        <w:t xml:space="preserve"> Вкл. нетен прираст на държавния резерв</w:t>
      </w:r>
      <w:r w:rsidR="00A610B8">
        <w:rPr>
          <w:rFonts w:eastAsia="Batang" w:cs="Times New Roman"/>
          <w:sz w:val="18"/>
          <w:szCs w:val="18"/>
        </w:rPr>
        <w:t>.</w:t>
      </w:r>
    </w:p>
    <w:p w14:paraId="7EFFBEE4" w14:textId="77777777" w:rsidR="00F53246" w:rsidRPr="00E373DF" w:rsidRDefault="00F53246" w:rsidP="00F53246">
      <w:pPr>
        <w:autoSpaceDE w:val="0"/>
        <w:autoSpaceDN w:val="0"/>
        <w:adjustRightInd w:val="0"/>
        <w:spacing w:after="120"/>
        <w:ind w:firstLine="709"/>
        <w:rPr>
          <w:rFonts w:eastAsia="Batang" w:cs="Times New Roman"/>
          <w:b/>
          <w:bCs/>
          <w:sz w:val="4"/>
          <w:szCs w:val="4"/>
          <w:u w:val="single"/>
        </w:rPr>
      </w:pPr>
    </w:p>
    <w:p w14:paraId="344B3F6B" w14:textId="77777777" w:rsidR="00F53246" w:rsidRDefault="00F53246" w:rsidP="009F1A3A">
      <w:pPr>
        <w:spacing w:after="60"/>
        <w:ind w:right="259"/>
        <w:jc w:val="right"/>
        <w:rPr>
          <w:rFonts w:eastAsia="Batang"/>
          <w:sz w:val="18"/>
          <w:szCs w:val="18"/>
        </w:rPr>
      </w:pPr>
    </w:p>
    <w:p w14:paraId="45CCB8D3" w14:textId="77777777" w:rsidR="004E2202" w:rsidRPr="002B45C7" w:rsidRDefault="004E2202" w:rsidP="00C66DB0">
      <w:pPr>
        <w:spacing w:after="240"/>
        <w:rPr>
          <w:rFonts w:eastAsia="Batang"/>
          <w:sz w:val="18"/>
          <w:szCs w:val="18"/>
        </w:rPr>
        <w:sectPr w:rsidR="004E2202" w:rsidRPr="002B45C7" w:rsidSect="002D7CED">
          <w:headerReference w:type="even" r:id="rId28"/>
          <w:type w:val="continuous"/>
          <w:pgSz w:w="16838" w:h="11906" w:orient="landscape" w:code="9"/>
          <w:pgMar w:top="1418" w:right="1134" w:bottom="851" w:left="1134" w:header="709" w:footer="709" w:gutter="0"/>
          <w:cols w:space="708"/>
          <w:titlePg/>
          <w:docGrid w:linePitch="360"/>
        </w:sectPr>
      </w:pPr>
    </w:p>
    <w:p w14:paraId="59DB3F08" w14:textId="77777777" w:rsidR="00574A2C" w:rsidRPr="002B45C7" w:rsidRDefault="00574A2C" w:rsidP="00FD2296">
      <w:pPr>
        <w:suppressAutoHyphens/>
        <w:autoSpaceDE w:val="0"/>
        <w:autoSpaceDN w:val="0"/>
        <w:adjustRightInd w:val="0"/>
        <w:spacing w:after="120"/>
        <w:rPr>
          <w:b/>
          <w:color w:val="943634"/>
          <w:sz w:val="22"/>
        </w:rPr>
      </w:pPr>
      <w:r w:rsidRPr="002B45C7">
        <w:rPr>
          <w:b/>
          <w:color w:val="943634"/>
          <w:sz w:val="22"/>
        </w:rPr>
        <w:t>Изпълнение на приходите</w:t>
      </w:r>
      <w:r w:rsidR="000528F5" w:rsidRPr="002B45C7">
        <w:rPr>
          <w:b/>
          <w:color w:val="943634"/>
          <w:sz w:val="22"/>
        </w:rPr>
        <w:t>, помощите и даренията</w:t>
      </w:r>
      <w:r w:rsidRPr="002B45C7">
        <w:rPr>
          <w:b/>
          <w:color w:val="943634"/>
          <w:sz w:val="22"/>
        </w:rPr>
        <w:t xml:space="preserve"> по КФП</w:t>
      </w:r>
    </w:p>
    <w:p w14:paraId="4B0E0194" w14:textId="77777777" w:rsidR="0006604F" w:rsidRPr="0006604F" w:rsidRDefault="0006604F" w:rsidP="0006604F">
      <w:pPr>
        <w:autoSpaceDE w:val="0"/>
        <w:autoSpaceDN w:val="0"/>
        <w:adjustRightInd w:val="0"/>
        <w:spacing w:after="120"/>
        <w:rPr>
          <w:rFonts w:eastAsia="Batang" w:cs="Times New Roman"/>
          <w:bCs/>
          <w:sz w:val="20"/>
          <w:szCs w:val="20"/>
        </w:rPr>
      </w:pPr>
      <w:r w:rsidRPr="0006604F">
        <w:rPr>
          <w:rFonts w:eastAsia="Batang" w:cs="Times New Roman"/>
          <w:bCs/>
          <w:sz w:val="20"/>
          <w:szCs w:val="20"/>
        </w:rPr>
        <w:t xml:space="preserve">Постъпилите </w:t>
      </w:r>
      <w:r w:rsidRPr="0006604F">
        <w:rPr>
          <w:rFonts w:eastAsia="Batang" w:cs="Times New Roman"/>
          <w:b/>
          <w:bCs/>
          <w:i/>
          <w:sz w:val="20"/>
          <w:szCs w:val="20"/>
        </w:rPr>
        <w:t>приходи, помощи и дарения</w:t>
      </w:r>
      <w:r w:rsidRPr="0006604F">
        <w:rPr>
          <w:rFonts w:eastAsia="Batang" w:cs="Times New Roman"/>
          <w:bCs/>
          <w:sz w:val="20"/>
          <w:szCs w:val="20"/>
        </w:rPr>
        <w:t xml:space="preserve"> за 2024 г. са в размер на 36 820,8 млн. евро</w:t>
      </w:r>
      <w:r w:rsidRPr="0006604F">
        <w:rPr>
          <w:rFonts w:eastAsia="Batang" w:cs="Times New Roman"/>
          <w:bCs/>
          <w:sz w:val="20"/>
          <w:szCs w:val="20"/>
          <w:lang w:val="ru-RU"/>
        </w:rPr>
        <w:t>.</w:t>
      </w:r>
      <w:r w:rsidRPr="0006604F">
        <w:rPr>
          <w:rFonts w:eastAsia="Batang" w:cs="Times New Roman"/>
          <w:bCs/>
          <w:sz w:val="20"/>
          <w:szCs w:val="20"/>
        </w:rPr>
        <w:t xml:space="preserve"> Постъпленията нарастват номинално с 2 543,</w:t>
      </w:r>
      <w:r w:rsidRPr="0006604F">
        <w:rPr>
          <w:rFonts w:eastAsia="Batang" w:cs="Times New Roman"/>
          <w:bCs/>
          <w:sz w:val="20"/>
          <w:szCs w:val="20"/>
          <w:lang w:val="ru-RU"/>
        </w:rPr>
        <w:t>3</w:t>
      </w:r>
      <w:r w:rsidRPr="0006604F">
        <w:rPr>
          <w:rFonts w:eastAsia="Batang" w:cs="Times New Roman"/>
          <w:bCs/>
          <w:sz w:val="20"/>
          <w:szCs w:val="20"/>
        </w:rPr>
        <w:t xml:space="preserve"> млн. евро спрямо отчетените за 2023 г., за което основен принос имат данъчните приходи. Приходите останаха по-ниски от планираните с разчетите към ЗДБРБ за 2024 г. (95,7% от годишните разчети за 2024 г.) главно поради забавянето на втория транш за България по Механизма за възстановяване и устойчивост на ЕС. </w:t>
      </w:r>
    </w:p>
    <w:p w14:paraId="735F6547" w14:textId="77777777" w:rsidR="0006604F" w:rsidRPr="0006604F" w:rsidRDefault="0006604F" w:rsidP="0006604F">
      <w:pPr>
        <w:autoSpaceDE w:val="0"/>
        <w:autoSpaceDN w:val="0"/>
        <w:adjustRightInd w:val="0"/>
        <w:spacing w:after="120"/>
        <w:rPr>
          <w:rFonts w:eastAsia="Batang" w:cs="Times New Roman"/>
          <w:bCs/>
          <w:sz w:val="20"/>
          <w:szCs w:val="20"/>
        </w:rPr>
      </w:pPr>
      <w:r w:rsidRPr="0006604F">
        <w:rPr>
          <w:rFonts w:eastAsia="Batang" w:cs="Times New Roman"/>
          <w:b/>
          <w:bCs/>
          <w:i/>
          <w:sz w:val="20"/>
          <w:szCs w:val="20"/>
        </w:rPr>
        <w:t>Данъчните приходи</w:t>
      </w:r>
      <w:r w:rsidRPr="0006604F">
        <w:rPr>
          <w:rFonts w:eastAsia="Batang" w:cs="Times New Roman"/>
          <w:bCs/>
          <w:sz w:val="20"/>
          <w:szCs w:val="20"/>
        </w:rPr>
        <w:t xml:space="preserve"> (вкл. приходите от осигурителни вноски) са в размер на 30 010,3 млн. евро, което представлява 101,3% спрямо разчетените за годината и формират 81,5% от общите постъпления по КФП за периода. Съпоставени с предходната година, данъчните приходи нарастват номинално с 3 260,3 млн. евро (12,2%).</w:t>
      </w:r>
    </w:p>
    <w:p w14:paraId="2DBD3ED1" w14:textId="77777777" w:rsidR="0006604F" w:rsidRPr="0006604F" w:rsidRDefault="0006604F" w:rsidP="0006604F">
      <w:pPr>
        <w:autoSpaceDE w:val="0"/>
        <w:autoSpaceDN w:val="0"/>
        <w:adjustRightInd w:val="0"/>
        <w:spacing w:after="120"/>
        <w:rPr>
          <w:rFonts w:eastAsia="Batang" w:cs="Times New Roman"/>
          <w:bCs/>
          <w:sz w:val="20"/>
          <w:szCs w:val="20"/>
        </w:rPr>
      </w:pPr>
      <w:r w:rsidRPr="0006604F">
        <w:rPr>
          <w:rFonts w:eastAsia="Batang" w:cs="Times New Roman"/>
          <w:bCs/>
          <w:sz w:val="20"/>
          <w:szCs w:val="20"/>
        </w:rPr>
        <w:t xml:space="preserve">Постъпленията в групата на </w:t>
      </w:r>
      <w:r w:rsidRPr="0006604F">
        <w:rPr>
          <w:rFonts w:eastAsia="Batang" w:cs="Times New Roman"/>
          <w:bCs/>
          <w:i/>
          <w:sz w:val="20"/>
          <w:szCs w:val="20"/>
        </w:rPr>
        <w:t>преките данъци</w:t>
      </w:r>
      <w:r w:rsidRPr="0006604F">
        <w:rPr>
          <w:rFonts w:eastAsia="Batang" w:cs="Times New Roman"/>
          <w:bCs/>
          <w:sz w:val="20"/>
          <w:szCs w:val="20"/>
        </w:rPr>
        <w:t xml:space="preserve"> са в размер на 6 399,8 млн. евро, което представлява 97,3% от разчета за 2024 г. и ръст от 662,0 млн. евро (11,5%) спрямо отчетените за 2023 г.</w:t>
      </w:r>
    </w:p>
    <w:p w14:paraId="501FB2AA" w14:textId="77777777" w:rsidR="0006604F" w:rsidRPr="0006604F" w:rsidRDefault="0006604F" w:rsidP="0006604F">
      <w:pPr>
        <w:autoSpaceDE w:val="0"/>
        <w:autoSpaceDN w:val="0"/>
        <w:adjustRightInd w:val="0"/>
        <w:spacing w:after="120"/>
        <w:rPr>
          <w:rFonts w:eastAsia="Batang" w:cs="Times New Roman"/>
          <w:bCs/>
          <w:sz w:val="20"/>
          <w:szCs w:val="20"/>
          <w:lang w:val="ru-RU"/>
        </w:rPr>
      </w:pPr>
      <w:r w:rsidRPr="0006604F">
        <w:rPr>
          <w:rFonts w:eastAsia="Batang" w:cs="Times New Roman"/>
          <w:bCs/>
          <w:sz w:val="20"/>
          <w:szCs w:val="20"/>
        </w:rPr>
        <w:t xml:space="preserve">Отчетените приходи от </w:t>
      </w:r>
      <w:r w:rsidRPr="0006604F">
        <w:rPr>
          <w:rFonts w:eastAsia="Batang" w:cs="Times New Roman"/>
          <w:bCs/>
          <w:i/>
          <w:sz w:val="20"/>
          <w:szCs w:val="20"/>
        </w:rPr>
        <w:t>осигурителни вноски</w:t>
      </w:r>
      <w:r w:rsidRPr="0006604F">
        <w:rPr>
          <w:rFonts w:eastAsia="Batang" w:cs="Times New Roman"/>
          <w:bCs/>
          <w:sz w:val="20"/>
          <w:szCs w:val="20"/>
        </w:rPr>
        <w:t xml:space="preserve"> на общественото и здравно осигуряване към 31.12.2024 г. са в размер на 9 211,0 млн. евро, 101,6% спрямо разчета за 2024 г. и отчитат ръст от 1 221,4 млн. евро (15,3%) спрямо 2023 година. </w:t>
      </w:r>
    </w:p>
    <w:p w14:paraId="6B15FC52" w14:textId="77777777" w:rsidR="0006604F" w:rsidRPr="0006604F" w:rsidRDefault="0006604F" w:rsidP="0006604F">
      <w:pPr>
        <w:autoSpaceDE w:val="0"/>
        <w:autoSpaceDN w:val="0"/>
        <w:adjustRightInd w:val="0"/>
        <w:spacing w:after="120"/>
        <w:rPr>
          <w:rFonts w:eastAsia="Batang" w:cs="Times New Roman"/>
          <w:bCs/>
          <w:sz w:val="20"/>
          <w:szCs w:val="20"/>
        </w:rPr>
      </w:pPr>
      <w:r w:rsidRPr="0006604F">
        <w:rPr>
          <w:rFonts w:eastAsia="Batang" w:cs="Times New Roman"/>
          <w:bCs/>
          <w:sz w:val="20"/>
          <w:szCs w:val="20"/>
        </w:rPr>
        <w:t xml:space="preserve">Постъпленията от </w:t>
      </w:r>
      <w:r w:rsidRPr="0006604F">
        <w:rPr>
          <w:rFonts w:eastAsia="Batang" w:cs="Times New Roman"/>
          <w:bCs/>
          <w:i/>
          <w:sz w:val="20"/>
          <w:szCs w:val="20"/>
        </w:rPr>
        <w:t>косвени</w:t>
      </w:r>
      <w:r w:rsidRPr="0006604F">
        <w:rPr>
          <w:rFonts w:eastAsia="Batang" w:cs="Times New Roman"/>
          <w:bCs/>
          <w:sz w:val="20"/>
          <w:szCs w:val="20"/>
        </w:rPr>
        <w:t xml:space="preserve"> </w:t>
      </w:r>
      <w:r w:rsidRPr="0006604F">
        <w:rPr>
          <w:rFonts w:eastAsia="Batang" w:cs="Times New Roman"/>
          <w:bCs/>
          <w:i/>
          <w:sz w:val="20"/>
          <w:szCs w:val="20"/>
        </w:rPr>
        <w:t>данъци</w:t>
      </w:r>
      <w:r w:rsidRPr="0006604F">
        <w:rPr>
          <w:rFonts w:eastAsia="Batang" w:cs="Times New Roman"/>
          <w:bCs/>
          <w:sz w:val="20"/>
          <w:szCs w:val="20"/>
        </w:rPr>
        <w:t xml:space="preserve"> са в размер на 13 219,0 млн. евро, което представлява 101,4% спрямо предвидените в ЗДБРБ за 2024 г. и ръст от 1 588,4 млн. евро (13,7%) спрямо отчетените за 2023 г. Приходите от ДДС са в размер на 9 479,3</w:t>
      </w:r>
      <w:r w:rsidRPr="0006604F">
        <w:rPr>
          <w:rFonts w:eastAsia="Batang" w:cs="Times New Roman"/>
          <w:bCs/>
          <w:sz w:val="20"/>
          <w:szCs w:val="20"/>
          <w:lang w:val="ru-RU"/>
        </w:rPr>
        <w:t xml:space="preserve"> млн. евро, което представлява 99,5% от планираните със ЗДБРБ за </w:t>
      </w:r>
      <w:r w:rsidRPr="0006604F">
        <w:rPr>
          <w:rFonts w:eastAsia="Batang" w:cs="Times New Roman"/>
          <w:bCs/>
          <w:sz w:val="20"/>
          <w:szCs w:val="20"/>
          <w:lang w:val="ru-RU"/>
        </w:rPr>
        <w:t>2024 г. и нарастват с 1 187,9 млн. евро (14,3 на сто).</w:t>
      </w:r>
      <w:r w:rsidRPr="0006604F">
        <w:rPr>
          <w:rFonts w:eastAsia="Batang" w:cs="Times New Roman"/>
          <w:bCs/>
          <w:sz w:val="20"/>
          <w:szCs w:val="20"/>
        </w:rPr>
        <w:t xml:space="preserve"> Приходите от акцизи за 2024 г. са в размер на 3 530,3 млн. евро, което е 107,1% спрямо планираните със ЗДБРБ за 2024 г. Съпоставени с 2023 г. постъпленията от акцизи нарастват номинално с 386,9 млн. евро (12,3%). Митата са в размер на 173,3 млн. евро или 91,6% от планираните със ЗДБРБ за 2024 г. и са с 8,3 млн. евро (5,1%) повече спрямо 2023 г. Приходите от данък върху застрахователните премии са в размер на 36,1 млн. евро, при планирани за годината 32,2 млн. евро и отчитат ръст от 5,3 млн. евро (17,0</w:t>
      </w:r>
      <w:r w:rsidRPr="0006604F">
        <w:rPr>
          <w:rFonts w:eastAsia="Batang" w:cs="Times New Roman"/>
          <w:bCs/>
          <w:sz w:val="20"/>
          <w:szCs w:val="20"/>
          <w:lang w:val="ru-RU"/>
        </w:rPr>
        <w:t>%</w:t>
      </w:r>
      <w:r w:rsidRPr="0006604F">
        <w:rPr>
          <w:rFonts w:eastAsia="Batang" w:cs="Times New Roman"/>
          <w:bCs/>
          <w:sz w:val="20"/>
          <w:szCs w:val="20"/>
        </w:rPr>
        <w:t xml:space="preserve">). </w:t>
      </w:r>
    </w:p>
    <w:p w14:paraId="457DCA74" w14:textId="77777777" w:rsidR="0006604F" w:rsidRPr="0006604F" w:rsidRDefault="0006604F" w:rsidP="0006604F">
      <w:pPr>
        <w:autoSpaceDE w:val="0"/>
        <w:autoSpaceDN w:val="0"/>
        <w:adjustRightInd w:val="0"/>
        <w:spacing w:after="120"/>
        <w:rPr>
          <w:rFonts w:eastAsia="Batang" w:cs="Times New Roman"/>
          <w:b/>
          <w:bCs/>
          <w:i/>
          <w:sz w:val="20"/>
          <w:szCs w:val="20"/>
        </w:rPr>
      </w:pPr>
      <w:r w:rsidRPr="0006604F">
        <w:rPr>
          <w:rFonts w:eastAsia="Batang" w:cs="Times New Roman"/>
          <w:bCs/>
          <w:sz w:val="20"/>
          <w:szCs w:val="20"/>
        </w:rPr>
        <w:t xml:space="preserve">Постъпленията от </w:t>
      </w:r>
      <w:r w:rsidRPr="0006604F">
        <w:rPr>
          <w:rFonts w:eastAsia="Batang" w:cs="Times New Roman"/>
          <w:bCs/>
          <w:i/>
          <w:sz w:val="20"/>
          <w:szCs w:val="20"/>
        </w:rPr>
        <w:t>други данъци</w:t>
      </w:r>
      <w:r w:rsidRPr="0006604F">
        <w:rPr>
          <w:rFonts w:eastAsia="Batang" w:cs="Times New Roman"/>
          <w:bCs/>
          <w:sz w:val="20"/>
          <w:szCs w:val="20"/>
        </w:rPr>
        <w:t xml:space="preserve"> (включват други данъци по ЗКПО, имуществени данъци и др.) са в размер на 1 180,5 млн. евро. </w:t>
      </w:r>
    </w:p>
    <w:p w14:paraId="05CC96F1" w14:textId="77777777" w:rsidR="0006604F" w:rsidRPr="0006604F" w:rsidRDefault="0006604F" w:rsidP="0006604F">
      <w:pPr>
        <w:autoSpaceDE w:val="0"/>
        <w:autoSpaceDN w:val="0"/>
        <w:adjustRightInd w:val="0"/>
        <w:spacing w:after="120"/>
        <w:rPr>
          <w:rFonts w:eastAsia="Batang" w:cs="Times New Roman"/>
          <w:bCs/>
          <w:sz w:val="20"/>
          <w:szCs w:val="20"/>
        </w:rPr>
      </w:pPr>
      <w:r w:rsidRPr="0006604F">
        <w:rPr>
          <w:rFonts w:eastAsia="Batang" w:cs="Times New Roman"/>
          <w:b/>
          <w:bCs/>
          <w:i/>
          <w:sz w:val="20"/>
          <w:szCs w:val="20"/>
        </w:rPr>
        <w:t>Неданъчните постъпления</w:t>
      </w:r>
      <w:r w:rsidRPr="0006604F">
        <w:rPr>
          <w:rFonts w:eastAsia="Batang" w:cs="Times New Roman"/>
          <w:bCs/>
          <w:sz w:val="20"/>
          <w:szCs w:val="20"/>
        </w:rPr>
        <w:t xml:space="preserve"> по КФП за 2024 г. са в размер на 4 953,3 млн. евро, което представлява 94,4% от годишните разчети и се формират основно от приходи от държавни, общински и съдебни такси, приходи и доходи от собственост, приходи от концесии, приходи от продажба на квоти за емисии на парникови газове и други. Неданъчните приходи са по-ниски от планираните с разчетите към ЗДБРБ за 2024 г. основно поради по-ниските постъпления от продажба на нефинансови активи (главно при постъпленията от продажба на квоти за емисии на парникови газове), по-ниски от планираните държавни и общински такси и други. Относителният дял на неданъчните приходи към общите постъпления по КФП е 13,5%. </w:t>
      </w:r>
    </w:p>
    <w:p w14:paraId="14C74404" w14:textId="77777777" w:rsidR="0006604F" w:rsidRDefault="0006604F" w:rsidP="0006604F">
      <w:pPr>
        <w:autoSpaceDE w:val="0"/>
        <w:autoSpaceDN w:val="0"/>
        <w:adjustRightInd w:val="0"/>
        <w:spacing w:after="120"/>
        <w:rPr>
          <w:rFonts w:eastAsia="Batang" w:cs="Times New Roman"/>
          <w:bCs/>
          <w:sz w:val="20"/>
          <w:szCs w:val="20"/>
        </w:rPr>
      </w:pPr>
      <w:r w:rsidRPr="0006604F">
        <w:rPr>
          <w:rFonts w:eastAsia="Batang" w:cs="Times New Roman"/>
          <w:bCs/>
          <w:sz w:val="20"/>
          <w:szCs w:val="20"/>
        </w:rPr>
        <w:t xml:space="preserve">Постъпилите </w:t>
      </w:r>
      <w:r w:rsidRPr="0006604F">
        <w:rPr>
          <w:rFonts w:eastAsia="Batang" w:cs="Times New Roman"/>
          <w:b/>
          <w:bCs/>
          <w:i/>
          <w:sz w:val="20"/>
          <w:szCs w:val="20"/>
        </w:rPr>
        <w:t>помощи и дарения</w:t>
      </w:r>
      <w:r w:rsidRPr="0006604F">
        <w:rPr>
          <w:rFonts w:eastAsia="Batang" w:cs="Times New Roman"/>
          <w:bCs/>
          <w:sz w:val="20"/>
          <w:szCs w:val="20"/>
        </w:rPr>
        <w:t xml:space="preserve"> от страната и чужбина (вкл. помощите от фондовете на ЕС) са в размер на 1 857,1 млн. евро което представлява 51,3% от разчетените за 2024 г. Постъпленията от помощи и дарения остават значително </w:t>
      </w:r>
      <w:r w:rsidRPr="0006604F">
        <w:rPr>
          <w:rFonts w:eastAsia="Batang" w:cs="Times New Roman"/>
          <w:bCs/>
          <w:sz w:val="20"/>
          <w:szCs w:val="20"/>
        </w:rPr>
        <w:lastRenderedPageBreak/>
        <w:t xml:space="preserve">под заложените в разчета към ЗДБРБ за 2024 г. (3 620,3 млн. евро), което се дължи основно на </w:t>
      </w:r>
      <w:proofErr w:type="spellStart"/>
      <w:r w:rsidRPr="0006604F">
        <w:rPr>
          <w:rFonts w:eastAsia="Batang" w:cs="Times New Roman"/>
          <w:bCs/>
          <w:sz w:val="20"/>
          <w:szCs w:val="20"/>
        </w:rPr>
        <w:t>непостъпване</w:t>
      </w:r>
      <w:proofErr w:type="spellEnd"/>
      <w:r w:rsidRPr="0006604F">
        <w:rPr>
          <w:rFonts w:eastAsia="Batang" w:cs="Times New Roman"/>
          <w:bCs/>
          <w:sz w:val="20"/>
          <w:szCs w:val="20"/>
        </w:rPr>
        <w:t xml:space="preserve"> на планираните втори и трети транш по Плана за възстановяване и устойчивост и на част от планираните приходи по оперативните програми на ЕС (неизпълнение на разчетите по приходите от помощи и да</w:t>
      </w:r>
      <w:r>
        <w:rPr>
          <w:rFonts w:eastAsia="Batang" w:cs="Times New Roman"/>
          <w:bCs/>
          <w:sz w:val="20"/>
          <w:szCs w:val="20"/>
        </w:rPr>
        <w:t>рения по КФП с 1,8 млрд. евро).</w:t>
      </w:r>
    </w:p>
    <w:p w14:paraId="3B89043A" w14:textId="77777777" w:rsidR="00613368" w:rsidRPr="0006604F" w:rsidRDefault="00613368" w:rsidP="0006604F">
      <w:pPr>
        <w:spacing w:after="0"/>
        <w:ind w:left="720" w:hanging="720"/>
        <w:rPr>
          <w:rStyle w:val="CaptionChar"/>
          <w:bCs w:val="0"/>
          <w:sz w:val="20"/>
          <w:szCs w:val="20"/>
        </w:rPr>
      </w:pPr>
      <w:r w:rsidRPr="0006604F">
        <w:rPr>
          <w:rStyle w:val="CaptionChar"/>
          <w:sz w:val="20"/>
          <w:szCs w:val="20"/>
        </w:rPr>
        <w:t xml:space="preserve">Граф.: Данъчно-осигурителни приходи по КФП за </w:t>
      </w:r>
      <w:r w:rsidR="00CD0029" w:rsidRPr="0006604F">
        <w:rPr>
          <w:rStyle w:val="CaptionChar"/>
          <w:sz w:val="20"/>
          <w:szCs w:val="20"/>
        </w:rPr>
        <w:t>2023 г. и 2024</w:t>
      </w:r>
      <w:r w:rsidRPr="0006604F">
        <w:rPr>
          <w:rStyle w:val="CaptionChar"/>
          <w:sz w:val="20"/>
          <w:szCs w:val="20"/>
        </w:rPr>
        <w:t> г.</w:t>
      </w:r>
    </w:p>
    <w:p w14:paraId="1273F672" w14:textId="77777777" w:rsidR="0006604F" w:rsidRDefault="0006604F" w:rsidP="0006604F">
      <w:pPr>
        <w:spacing w:after="120"/>
        <w:jc w:val="center"/>
        <w:rPr>
          <w:noProof/>
          <w:sz w:val="20"/>
          <w:szCs w:val="20"/>
        </w:rPr>
      </w:pPr>
      <w:r>
        <w:rPr>
          <w:noProof/>
          <w:sz w:val="20"/>
          <w:szCs w:val="20"/>
        </w:rPr>
        <w:drawing>
          <wp:inline distT="0" distB="0" distL="0" distR="0" wp14:anchorId="1738407B" wp14:editId="640E6202">
            <wp:extent cx="4279900" cy="242062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9900" cy="2420620"/>
                    </a:xfrm>
                    <a:prstGeom prst="rect">
                      <a:avLst/>
                    </a:prstGeom>
                    <a:noFill/>
                  </pic:spPr>
                </pic:pic>
              </a:graphicData>
            </a:graphic>
          </wp:inline>
        </w:drawing>
      </w:r>
    </w:p>
    <w:p w14:paraId="05C230EF" w14:textId="77777777" w:rsidR="009D508B" w:rsidRPr="00AA3F66" w:rsidRDefault="0083793D" w:rsidP="007757A1">
      <w:pPr>
        <w:autoSpaceDE w:val="0"/>
        <w:autoSpaceDN w:val="0"/>
        <w:adjustRightInd w:val="0"/>
        <w:spacing w:before="60" w:after="0"/>
        <w:ind w:right="202" w:firstLine="5098"/>
        <w:jc w:val="right"/>
        <w:rPr>
          <w:rFonts w:eastAsia="Batang" w:cs="Times New Roman"/>
          <w:bCs/>
          <w:sz w:val="18"/>
          <w:szCs w:val="18"/>
        </w:rPr>
      </w:pPr>
      <w:r w:rsidRPr="00AA3F66">
        <w:rPr>
          <w:rFonts w:eastAsia="Batang" w:cs="Times New Roman"/>
          <w:bCs/>
          <w:sz w:val="18"/>
          <w:szCs w:val="18"/>
        </w:rPr>
        <w:t>Източник: МФ</w:t>
      </w:r>
    </w:p>
    <w:p w14:paraId="05DBF92D" w14:textId="77777777" w:rsidR="00574A2C" w:rsidRPr="002B45C7" w:rsidRDefault="00574A2C" w:rsidP="00574A2C">
      <w:pPr>
        <w:autoSpaceDE w:val="0"/>
        <w:autoSpaceDN w:val="0"/>
        <w:adjustRightInd w:val="0"/>
        <w:spacing w:after="120" w:line="276" w:lineRule="auto"/>
        <w:rPr>
          <w:rFonts w:eastAsia="Batang"/>
          <w:b/>
          <w:bCs/>
          <w:color w:val="943634"/>
          <w:sz w:val="22"/>
        </w:rPr>
      </w:pPr>
      <w:r w:rsidRPr="002B45C7">
        <w:rPr>
          <w:rFonts w:eastAsia="Batang"/>
          <w:b/>
          <w:bCs/>
          <w:color w:val="943634"/>
          <w:sz w:val="22"/>
        </w:rPr>
        <w:t>Изпълнение на разходите</w:t>
      </w:r>
    </w:p>
    <w:p w14:paraId="62F2D73D" w14:textId="77777777" w:rsidR="0006604F" w:rsidRPr="00310A97" w:rsidRDefault="0006604F" w:rsidP="0006604F">
      <w:pPr>
        <w:spacing w:after="120"/>
        <w:rPr>
          <w:rFonts w:eastAsia="Calibri" w:cs="Times New Roman"/>
          <w:color w:val="FE8637" w:themeColor="accent1"/>
          <w:sz w:val="20"/>
          <w:szCs w:val="20"/>
        </w:rPr>
      </w:pPr>
      <w:r w:rsidRPr="00310A97">
        <w:rPr>
          <w:rFonts w:eastAsia="Calibri" w:cs="Times New Roman"/>
          <w:b/>
          <w:sz w:val="20"/>
          <w:szCs w:val="20"/>
        </w:rPr>
        <w:t>Разходите</w:t>
      </w:r>
      <w:r w:rsidRPr="00310A97">
        <w:rPr>
          <w:rFonts w:eastAsia="Calibri" w:cs="Times New Roman"/>
          <w:sz w:val="20"/>
          <w:szCs w:val="20"/>
        </w:rPr>
        <w:t xml:space="preserve"> по КФП (вкл. вноската на Република България в бюджета на ЕС) за 2024 г. възлизат на 39 972,2 млн. евро, което е 95,9% от годишните разчети. </w:t>
      </w:r>
      <w:r w:rsidRPr="00310A97">
        <w:rPr>
          <w:rFonts w:eastAsia="Batang" w:cs="Times New Roman"/>
          <w:bCs/>
          <w:sz w:val="20"/>
          <w:szCs w:val="20"/>
        </w:rPr>
        <w:t>По-ниски от планираните са разходите основно по сметките за средства от ЕС, докато разходите по националния бюджет превишават разчетите за годината, което се дължи на по-високи от планираните разходи по бюджетите на общините. По-ниско е усвояването на планираните средства по ПВУ, както и при някои от оперативните програми по новия програмен период, което</w:t>
      </w:r>
      <w:r w:rsidRPr="00310A97">
        <w:rPr>
          <w:rFonts w:eastAsia="Times New Roman" w:cs="Times New Roman"/>
          <w:sz w:val="20"/>
          <w:szCs w:val="20"/>
        </w:rPr>
        <w:t xml:space="preserve"> </w:t>
      </w:r>
      <w:r w:rsidRPr="00310A97">
        <w:rPr>
          <w:rFonts w:eastAsia="Calibri" w:cs="Times New Roman"/>
          <w:sz w:val="20"/>
          <w:szCs w:val="20"/>
        </w:rPr>
        <w:t>изцяло компенсира неизпълнението в частта на приходите и помощите, представено по-горе.</w:t>
      </w:r>
    </w:p>
    <w:p w14:paraId="1938193A" w14:textId="77777777" w:rsidR="0006604F" w:rsidRPr="00310A97" w:rsidRDefault="0006604F" w:rsidP="0006604F">
      <w:pPr>
        <w:spacing w:after="120"/>
        <w:rPr>
          <w:rFonts w:eastAsia="Batang" w:cs="Times New Roman"/>
          <w:bCs/>
          <w:sz w:val="20"/>
          <w:szCs w:val="20"/>
        </w:rPr>
      </w:pPr>
      <w:r w:rsidRPr="00310A97">
        <w:rPr>
          <w:rFonts w:eastAsia="Batang" w:cs="Times New Roman"/>
          <w:bCs/>
          <w:sz w:val="20"/>
          <w:szCs w:val="20"/>
        </w:rPr>
        <w:t xml:space="preserve">Разгледани по икономически елементи разходите нарастват основно в частта на социалните разходи, вследствие на изплатените по-високи пенсии след влезлите в сила увеличения от юли 2023 г. (с 12 на сто) и юли 2024 г. (с 11 на сто), изплатените еднократни добавки към пенсиите на пенсионерите с пенсии до </w:t>
      </w:r>
      <w:r w:rsidRPr="00310A97">
        <w:rPr>
          <w:rFonts w:eastAsia="Batang" w:cs="Times New Roman"/>
          <w:bCs/>
          <w:sz w:val="20"/>
          <w:szCs w:val="20"/>
        </w:rPr>
        <w:t>268,9 евро през април и декември 2024 г., както и при разходите за персонал, след увеличението на възнагражденията на педагогическия персонал, увеличението на възнагражденията на лицата от академичния състав в държавните висши училища, както и при други администрации със ЗДБРБ за 2023 г., ЗДБРБ за 2024 г., Закона за висшето образование и други.</w:t>
      </w:r>
    </w:p>
    <w:p w14:paraId="182C8649" w14:textId="77777777" w:rsidR="0006604F" w:rsidRPr="00310A97" w:rsidRDefault="0006604F" w:rsidP="0006604F">
      <w:pPr>
        <w:spacing w:after="120"/>
        <w:rPr>
          <w:rFonts w:eastAsia="Times New Roman" w:cs="Times New Roman"/>
          <w:sz w:val="20"/>
          <w:szCs w:val="20"/>
        </w:rPr>
      </w:pPr>
      <w:r w:rsidRPr="00310A97">
        <w:rPr>
          <w:rFonts w:eastAsia="Times New Roman" w:cs="Times New Roman"/>
          <w:b/>
          <w:i/>
          <w:sz w:val="20"/>
          <w:szCs w:val="20"/>
        </w:rPr>
        <w:t>Нелихвените разходи</w:t>
      </w:r>
      <w:r w:rsidRPr="00310A97">
        <w:rPr>
          <w:rFonts w:eastAsia="Times New Roman" w:cs="Times New Roman"/>
          <w:sz w:val="20"/>
          <w:szCs w:val="20"/>
        </w:rPr>
        <w:t xml:space="preserve"> за 2024 г. са в размер на 38 642,2 млн. евро, което представлява 96,6% от годишния разчет. Текущите нелихвени разходи са в размер на 35 139,4 млн. евро Капиталовите разходи (вкл. нетния прираст на държавния резерв) възлизат на 3 478,0 млн. евро. Предоставените текущи и капиталови трансфери за чужбина са в размер на 24,9 млн. евро.</w:t>
      </w:r>
    </w:p>
    <w:p w14:paraId="7F286B8B" w14:textId="77777777" w:rsidR="0006604F" w:rsidRPr="00310A97" w:rsidRDefault="0006604F" w:rsidP="0006604F">
      <w:pPr>
        <w:spacing w:after="120"/>
        <w:rPr>
          <w:rFonts w:eastAsia="Times New Roman" w:cs="Times New Roman"/>
          <w:sz w:val="20"/>
          <w:szCs w:val="20"/>
        </w:rPr>
      </w:pPr>
      <w:r w:rsidRPr="00310A97">
        <w:rPr>
          <w:rFonts w:eastAsia="Times New Roman" w:cs="Times New Roman"/>
          <w:b/>
          <w:i/>
          <w:sz w:val="20"/>
          <w:szCs w:val="20"/>
        </w:rPr>
        <w:t>Лихвените плащания</w:t>
      </w:r>
      <w:r w:rsidRPr="00310A97">
        <w:rPr>
          <w:rFonts w:eastAsia="Times New Roman" w:cs="Times New Roman"/>
          <w:sz w:val="20"/>
          <w:szCs w:val="20"/>
        </w:rPr>
        <w:t xml:space="preserve"> са в размер на 515,9 млн. евро (99,8% от планираните за годината и ръст от 91,1 млн. евро спрямо 2023 г.).</w:t>
      </w:r>
    </w:p>
    <w:p w14:paraId="4CB2A935" w14:textId="77777777" w:rsidR="0006604F" w:rsidRPr="00310A97" w:rsidRDefault="0006604F" w:rsidP="0006604F">
      <w:pPr>
        <w:autoSpaceDE w:val="0"/>
        <w:autoSpaceDN w:val="0"/>
        <w:adjustRightInd w:val="0"/>
        <w:spacing w:after="120"/>
        <w:rPr>
          <w:rFonts w:eastAsia="Batang" w:cs="Times New Roman"/>
          <w:bCs/>
          <w:sz w:val="20"/>
          <w:szCs w:val="20"/>
        </w:rPr>
      </w:pPr>
      <w:r w:rsidRPr="00310A97">
        <w:rPr>
          <w:rFonts w:eastAsia="Batang" w:cs="Times New Roman"/>
          <w:b/>
          <w:bCs/>
          <w:sz w:val="20"/>
          <w:szCs w:val="20"/>
        </w:rPr>
        <w:t>Вноската на Република България в общия бюджет на ЕС</w:t>
      </w:r>
      <w:r w:rsidRPr="00310A97">
        <w:rPr>
          <w:rFonts w:eastAsia="Batang" w:cs="Times New Roman"/>
          <w:bCs/>
          <w:sz w:val="20"/>
          <w:szCs w:val="20"/>
        </w:rPr>
        <w:t>, изплатена към 31.12.2024 г. от централния бюджет, възлиза на 814,1 млн. евро., което е в изпълнение на действащото към момента законодателство в областта на собствените ресурси на ЕС.</w:t>
      </w:r>
    </w:p>
    <w:p w14:paraId="7D123DE0" w14:textId="77777777" w:rsidR="009B41DE" w:rsidRPr="009B41DE" w:rsidRDefault="0006604F" w:rsidP="009B41DE">
      <w:pPr>
        <w:autoSpaceDE w:val="0"/>
        <w:autoSpaceDN w:val="0"/>
        <w:adjustRightInd w:val="0"/>
        <w:spacing w:after="120"/>
        <w:rPr>
          <w:rFonts w:eastAsia="Batang" w:cs="Times New Roman"/>
          <w:bCs/>
          <w:sz w:val="20"/>
          <w:szCs w:val="20"/>
        </w:rPr>
      </w:pPr>
      <w:r w:rsidRPr="00310A97">
        <w:rPr>
          <w:rFonts w:eastAsia="Batang" w:cs="Times New Roman"/>
          <w:bCs/>
          <w:sz w:val="20"/>
          <w:szCs w:val="20"/>
        </w:rPr>
        <w:t>С оглед постигане на съпоставимост на графиката по-долу за 2024 г. е елиминирано влиянието на трансакцията по чл. 71, ал.1 от Постановление № 13 на Министерския съвет от 2024 г. (възстановени разходи в размер на 613,6 млн. евро от сметката за чужди средства по бюджета на Министерството на регионалното развитие и благоустройството).</w:t>
      </w:r>
    </w:p>
    <w:p w14:paraId="3FDCC298" w14:textId="77777777" w:rsidR="0026109F" w:rsidRDefault="00574A2C" w:rsidP="0026109F">
      <w:pPr>
        <w:spacing w:after="0"/>
        <w:ind w:left="720" w:hanging="720"/>
        <w:rPr>
          <w:rStyle w:val="CaptionChar"/>
          <w:sz w:val="20"/>
          <w:szCs w:val="20"/>
        </w:rPr>
      </w:pPr>
      <w:r w:rsidRPr="002B45C7">
        <w:rPr>
          <w:rStyle w:val="CaptionChar"/>
          <w:sz w:val="20"/>
          <w:szCs w:val="20"/>
        </w:rPr>
        <w:t>Г</w:t>
      </w:r>
      <w:r w:rsidR="008F74EC" w:rsidRPr="002B45C7">
        <w:rPr>
          <w:rStyle w:val="CaptionChar"/>
          <w:sz w:val="20"/>
          <w:szCs w:val="20"/>
        </w:rPr>
        <w:t>раф.</w:t>
      </w:r>
      <w:r w:rsidRPr="002B45C7">
        <w:rPr>
          <w:rStyle w:val="CaptionChar"/>
          <w:sz w:val="20"/>
          <w:szCs w:val="20"/>
        </w:rPr>
        <w:t xml:space="preserve">: Основни разходни </w:t>
      </w:r>
      <w:r w:rsidR="00E35CB9">
        <w:rPr>
          <w:rStyle w:val="CaptionChar"/>
          <w:sz w:val="20"/>
          <w:szCs w:val="20"/>
        </w:rPr>
        <w:t>показатели по КФП за</w:t>
      </w:r>
      <w:r w:rsidR="000A795C" w:rsidRPr="000A795C">
        <w:rPr>
          <w:rStyle w:val="CaptionChar"/>
          <w:sz w:val="20"/>
          <w:szCs w:val="20"/>
        </w:rPr>
        <w:t xml:space="preserve"> 2023 г. и 2024 г.</w:t>
      </w:r>
    </w:p>
    <w:p w14:paraId="132223C1" w14:textId="77777777" w:rsidR="008F35A4" w:rsidRPr="0026109F" w:rsidRDefault="0026109F" w:rsidP="0026109F">
      <w:pPr>
        <w:spacing w:after="0"/>
        <w:ind w:left="900" w:hanging="900"/>
        <w:rPr>
          <w:rFonts w:eastAsia="Times New Roman"/>
          <w:sz w:val="20"/>
          <w:szCs w:val="20"/>
        </w:rPr>
      </w:pPr>
      <w:r>
        <w:rPr>
          <w:rStyle w:val="CaptionChar"/>
          <w:sz w:val="20"/>
          <w:szCs w:val="20"/>
        </w:rPr>
        <w:t xml:space="preserve">              </w:t>
      </w:r>
      <w:r w:rsidR="000A795C" w:rsidRPr="000A795C">
        <w:rPr>
          <w:rStyle w:val="CaptionChar"/>
          <w:sz w:val="20"/>
          <w:szCs w:val="20"/>
        </w:rPr>
        <w:t>(на съпоставима база)</w:t>
      </w:r>
    </w:p>
    <w:p w14:paraId="1FC2511F" w14:textId="77777777" w:rsidR="00310A97" w:rsidRDefault="00310A97" w:rsidP="0026109F">
      <w:pPr>
        <w:spacing w:after="0"/>
        <w:jc w:val="center"/>
        <w:rPr>
          <w:noProof/>
          <w:sz w:val="20"/>
          <w:szCs w:val="20"/>
        </w:rPr>
      </w:pPr>
    </w:p>
    <w:p w14:paraId="7CAED9F7" w14:textId="77777777" w:rsidR="0006604F" w:rsidRDefault="0006604F" w:rsidP="0026109F">
      <w:pPr>
        <w:spacing w:after="0"/>
        <w:jc w:val="center"/>
        <w:rPr>
          <w:noProof/>
          <w:sz w:val="20"/>
          <w:szCs w:val="20"/>
        </w:rPr>
      </w:pPr>
      <w:r>
        <w:rPr>
          <w:noProof/>
          <w:sz w:val="20"/>
          <w:szCs w:val="20"/>
        </w:rPr>
        <w:lastRenderedPageBreak/>
        <w:drawing>
          <wp:inline distT="0" distB="0" distL="0" distR="0" wp14:anchorId="16D2D0D4" wp14:editId="30A21049">
            <wp:extent cx="4400550"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0550" cy="2609850"/>
                    </a:xfrm>
                    <a:prstGeom prst="rect">
                      <a:avLst/>
                    </a:prstGeom>
                    <a:noFill/>
                  </pic:spPr>
                </pic:pic>
              </a:graphicData>
            </a:graphic>
          </wp:inline>
        </w:drawing>
      </w:r>
    </w:p>
    <w:p w14:paraId="5AECD26A" w14:textId="77777777" w:rsidR="0006604F" w:rsidRDefault="0006604F" w:rsidP="0026109F">
      <w:pPr>
        <w:spacing w:after="0"/>
        <w:jc w:val="center"/>
        <w:rPr>
          <w:noProof/>
          <w:sz w:val="20"/>
          <w:szCs w:val="20"/>
        </w:rPr>
      </w:pPr>
    </w:p>
    <w:p w14:paraId="4A5105BF" w14:textId="77777777" w:rsidR="00A54B9E" w:rsidRPr="003472A7" w:rsidRDefault="00B55406" w:rsidP="00A54B9E">
      <w:pPr>
        <w:spacing w:after="0"/>
        <w:rPr>
          <w:rFonts w:eastAsia="Times New Roman" w:cs="Times New Roman"/>
          <w:bCs/>
          <w:iCs/>
          <w:sz w:val="16"/>
          <w:szCs w:val="16"/>
        </w:rPr>
      </w:pPr>
      <w:r>
        <w:rPr>
          <w:rFonts w:eastAsia="Times New Roman" w:cs="Times New Roman"/>
          <w:bCs/>
          <w:iCs/>
          <w:sz w:val="16"/>
          <w:szCs w:val="16"/>
        </w:rPr>
        <w:t xml:space="preserve">* </w:t>
      </w:r>
      <w:r w:rsidR="00FA39BE" w:rsidRPr="003472A7">
        <w:rPr>
          <w:rFonts w:eastAsia="Times New Roman" w:cs="Times New Roman"/>
          <w:bCs/>
          <w:iCs/>
          <w:sz w:val="16"/>
          <w:szCs w:val="16"/>
        </w:rPr>
        <w:t xml:space="preserve">Вкл. </w:t>
      </w:r>
      <w:r w:rsidR="00A54B9E" w:rsidRPr="003472A7">
        <w:rPr>
          <w:rFonts w:eastAsia="Times New Roman" w:cs="Times New Roman"/>
          <w:bCs/>
          <w:iCs/>
          <w:sz w:val="16"/>
          <w:szCs w:val="16"/>
        </w:rPr>
        <w:t>Предоставени текущи и капиталови трансфери за чужбина</w:t>
      </w:r>
    </w:p>
    <w:p w14:paraId="2156570A" w14:textId="77777777" w:rsidR="00145175" w:rsidRDefault="00FA39BE" w:rsidP="00E64CE8">
      <w:pPr>
        <w:autoSpaceDE w:val="0"/>
        <w:autoSpaceDN w:val="0"/>
        <w:adjustRightInd w:val="0"/>
        <w:spacing w:after="120" w:line="276" w:lineRule="auto"/>
        <w:jc w:val="left"/>
        <w:rPr>
          <w:rFonts w:eastAsia="Times New Roman" w:cs="Times New Roman"/>
          <w:bCs/>
          <w:iCs/>
          <w:sz w:val="16"/>
          <w:szCs w:val="16"/>
        </w:rPr>
      </w:pPr>
      <w:r w:rsidRPr="003472A7">
        <w:rPr>
          <w:rFonts w:eastAsia="Times New Roman" w:cs="Times New Roman"/>
          <w:bCs/>
          <w:iCs/>
          <w:sz w:val="16"/>
          <w:szCs w:val="16"/>
        </w:rPr>
        <w:t xml:space="preserve">** Вкл. </w:t>
      </w:r>
      <w:r w:rsidR="00A54B9E" w:rsidRPr="003472A7">
        <w:rPr>
          <w:rFonts w:eastAsia="Times New Roman" w:cs="Times New Roman"/>
          <w:bCs/>
          <w:iCs/>
          <w:sz w:val="16"/>
          <w:szCs w:val="16"/>
        </w:rPr>
        <w:t>Нетен прираст на държавния резерв</w:t>
      </w:r>
    </w:p>
    <w:p w14:paraId="0855EEA2" w14:textId="77777777" w:rsidR="00677F63" w:rsidRPr="00AA3F66" w:rsidRDefault="00677F63" w:rsidP="00677F63">
      <w:pPr>
        <w:autoSpaceDE w:val="0"/>
        <w:autoSpaceDN w:val="0"/>
        <w:adjustRightInd w:val="0"/>
        <w:spacing w:before="60" w:after="0"/>
        <w:ind w:right="202"/>
        <w:jc w:val="right"/>
        <w:rPr>
          <w:rFonts w:eastAsia="Batang" w:cs="Times New Roman"/>
          <w:bCs/>
          <w:sz w:val="18"/>
          <w:szCs w:val="18"/>
        </w:rPr>
      </w:pPr>
      <w:r w:rsidRPr="00AA3F66">
        <w:rPr>
          <w:rFonts w:eastAsia="Batang" w:cs="Times New Roman"/>
          <w:bCs/>
          <w:sz w:val="18"/>
          <w:szCs w:val="18"/>
        </w:rPr>
        <w:t>Източник: МФ</w:t>
      </w:r>
    </w:p>
    <w:p w14:paraId="63B061B7" w14:textId="77777777" w:rsidR="00574A2C" w:rsidRPr="002B45C7" w:rsidRDefault="00574A2C" w:rsidP="00E64CE8">
      <w:pPr>
        <w:autoSpaceDE w:val="0"/>
        <w:autoSpaceDN w:val="0"/>
        <w:adjustRightInd w:val="0"/>
        <w:spacing w:after="120" w:line="276" w:lineRule="auto"/>
        <w:jc w:val="left"/>
        <w:rPr>
          <w:rFonts w:eastAsia="Batang"/>
          <w:b/>
          <w:bCs/>
          <w:i/>
          <w:color w:val="943634"/>
          <w:sz w:val="22"/>
        </w:rPr>
      </w:pPr>
      <w:r w:rsidRPr="002B45C7">
        <w:rPr>
          <w:rFonts w:eastAsia="Batang"/>
          <w:b/>
          <w:bCs/>
          <w:i/>
          <w:color w:val="943634"/>
          <w:sz w:val="22"/>
        </w:rPr>
        <w:t>Разходи по държавния бюджет, бюджетите на социалноосигурителните фондове и бюджетите на общините</w:t>
      </w:r>
    </w:p>
    <w:p w14:paraId="00A19169" w14:textId="77777777" w:rsidR="00574A2C" w:rsidRPr="002B45C7" w:rsidRDefault="00574A2C" w:rsidP="00B21B45">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Държавен бюджет</w:t>
      </w:r>
    </w:p>
    <w:p w14:paraId="51541A26" w14:textId="77777777" w:rsidR="0006604F" w:rsidRPr="003D020E" w:rsidRDefault="0006604F" w:rsidP="0006604F">
      <w:pPr>
        <w:autoSpaceDE w:val="0"/>
        <w:autoSpaceDN w:val="0"/>
        <w:adjustRightInd w:val="0"/>
        <w:spacing w:after="120"/>
        <w:rPr>
          <w:rFonts w:eastAsia="Batang" w:cs="Times New Roman"/>
          <w:bCs/>
          <w:sz w:val="20"/>
          <w:szCs w:val="20"/>
          <w:lang w:val="ru-RU"/>
        </w:rPr>
      </w:pPr>
      <w:r w:rsidRPr="003D020E">
        <w:rPr>
          <w:rFonts w:eastAsia="Batang" w:cs="Times New Roman"/>
          <w:bCs/>
          <w:sz w:val="20"/>
          <w:szCs w:val="20"/>
        </w:rPr>
        <w:t xml:space="preserve">Общият размер на </w:t>
      </w:r>
      <w:r w:rsidRPr="003D020E">
        <w:rPr>
          <w:rFonts w:eastAsia="Batang" w:cs="Times New Roman"/>
          <w:b/>
          <w:bCs/>
          <w:i/>
          <w:sz w:val="20"/>
          <w:szCs w:val="20"/>
        </w:rPr>
        <w:t>разходите по държавния бюджет</w:t>
      </w:r>
      <w:r w:rsidRPr="003D020E">
        <w:rPr>
          <w:rFonts w:eastAsia="Batang" w:cs="Times New Roman"/>
          <w:bCs/>
          <w:sz w:val="20"/>
          <w:szCs w:val="20"/>
        </w:rPr>
        <w:t xml:space="preserve"> (вкл. и трансферите за др. бюджети и вноската в бюджета на ЕС) за 2024 г. е 25 548,1 млн. евро, 97,1% от разчета.</w:t>
      </w:r>
      <w:r w:rsidRPr="003D020E">
        <w:rPr>
          <w:rFonts w:eastAsia="Batang" w:cs="Times New Roman"/>
          <w:bCs/>
          <w:sz w:val="20"/>
          <w:szCs w:val="20"/>
          <w:lang w:val="ru-RU"/>
        </w:rPr>
        <w:t xml:space="preserve"> На съпоставима база при </w:t>
      </w:r>
      <w:r w:rsidRPr="003D020E">
        <w:rPr>
          <w:rFonts w:eastAsia="Batang" w:cs="Times New Roman"/>
          <w:bCs/>
          <w:sz w:val="20"/>
          <w:szCs w:val="20"/>
        </w:rPr>
        <w:t>елиминирането на влиянието на трансакцията по чл. 71, ал.1 от Постановление № 13 на Министерския съвет от 2024 г. разходите по държавния бюджет за 2024 г. нарастват спрямо 2023 г. с 3 126,1 млн. евро (13,6%).</w:t>
      </w:r>
    </w:p>
    <w:p w14:paraId="227BF5B4" w14:textId="77777777" w:rsidR="0006604F" w:rsidRPr="003D020E" w:rsidRDefault="0006604F" w:rsidP="0006604F">
      <w:pPr>
        <w:autoSpaceDE w:val="0"/>
        <w:autoSpaceDN w:val="0"/>
        <w:adjustRightInd w:val="0"/>
        <w:spacing w:after="120"/>
        <w:rPr>
          <w:rFonts w:eastAsia="Batang" w:cs="Times New Roman"/>
          <w:bCs/>
          <w:sz w:val="20"/>
          <w:szCs w:val="20"/>
        </w:rPr>
      </w:pPr>
      <w:r w:rsidRPr="003D020E">
        <w:rPr>
          <w:rFonts w:eastAsia="Batang" w:cs="Times New Roman"/>
          <w:b/>
          <w:bCs/>
          <w:i/>
          <w:sz w:val="20"/>
          <w:szCs w:val="20"/>
        </w:rPr>
        <w:t>Нелихвените разходи по държавния бюджет</w:t>
      </w:r>
      <w:r w:rsidRPr="003D020E">
        <w:rPr>
          <w:rFonts w:eastAsia="Batang" w:cs="Times New Roman"/>
          <w:bCs/>
          <w:sz w:val="20"/>
          <w:szCs w:val="20"/>
        </w:rPr>
        <w:t xml:space="preserve"> (без трансферите за др. бюджети) за 2024 г. са в размер на 9 905,1 млн. евро.   </w:t>
      </w:r>
    </w:p>
    <w:p w14:paraId="088DCDCA" w14:textId="77777777" w:rsidR="0006604F" w:rsidRPr="003D020E" w:rsidRDefault="0006604F" w:rsidP="0006604F">
      <w:pPr>
        <w:autoSpaceDE w:val="0"/>
        <w:autoSpaceDN w:val="0"/>
        <w:adjustRightInd w:val="0"/>
        <w:spacing w:after="120"/>
        <w:rPr>
          <w:rFonts w:eastAsia="Batang" w:cs="Times New Roman"/>
          <w:bCs/>
          <w:sz w:val="20"/>
          <w:szCs w:val="20"/>
        </w:rPr>
      </w:pPr>
      <w:r w:rsidRPr="003D020E">
        <w:rPr>
          <w:rFonts w:eastAsia="Batang" w:cs="Times New Roman"/>
          <w:bCs/>
          <w:sz w:val="20"/>
          <w:szCs w:val="20"/>
        </w:rPr>
        <w:t xml:space="preserve">Разходите за </w:t>
      </w:r>
      <w:r w:rsidRPr="003D020E">
        <w:rPr>
          <w:rFonts w:eastAsia="Batang" w:cs="Times New Roman"/>
          <w:bCs/>
          <w:i/>
          <w:sz w:val="20"/>
          <w:szCs w:val="20"/>
        </w:rPr>
        <w:t>персонал</w:t>
      </w:r>
      <w:r w:rsidRPr="003D020E">
        <w:rPr>
          <w:rFonts w:eastAsia="Batang" w:cs="Times New Roman"/>
          <w:bCs/>
          <w:sz w:val="20"/>
          <w:szCs w:val="20"/>
        </w:rPr>
        <w:t xml:space="preserve"> (заплати и възнаграждения, други възнаграждения и плащания за персонала и осигурителни вноски) са в общ размер на 5 038,1 млн. евро или 100,8% спрямо планираните за 2024 г. и ръст от 692,8 млн. евро (15,9%) спрямо 2023 г. Разходите за </w:t>
      </w:r>
      <w:r w:rsidRPr="003D020E">
        <w:rPr>
          <w:rFonts w:eastAsia="Batang" w:cs="Times New Roman"/>
          <w:bCs/>
          <w:i/>
          <w:sz w:val="20"/>
          <w:szCs w:val="20"/>
        </w:rPr>
        <w:t>издръжка</w:t>
      </w:r>
      <w:r w:rsidRPr="003D020E">
        <w:rPr>
          <w:rFonts w:eastAsia="Batang" w:cs="Times New Roman"/>
          <w:bCs/>
          <w:sz w:val="20"/>
          <w:szCs w:val="20"/>
        </w:rPr>
        <w:t xml:space="preserve"> (вкл. разходи за членски внос и участие в </w:t>
      </w:r>
      <w:r w:rsidRPr="003D020E">
        <w:rPr>
          <w:rFonts w:eastAsia="Batang" w:cs="Times New Roman"/>
          <w:bCs/>
          <w:sz w:val="20"/>
          <w:szCs w:val="20"/>
        </w:rPr>
        <w:t xml:space="preserve">нетърговски организации и дейности и платени данъци, такси и административни санкции) са в размер на 1 891,4 млн. евро или 77,3% от планираните за годината. </w:t>
      </w:r>
      <w:r w:rsidRPr="003D020E">
        <w:rPr>
          <w:rFonts w:eastAsia="Batang" w:cs="Times New Roman"/>
          <w:bCs/>
          <w:i/>
          <w:sz w:val="20"/>
          <w:szCs w:val="20"/>
        </w:rPr>
        <w:t>Социалните разходи</w:t>
      </w:r>
      <w:r w:rsidRPr="003D020E">
        <w:rPr>
          <w:rFonts w:eastAsia="Batang" w:cs="Times New Roman"/>
          <w:bCs/>
          <w:sz w:val="20"/>
          <w:szCs w:val="20"/>
        </w:rPr>
        <w:t xml:space="preserve"> (вкл. разходите за стипендии) са в размер на 891,5 млн. евро или 65,3% от предвидените за годината като нарастват с </w:t>
      </w:r>
      <w:r>
        <w:rPr>
          <w:rFonts w:eastAsia="Batang" w:cs="Times New Roman"/>
          <w:bCs/>
          <w:sz w:val="20"/>
          <w:szCs w:val="20"/>
        </w:rPr>
        <w:t xml:space="preserve">206,6 млн. евро (30,2%) спрямо </w:t>
      </w:r>
      <w:r w:rsidRPr="003D020E">
        <w:rPr>
          <w:rFonts w:eastAsia="Batang" w:cs="Times New Roman"/>
          <w:bCs/>
          <w:sz w:val="20"/>
          <w:szCs w:val="20"/>
        </w:rPr>
        <w:t xml:space="preserve">2023 г. Част от планираните социални разходи по държавния бюджет се предоставят като трансфери за общинските бюджети. </w:t>
      </w:r>
      <w:r w:rsidRPr="003D020E">
        <w:rPr>
          <w:rFonts w:eastAsia="Batang" w:cs="Times New Roman"/>
          <w:bCs/>
          <w:i/>
          <w:sz w:val="20"/>
          <w:szCs w:val="20"/>
        </w:rPr>
        <w:t>Предоставените текущи и капиталови трансфери за чужбина</w:t>
      </w:r>
      <w:r w:rsidRPr="003D020E">
        <w:rPr>
          <w:rFonts w:eastAsia="Batang" w:cs="Times New Roman"/>
          <w:bCs/>
          <w:sz w:val="20"/>
          <w:szCs w:val="20"/>
        </w:rPr>
        <w:t xml:space="preserve"> са в размер на 14,6 млн. евро. Разходите за </w:t>
      </w:r>
      <w:r w:rsidRPr="003D020E">
        <w:rPr>
          <w:rFonts w:eastAsia="Batang" w:cs="Times New Roman"/>
          <w:bCs/>
          <w:i/>
          <w:sz w:val="20"/>
          <w:szCs w:val="20"/>
        </w:rPr>
        <w:t>субсидии</w:t>
      </w:r>
      <w:r w:rsidRPr="003D020E">
        <w:rPr>
          <w:rFonts w:eastAsia="Batang" w:cs="Times New Roman"/>
          <w:bCs/>
          <w:sz w:val="20"/>
          <w:szCs w:val="20"/>
        </w:rPr>
        <w:t xml:space="preserve"> са в размер на 1 218,1 млн. евро или 122,2% спрямо планираните за годината и нарастват с 474,4 млн. евро (63,8%) сра</w:t>
      </w:r>
      <w:r>
        <w:rPr>
          <w:rFonts w:eastAsia="Batang" w:cs="Times New Roman"/>
          <w:bCs/>
          <w:sz w:val="20"/>
          <w:szCs w:val="20"/>
        </w:rPr>
        <w:t xml:space="preserve">внени с предходната година. За </w:t>
      </w:r>
      <w:r w:rsidRPr="003D020E">
        <w:rPr>
          <w:rFonts w:eastAsia="Batang" w:cs="Times New Roman"/>
          <w:bCs/>
          <w:sz w:val="20"/>
          <w:szCs w:val="20"/>
        </w:rPr>
        <w:t xml:space="preserve">2024 г. субсидиите за „БДЖ – Пътнически превози” ЕООД са в размер на 131,6 млн. евро (в т. ч. 24,6 млн. евро допълнителна субсидия за изпълнението на обществена превозна услуга за месец декември 2024 г. - ПМС </w:t>
      </w:r>
      <w:r w:rsidR="00F6534A">
        <w:rPr>
          <w:rFonts w:eastAsia="Batang" w:cs="Times New Roman"/>
          <w:bCs/>
          <w:sz w:val="20"/>
          <w:szCs w:val="20"/>
        </w:rPr>
        <w:t xml:space="preserve">№ </w:t>
      </w:r>
      <w:r w:rsidRPr="003D020E">
        <w:rPr>
          <w:rFonts w:eastAsia="Batang" w:cs="Times New Roman"/>
          <w:bCs/>
          <w:sz w:val="20"/>
          <w:szCs w:val="20"/>
        </w:rPr>
        <w:t xml:space="preserve">410/28.11.2024 г.), субсидиите за Национална компания „Железопътна инфраструктура” са 163,8 млн. евро (в т. ч. допълнителна субсидия за текущо поддържане и експлоатация на железопътната инфраструктура за месец декември 2024 г. в размер на 9,7 млн. евро и отпуснати средства за стихийни бедствия в размер на 0,075 млн. евро - ПМС </w:t>
      </w:r>
      <w:r w:rsidR="00F6534A">
        <w:rPr>
          <w:rFonts w:eastAsia="Batang" w:cs="Times New Roman"/>
          <w:bCs/>
          <w:sz w:val="20"/>
          <w:szCs w:val="20"/>
        </w:rPr>
        <w:t xml:space="preserve">№ </w:t>
      </w:r>
      <w:r w:rsidRPr="003D020E">
        <w:rPr>
          <w:rFonts w:eastAsia="Batang" w:cs="Times New Roman"/>
          <w:bCs/>
          <w:sz w:val="20"/>
          <w:szCs w:val="20"/>
        </w:rPr>
        <w:t>423/04.12.2024 г.) и 40,0 млн. евро са за „Български пощи” ЕАД, в т.ч. 14,9 млн. евро за извършване на универсална пощенска услуга (вкл. 0,3 млн. евро доплащане за 2022 г.), 15,7 млн. евро за разпространение на периодични печатни издания - вестници и списания (вкл. 1,9 млн. евро доплащане за 2022 г. и 2023 г.) и 9,4 млн. евро за предоставяне на административни услуги. За отчетния период субсидиите за „България Хели Мед Сървиз“ (център за спешна медицинска помощ по въздуха) са в размер на 1,1 млн. евро (отчетена е възстановена субсидия в размер на 2,0 млн. евро). Към края на декември 2024 г. ДФ „Земеделие“ e изплатил субсидии в общ размер на 479,5 млн. евро, от които 414,5 млн. евро държавна помощ; 35,6 млн. евро прехо</w:t>
      </w:r>
      <w:r>
        <w:rPr>
          <w:rFonts w:eastAsia="Batang" w:cs="Times New Roman"/>
          <w:bCs/>
          <w:sz w:val="20"/>
          <w:szCs w:val="20"/>
        </w:rPr>
        <w:t xml:space="preserve">дна национална помощ за тютюн, </w:t>
      </w:r>
      <w:r w:rsidRPr="003D020E">
        <w:rPr>
          <w:rFonts w:eastAsia="Batang" w:cs="Times New Roman"/>
          <w:bCs/>
          <w:sz w:val="20"/>
          <w:szCs w:val="20"/>
        </w:rPr>
        <w:t>24,9 млн. евро преходна национална помощ за сектор „Животновъдство“ и 4,1 млн. евро средства за ДДС по схеми „Учил</w:t>
      </w:r>
      <w:r>
        <w:rPr>
          <w:rFonts w:eastAsia="Batang" w:cs="Times New Roman"/>
          <w:bCs/>
          <w:sz w:val="20"/>
          <w:szCs w:val="20"/>
        </w:rPr>
        <w:t>ищен плод“ и „Училищно мляко“.</w:t>
      </w:r>
    </w:p>
    <w:p w14:paraId="431C783A" w14:textId="77777777" w:rsidR="0006604F" w:rsidRPr="003D020E" w:rsidRDefault="0006604F" w:rsidP="0006604F">
      <w:pPr>
        <w:autoSpaceDE w:val="0"/>
        <w:autoSpaceDN w:val="0"/>
        <w:adjustRightInd w:val="0"/>
        <w:spacing w:after="120"/>
        <w:rPr>
          <w:rFonts w:eastAsia="Batang" w:cs="Times New Roman"/>
          <w:bCs/>
          <w:sz w:val="20"/>
          <w:szCs w:val="20"/>
        </w:rPr>
      </w:pPr>
      <w:r w:rsidRPr="003D020E">
        <w:rPr>
          <w:rFonts w:eastAsia="Batang" w:cs="Times New Roman"/>
          <w:bCs/>
          <w:i/>
          <w:sz w:val="20"/>
          <w:szCs w:val="20"/>
        </w:rPr>
        <w:t xml:space="preserve">Капиталовите разходи </w:t>
      </w:r>
      <w:r w:rsidRPr="003D020E">
        <w:rPr>
          <w:rFonts w:eastAsia="Batang" w:cs="Times New Roman"/>
          <w:bCs/>
          <w:sz w:val="20"/>
          <w:szCs w:val="20"/>
        </w:rPr>
        <w:t>(вкл. нетния прираст на държавния резерв) по държавния бюджет възлизат на 851,4 млн. евро.</w:t>
      </w:r>
    </w:p>
    <w:p w14:paraId="363D2B9A" w14:textId="77777777" w:rsidR="0006604F" w:rsidRPr="003D020E" w:rsidRDefault="0006604F" w:rsidP="0006604F">
      <w:pPr>
        <w:autoSpaceDE w:val="0"/>
        <w:autoSpaceDN w:val="0"/>
        <w:adjustRightInd w:val="0"/>
        <w:spacing w:after="120"/>
        <w:rPr>
          <w:rFonts w:eastAsia="Batang" w:cs="Times New Roman"/>
          <w:bCs/>
          <w:sz w:val="20"/>
          <w:szCs w:val="20"/>
        </w:rPr>
      </w:pPr>
      <w:r w:rsidRPr="003D020E">
        <w:rPr>
          <w:rFonts w:eastAsia="Batang" w:cs="Times New Roman"/>
          <w:b/>
          <w:bCs/>
          <w:i/>
          <w:sz w:val="20"/>
          <w:szCs w:val="20"/>
        </w:rPr>
        <w:t>Лихвените плащания по държавния бюджет</w:t>
      </w:r>
      <w:r w:rsidRPr="003D020E">
        <w:rPr>
          <w:rFonts w:eastAsia="Batang" w:cs="Times New Roman"/>
          <w:bCs/>
          <w:sz w:val="20"/>
          <w:szCs w:val="20"/>
        </w:rPr>
        <w:t xml:space="preserve"> към 31.12.2024 г. са в общ размер на 487,4 млн. евро или 98,6% от предвидените в годишните разчети.</w:t>
      </w:r>
    </w:p>
    <w:p w14:paraId="63BE8750" w14:textId="77777777" w:rsidR="009B41DE" w:rsidRDefault="0006604F" w:rsidP="0006604F">
      <w:pPr>
        <w:autoSpaceDE w:val="0"/>
        <w:autoSpaceDN w:val="0"/>
        <w:adjustRightInd w:val="0"/>
        <w:spacing w:after="120"/>
        <w:rPr>
          <w:rFonts w:eastAsia="Batang" w:cs="Times New Roman"/>
          <w:bCs/>
          <w:sz w:val="20"/>
          <w:szCs w:val="20"/>
        </w:rPr>
      </w:pPr>
      <w:r w:rsidRPr="003D020E">
        <w:rPr>
          <w:rFonts w:eastAsia="Batang" w:cs="Times New Roman"/>
          <w:bCs/>
          <w:sz w:val="20"/>
          <w:szCs w:val="20"/>
        </w:rPr>
        <w:t xml:space="preserve">Нетният размер на </w:t>
      </w:r>
      <w:r w:rsidRPr="003D020E">
        <w:rPr>
          <w:rFonts w:eastAsia="Batang" w:cs="Times New Roman"/>
          <w:b/>
          <w:bCs/>
          <w:i/>
          <w:sz w:val="20"/>
          <w:szCs w:val="20"/>
        </w:rPr>
        <w:t>трансферите по държавния бюджет</w:t>
      </w:r>
      <w:r w:rsidRPr="003D020E">
        <w:rPr>
          <w:rFonts w:eastAsia="Batang" w:cs="Times New Roman"/>
          <w:bCs/>
          <w:sz w:val="20"/>
          <w:szCs w:val="20"/>
        </w:rPr>
        <w:t xml:space="preserve"> към декември 2024 г. е 14 341,5 млн. евро.</w:t>
      </w:r>
    </w:p>
    <w:p w14:paraId="1F59F622" w14:textId="77777777" w:rsidR="0006604F" w:rsidRDefault="0006604F" w:rsidP="0006604F">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Разходи по бюджетите на социалноосигурителните фондове</w:t>
      </w:r>
    </w:p>
    <w:p w14:paraId="594449AC" w14:textId="77777777" w:rsidR="0006604F" w:rsidRPr="003D020E" w:rsidRDefault="0006604F" w:rsidP="0006604F">
      <w:pPr>
        <w:autoSpaceDE w:val="0"/>
        <w:autoSpaceDN w:val="0"/>
        <w:adjustRightInd w:val="0"/>
        <w:spacing w:after="120"/>
        <w:rPr>
          <w:rFonts w:eastAsia="Batang" w:cs="Times New Roman"/>
          <w:bCs/>
          <w:sz w:val="20"/>
          <w:szCs w:val="20"/>
        </w:rPr>
      </w:pPr>
      <w:r w:rsidRPr="003D020E">
        <w:rPr>
          <w:rFonts w:eastAsia="Batang" w:cs="Times New Roman"/>
          <w:bCs/>
          <w:sz w:val="20"/>
          <w:szCs w:val="20"/>
        </w:rPr>
        <w:lastRenderedPageBreak/>
        <w:t>Извършените разходи по бюджетите на социалноосигурителните фондове за 2024 г. са в размер на 16 805,6 млн. евро (100,8% спрямо разчета за годината и ръст от 2 192,3 млн. евро, 15,0% спрямо 2023 г.), в т.ч. пенсии, помощи и обезщетения по КСО в размер на 12 645,7 млн. евро и здравноосигурителни плащания в размер на 4 003,3 млн. евро.</w:t>
      </w:r>
    </w:p>
    <w:p w14:paraId="2BCB24BA" w14:textId="77777777" w:rsidR="0006604F" w:rsidRDefault="0006604F" w:rsidP="0006604F">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Разходи по бюджетите на общините</w:t>
      </w:r>
    </w:p>
    <w:p w14:paraId="2B4CB3DC" w14:textId="77777777" w:rsidR="0006604F" w:rsidRPr="003D020E" w:rsidRDefault="0006604F" w:rsidP="0006604F">
      <w:pPr>
        <w:autoSpaceDE w:val="0"/>
        <w:autoSpaceDN w:val="0"/>
        <w:adjustRightInd w:val="0"/>
        <w:spacing w:after="120"/>
        <w:rPr>
          <w:rFonts w:eastAsia="Batang" w:cs="Times New Roman"/>
          <w:bCs/>
          <w:sz w:val="20"/>
          <w:szCs w:val="20"/>
        </w:rPr>
      </w:pPr>
      <w:r w:rsidRPr="003D020E">
        <w:rPr>
          <w:rFonts w:eastAsia="Batang" w:cs="Times New Roman"/>
          <w:bCs/>
          <w:sz w:val="20"/>
          <w:szCs w:val="20"/>
        </w:rPr>
        <w:t>Извършените разходи по общинските бюджети, включително и за сметка на предоставените трансфери от други бюджети са в размер на 7 525,5 млн. евро или 146,7% спрямо разчетите към ЗДБРБ за 2024 г. и ръст от 17,6% спрямо 2023 г. Текущите нелихвени разходи възлизат на 6 265,5 млн. евро (129,8% спрямо годишния разчет и ръст от 15,8% спрямо 2023 г.), а капиталовите разходи са в размер на 1 232,2 млн. евро (ръст от 28,3% спрямо отчетените за 2023 г.). Лихвените плащания са в размер на 27,1 млн. евро или 121,0% спрямо разчета за годината и ръст от 15,5% спрямо отчетените за 2023 г.</w:t>
      </w:r>
    </w:p>
    <w:p w14:paraId="389CD2EB" w14:textId="77777777" w:rsidR="0006604F" w:rsidRPr="002B45C7" w:rsidRDefault="0006604F" w:rsidP="0006604F">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 xml:space="preserve">Бюджетно салдо по консолидираната фискална програма за  </w:t>
      </w:r>
      <w:r>
        <w:rPr>
          <w:rFonts w:eastAsia="Batang"/>
          <w:b/>
          <w:bCs/>
          <w:color w:val="943634"/>
          <w:sz w:val="22"/>
        </w:rPr>
        <w:t>2024</w:t>
      </w:r>
      <w:r w:rsidRPr="002B45C7">
        <w:rPr>
          <w:rFonts w:eastAsia="Batang"/>
          <w:b/>
          <w:bCs/>
          <w:color w:val="943634"/>
          <w:sz w:val="22"/>
        </w:rPr>
        <w:t xml:space="preserve"> г.</w:t>
      </w:r>
    </w:p>
    <w:p w14:paraId="73544C99" w14:textId="77777777" w:rsidR="0006604F" w:rsidRPr="00FE4870" w:rsidRDefault="0006604F" w:rsidP="0006604F">
      <w:pPr>
        <w:autoSpaceDE w:val="0"/>
        <w:autoSpaceDN w:val="0"/>
        <w:adjustRightInd w:val="0"/>
        <w:spacing w:after="120"/>
        <w:rPr>
          <w:rFonts w:eastAsia="Batang" w:cs="Times New Roman"/>
          <w:bCs/>
          <w:sz w:val="20"/>
          <w:szCs w:val="20"/>
        </w:rPr>
      </w:pPr>
      <w:r w:rsidRPr="00FE4870">
        <w:rPr>
          <w:rFonts w:eastAsia="Batang" w:cs="Times New Roman"/>
          <w:b/>
          <w:bCs/>
          <w:sz w:val="20"/>
          <w:szCs w:val="20"/>
        </w:rPr>
        <w:t>Бюджетното салдо по КФП</w:t>
      </w:r>
      <w:r w:rsidRPr="00FE4870">
        <w:rPr>
          <w:rFonts w:eastAsia="Batang" w:cs="Times New Roman"/>
          <w:bCs/>
          <w:sz w:val="20"/>
          <w:szCs w:val="20"/>
        </w:rPr>
        <w:t xml:space="preserve"> за 2024 г. е отрицателно в размер на 3 151,4 млн. евро (3,0% от БВП) и се формира от дефицит в размер на 3 404,1 млн. евро по </w:t>
      </w:r>
      <w:r w:rsidRPr="00FE4870">
        <w:rPr>
          <w:rFonts w:eastAsia="Batang" w:cs="Times New Roman"/>
          <w:bCs/>
          <w:sz w:val="20"/>
          <w:szCs w:val="20"/>
        </w:rPr>
        <w:t xml:space="preserve">националния бюджет и излишък в размер на 252,6 млн. евро по европейските средства. </w:t>
      </w:r>
    </w:p>
    <w:p w14:paraId="040B7183" w14:textId="77777777" w:rsidR="0006604F" w:rsidRPr="00FE4870" w:rsidRDefault="0006604F" w:rsidP="0006604F">
      <w:pPr>
        <w:autoSpaceDE w:val="0"/>
        <w:autoSpaceDN w:val="0"/>
        <w:adjustRightInd w:val="0"/>
        <w:spacing w:after="120"/>
        <w:rPr>
          <w:rFonts w:eastAsia="Batang" w:cs="Times New Roman"/>
          <w:bCs/>
          <w:sz w:val="20"/>
          <w:szCs w:val="20"/>
        </w:rPr>
      </w:pPr>
      <w:r w:rsidRPr="00FE4870">
        <w:rPr>
          <w:rFonts w:eastAsia="Batang" w:cs="Times New Roman"/>
          <w:bCs/>
          <w:sz w:val="20"/>
          <w:szCs w:val="20"/>
        </w:rPr>
        <w:t xml:space="preserve">Общият размер на </w:t>
      </w:r>
      <w:r w:rsidRPr="00FE4870">
        <w:rPr>
          <w:rFonts w:eastAsia="Batang" w:cs="Times New Roman"/>
          <w:b/>
          <w:bCs/>
          <w:sz w:val="20"/>
          <w:szCs w:val="20"/>
        </w:rPr>
        <w:t>касовите постъпления от ЕС</w:t>
      </w:r>
      <w:r w:rsidRPr="00FE4870">
        <w:rPr>
          <w:rFonts w:eastAsia="Batang" w:cs="Times New Roman"/>
          <w:bCs/>
          <w:sz w:val="20"/>
          <w:szCs w:val="20"/>
        </w:rPr>
        <w:t xml:space="preserve"> (от Структурните и Кохезионния фондове, от ЕЗФРСР и ЕФР, от средства за директни плащания към земеделските производители и плащания по пазарни мерки и др.) към 31.12.2024 г. е 2 638,5 млн. евро. Нетните постъпления от ЕС към 31.12.2024 г. (касови постъпления от ЕС, намалени с вноската в общия бюджет на ЕС) са положителни в размер на 1 824,4 млн. евро.</w:t>
      </w:r>
    </w:p>
    <w:p w14:paraId="460E5FAB" w14:textId="77777777" w:rsidR="0006604F" w:rsidRPr="00FE4870" w:rsidRDefault="0006604F" w:rsidP="0006604F">
      <w:pPr>
        <w:autoSpaceDE w:val="0"/>
        <w:autoSpaceDN w:val="0"/>
        <w:adjustRightInd w:val="0"/>
        <w:spacing w:after="120"/>
        <w:rPr>
          <w:rFonts w:eastAsia="Batang" w:cs="Times New Roman"/>
          <w:bCs/>
          <w:sz w:val="20"/>
          <w:szCs w:val="20"/>
        </w:rPr>
      </w:pPr>
      <w:r w:rsidRPr="00FE4870">
        <w:rPr>
          <w:rFonts w:eastAsia="Batang" w:cs="Times New Roman"/>
          <w:bCs/>
          <w:sz w:val="20"/>
          <w:szCs w:val="20"/>
        </w:rPr>
        <w:t xml:space="preserve">Размерът на </w:t>
      </w:r>
      <w:r w:rsidRPr="00FE4870">
        <w:rPr>
          <w:rFonts w:eastAsia="Batang" w:cs="Times New Roman"/>
          <w:b/>
          <w:bCs/>
          <w:sz w:val="20"/>
          <w:szCs w:val="20"/>
        </w:rPr>
        <w:t>фискалния резерв</w:t>
      </w:r>
      <w:r>
        <w:rPr>
          <w:rFonts w:eastAsia="Batang" w:cs="Times New Roman"/>
          <w:b/>
          <w:bCs/>
          <w:sz w:val="20"/>
          <w:szCs w:val="20"/>
          <w:vertAlign w:val="superscript"/>
        </w:rPr>
        <w:t xml:space="preserve"> </w:t>
      </w:r>
      <w:r w:rsidRPr="00FE4870">
        <w:rPr>
          <w:rFonts w:eastAsia="Batang" w:cs="Times New Roman"/>
          <w:bCs/>
          <w:sz w:val="20"/>
          <w:szCs w:val="20"/>
        </w:rPr>
        <w:t>към 31.12.2024 г. е 6 066,6 млн. евро, в т. ч. 4 901,2 млн. евро депозити на фискалния резерв в БНБ и банки и 1 165,4 млн. евро вземания от фондовете на Европейския съюз за сертифицирани разходи, аванси и други.</w:t>
      </w:r>
    </w:p>
    <w:p w14:paraId="3078FBFD" w14:textId="77777777" w:rsidR="00365864" w:rsidRDefault="00365864" w:rsidP="0006604F">
      <w:pPr>
        <w:autoSpaceDE w:val="0"/>
        <w:autoSpaceDN w:val="0"/>
        <w:adjustRightInd w:val="0"/>
        <w:spacing w:after="120" w:line="276" w:lineRule="auto"/>
        <w:ind w:left="426"/>
        <w:rPr>
          <w:rFonts w:eastAsia="Batang"/>
          <w:b/>
          <w:bCs/>
          <w:color w:val="943634"/>
          <w:sz w:val="22"/>
        </w:rPr>
      </w:pPr>
    </w:p>
    <w:p w14:paraId="2C67DCB9" w14:textId="77777777" w:rsidR="0006604F" w:rsidRDefault="0006604F" w:rsidP="0006604F">
      <w:pPr>
        <w:autoSpaceDE w:val="0"/>
        <w:autoSpaceDN w:val="0"/>
        <w:adjustRightInd w:val="0"/>
        <w:spacing w:after="120" w:line="276" w:lineRule="auto"/>
        <w:ind w:left="426"/>
        <w:rPr>
          <w:rFonts w:eastAsia="Batang"/>
          <w:b/>
          <w:bCs/>
          <w:color w:val="943634"/>
          <w:sz w:val="22"/>
        </w:rPr>
      </w:pPr>
    </w:p>
    <w:p w14:paraId="278B6772" w14:textId="77777777" w:rsidR="0006604F" w:rsidRDefault="0006604F" w:rsidP="0006604F">
      <w:pPr>
        <w:autoSpaceDE w:val="0"/>
        <w:autoSpaceDN w:val="0"/>
        <w:adjustRightInd w:val="0"/>
        <w:spacing w:after="120" w:line="276" w:lineRule="auto"/>
        <w:ind w:left="426"/>
        <w:rPr>
          <w:rFonts w:eastAsia="Batang"/>
          <w:b/>
          <w:bCs/>
          <w:color w:val="943634"/>
          <w:sz w:val="22"/>
        </w:rPr>
      </w:pPr>
    </w:p>
    <w:p w14:paraId="2A0C49C5" w14:textId="77777777" w:rsidR="00027A43" w:rsidRDefault="00027A43">
      <w:pPr>
        <w:spacing w:line="276" w:lineRule="auto"/>
        <w:jc w:val="left"/>
        <w:rPr>
          <w:rFonts w:cs="Times New Roman"/>
          <w:sz w:val="22"/>
        </w:rPr>
      </w:pPr>
      <w:r>
        <w:rPr>
          <w:rFonts w:cs="Times New Roman"/>
          <w:sz w:val="22"/>
        </w:rPr>
        <w:br w:type="page"/>
      </w:r>
    </w:p>
    <w:p w14:paraId="3476DDBD" w14:textId="77777777" w:rsidR="00D846E2" w:rsidRPr="00AA3F66" w:rsidRDefault="00D846E2" w:rsidP="003C5AC6">
      <w:pPr>
        <w:tabs>
          <w:tab w:val="num" w:pos="0"/>
          <w:tab w:val="left" w:pos="540"/>
          <w:tab w:val="center" w:pos="4153"/>
          <w:tab w:val="right" w:pos="8306"/>
        </w:tabs>
        <w:rPr>
          <w:rFonts w:cs="Times New Roman"/>
          <w:sz w:val="22"/>
        </w:rPr>
        <w:sectPr w:rsidR="00D846E2" w:rsidRPr="00AA3F66" w:rsidSect="002D7CED">
          <w:headerReference w:type="default" r:id="rId31"/>
          <w:type w:val="continuous"/>
          <w:pgSz w:w="16838" w:h="11906" w:orient="landscape" w:code="9"/>
          <w:pgMar w:top="1418" w:right="1134" w:bottom="851" w:left="1276" w:header="709" w:footer="709" w:gutter="0"/>
          <w:cols w:num="2" w:space="708"/>
          <w:titlePg/>
          <w:docGrid w:linePitch="360"/>
        </w:sectPr>
      </w:pPr>
    </w:p>
    <w:p w14:paraId="4F2566F6" w14:textId="77777777" w:rsidR="003D0F0E" w:rsidRPr="00B012F6" w:rsidRDefault="002A7385" w:rsidP="00C76C3A">
      <w:pPr>
        <w:pStyle w:val="Heading2"/>
        <w:numPr>
          <w:ilvl w:val="1"/>
          <w:numId w:val="3"/>
        </w:numPr>
        <w:ind w:hanging="270"/>
      </w:pPr>
      <w:bookmarkStart w:id="543" w:name="_Toc216029374"/>
      <w:r w:rsidRPr="00B012F6">
        <w:lastRenderedPageBreak/>
        <w:t>Изпълнение</w:t>
      </w:r>
      <w:r w:rsidR="003B3137" w:rsidRPr="00B012F6">
        <w:t xml:space="preserve"> на КФП към </w:t>
      </w:r>
      <w:r w:rsidR="00B4306D">
        <w:t>30.09</w:t>
      </w:r>
      <w:r w:rsidR="00B012F6" w:rsidRPr="00B012F6">
        <w:t>.</w:t>
      </w:r>
      <w:r w:rsidR="003B3137" w:rsidRPr="00B012F6">
        <w:t>2025</w:t>
      </w:r>
      <w:r w:rsidR="003D0F0E" w:rsidRPr="00B012F6">
        <w:t xml:space="preserve"> г.</w:t>
      </w:r>
      <w:bookmarkEnd w:id="543"/>
    </w:p>
    <w:p w14:paraId="68EBDA42" w14:textId="77777777" w:rsidR="00F53D6C" w:rsidRDefault="003D0F0E" w:rsidP="009B41DE">
      <w:pPr>
        <w:autoSpaceDE w:val="0"/>
        <w:autoSpaceDN w:val="0"/>
        <w:adjustRightInd w:val="0"/>
        <w:spacing w:after="60"/>
        <w:ind w:firstLine="1138"/>
        <w:jc w:val="right"/>
        <w:rPr>
          <w:rFonts w:eastAsia="Times New Roman" w:cs="Calibri"/>
          <w:bCs/>
          <w:sz w:val="18"/>
          <w:szCs w:val="18"/>
        </w:rPr>
      </w:pPr>
      <w:r w:rsidRPr="00B012F6">
        <w:rPr>
          <w:rFonts w:eastAsia="Times New Roman" w:cs="Calibri"/>
          <w:bCs/>
          <w:sz w:val="18"/>
          <w:szCs w:val="18"/>
        </w:rPr>
        <w:t xml:space="preserve"> </w:t>
      </w:r>
      <w:r w:rsidR="00F53D6C">
        <w:rPr>
          <w:rFonts w:eastAsia="Times New Roman" w:cs="Calibri"/>
          <w:bCs/>
          <w:sz w:val="18"/>
          <w:szCs w:val="18"/>
        </w:rPr>
        <w:t>(в млн. евро</w:t>
      </w:r>
      <w:r w:rsidR="003C0431" w:rsidRPr="00B012F6">
        <w:rPr>
          <w:rFonts w:eastAsia="Times New Roman" w:cs="Calibri"/>
          <w:bCs/>
          <w:sz w:val="18"/>
          <w:szCs w:val="18"/>
        </w:rPr>
        <w:t>)</w:t>
      </w:r>
    </w:p>
    <w:tbl>
      <w:tblPr>
        <w:tblW w:w="14811" w:type="dxa"/>
        <w:jc w:val="center"/>
        <w:tblLayout w:type="fixed"/>
        <w:tblLook w:val="04A0" w:firstRow="1" w:lastRow="0" w:firstColumn="1" w:lastColumn="0" w:noHBand="0" w:noVBand="1"/>
      </w:tblPr>
      <w:tblGrid>
        <w:gridCol w:w="6837"/>
        <w:gridCol w:w="1693"/>
        <w:gridCol w:w="1568"/>
        <w:gridCol w:w="1424"/>
        <w:gridCol w:w="1509"/>
        <w:gridCol w:w="1780"/>
      </w:tblGrid>
      <w:tr w:rsidR="009B41DE" w:rsidRPr="002E7DF5" w14:paraId="1BBCC3A7" w14:textId="77777777" w:rsidTr="00D81C97">
        <w:trPr>
          <w:trHeight w:val="33"/>
          <w:tblHeader/>
          <w:jc w:val="center"/>
        </w:trPr>
        <w:tc>
          <w:tcPr>
            <w:tcW w:w="6837" w:type="dxa"/>
            <w:vMerge w:val="restart"/>
            <w:tcBorders>
              <w:top w:val="single" w:sz="4" w:space="0" w:color="auto"/>
            </w:tcBorders>
            <w:shd w:val="clear" w:color="auto" w:fill="auto"/>
            <w:noWrap/>
            <w:vAlign w:val="center"/>
            <w:hideMark/>
          </w:tcPr>
          <w:p w14:paraId="3B210F96" w14:textId="77777777" w:rsidR="009B41DE" w:rsidRPr="002E7DF5" w:rsidRDefault="009B41DE" w:rsidP="00C23E6E">
            <w:pPr>
              <w:spacing w:after="0"/>
              <w:jc w:val="center"/>
              <w:rPr>
                <w:rFonts w:eastAsia="Times New Roman" w:cs="Times New Roman"/>
                <w:b/>
                <w:bCs/>
                <w:sz w:val="18"/>
                <w:szCs w:val="18"/>
                <w:lang w:val="en-US"/>
              </w:rPr>
            </w:pPr>
            <w:r>
              <w:rPr>
                <w:rFonts w:eastAsia="Times New Roman" w:cs="Times New Roman"/>
                <w:b/>
                <w:bCs/>
                <w:sz w:val="18"/>
                <w:szCs w:val="18"/>
              </w:rPr>
              <w:t>П</w:t>
            </w:r>
            <w:r w:rsidRPr="002E7DF5">
              <w:rPr>
                <w:rFonts w:eastAsia="Times New Roman" w:cs="Times New Roman"/>
                <w:b/>
                <w:bCs/>
                <w:sz w:val="18"/>
                <w:szCs w:val="18"/>
              </w:rPr>
              <w:t>ОКАЗАТЕЛ</w:t>
            </w:r>
          </w:p>
        </w:tc>
        <w:tc>
          <w:tcPr>
            <w:tcW w:w="1693" w:type="dxa"/>
            <w:vMerge w:val="restart"/>
            <w:tcBorders>
              <w:top w:val="single" w:sz="4" w:space="0" w:color="auto"/>
            </w:tcBorders>
            <w:shd w:val="clear" w:color="auto" w:fill="auto"/>
            <w:noWrap/>
            <w:vAlign w:val="center"/>
            <w:hideMark/>
          </w:tcPr>
          <w:p w14:paraId="7E5FBFC3" w14:textId="77777777" w:rsidR="009B41DE" w:rsidRDefault="009B41DE" w:rsidP="00C23E6E">
            <w:pPr>
              <w:spacing w:after="0"/>
              <w:ind w:hanging="110"/>
              <w:jc w:val="center"/>
              <w:rPr>
                <w:rFonts w:eastAsia="Times New Roman" w:cs="Times New Roman"/>
                <w:b/>
                <w:bCs/>
                <w:sz w:val="18"/>
                <w:szCs w:val="18"/>
              </w:rPr>
            </w:pPr>
            <w:r>
              <w:rPr>
                <w:rFonts w:eastAsia="Times New Roman" w:cs="Times New Roman"/>
                <w:b/>
                <w:bCs/>
                <w:sz w:val="18"/>
                <w:szCs w:val="18"/>
              </w:rPr>
              <w:t>Програма</w:t>
            </w:r>
            <w:r w:rsidRPr="00FC127B">
              <w:rPr>
                <w:rFonts w:eastAsia="Times New Roman" w:cs="Times New Roman"/>
                <w:b/>
                <w:bCs/>
                <w:sz w:val="18"/>
                <w:szCs w:val="18"/>
                <w:vertAlign w:val="superscript"/>
              </w:rPr>
              <w:footnoteReference w:id="55"/>
            </w:r>
            <w:r w:rsidRPr="002E7DF5">
              <w:rPr>
                <w:rFonts w:eastAsia="Times New Roman" w:cs="Times New Roman"/>
                <w:b/>
                <w:bCs/>
                <w:sz w:val="18"/>
                <w:szCs w:val="18"/>
              </w:rPr>
              <w:t xml:space="preserve"> </w:t>
            </w:r>
          </w:p>
          <w:p w14:paraId="3A4C869D" w14:textId="77777777" w:rsidR="009B41DE" w:rsidRPr="002E7DF5" w:rsidRDefault="009B41DE" w:rsidP="00C23E6E">
            <w:pPr>
              <w:spacing w:after="0"/>
              <w:ind w:hanging="110"/>
              <w:jc w:val="center"/>
              <w:rPr>
                <w:rFonts w:eastAsia="Times New Roman" w:cs="Times New Roman"/>
                <w:b/>
                <w:bCs/>
                <w:sz w:val="18"/>
                <w:szCs w:val="18"/>
                <w:lang w:val="en-US"/>
              </w:rPr>
            </w:pPr>
            <w:r w:rsidRPr="002E7DF5">
              <w:rPr>
                <w:rFonts w:eastAsia="Times New Roman" w:cs="Times New Roman"/>
                <w:b/>
                <w:bCs/>
                <w:sz w:val="18"/>
                <w:szCs w:val="18"/>
              </w:rPr>
              <w:t>20</w:t>
            </w:r>
            <w:r>
              <w:rPr>
                <w:rFonts w:eastAsia="Times New Roman" w:cs="Times New Roman"/>
                <w:b/>
                <w:bCs/>
                <w:sz w:val="18"/>
                <w:szCs w:val="18"/>
              </w:rPr>
              <w:t>25</w:t>
            </w:r>
            <w:r w:rsidRPr="002E7DF5">
              <w:rPr>
                <w:rFonts w:eastAsia="Times New Roman" w:cs="Times New Roman"/>
                <w:b/>
                <w:bCs/>
                <w:sz w:val="18"/>
                <w:szCs w:val="18"/>
              </w:rPr>
              <w:t xml:space="preserve"> г.</w:t>
            </w:r>
          </w:p>
        </w:tc>
        <w:tc>
          <w:tcPr>
            <w:tcW w:w="6281" w:type="dxa"/>
            <w:gridSpan w:val="4"/>
            <w:tcBorders>
              <w:top w:val="single" w:sz="4" w:space="0" w:color="auto"/>
            </w:tcBorders>
            <w:shd w:val="clear" w:color="auto" w:fill="F2F2F2" w:themeFill="background1" w:themeFillShade="F2"/>
            <w:noWrap/>
            <w:vAlign w:val="center"/>
            <w:hideMark/>
          </w:tcPr>
          <w:p w14:paraId="24D508BB" w14:textId="77777777" w:rsidR="009B41DE" w:rsidRPr="005D554A" w:rsidRDefault="009B41DE" w:rsidP="00C23E6E">
            <w:pPr>
              <w:spacing w:after="0"/>
              <w:jc w:val="center"/>
              <w:rPr>
                <w:rFonts w:eastAsia="Times New Roman" w:cs="Times New Roman"/>
                <w:b/>
                <w:bCs/>
                <w:sz w:val="18"/>
                <w:szCs w:val="18"/>
                <w:lang w:val="ru-RU"/>
              </w:rPr>
            </w:pPr>
            <w:r w:rsidRPr="002E7DF5">
              <w:rPr>
                <w:rFonts w:eastAsia="Times New Roman" w:cs="Times New Roman"/>
                <w:b/>
                <w:bCs/>
                <w:sz w:val="18"/>
                <w:szCs w:val="18"/>
              </w:rPr>
              <w:t>Отчет 3</w:t>
            </w:r>
            <w:r>
              <w:rPr>
                <w:rFonts w:eastAsia="Times New Roman" w:cs="Times New Roman"/>
                <w:b/>
                <w:bCs/>
                <w:sz w:val="18"/>
                <w:szCs w:val="18"/>
                <w:lang w:val="en-US"/>
              </w:rPr>
              <w:t>0</w:t>
            </w:r>
            <w:r w:rsidRPr="002E7DF5">
              <w:rPr>
                <w:rFonts w:eastAsia="Times New Roman" w:cs="Times New Roman"/>
                <w:b/>
                <w:bCs/>
                <w:sz w:val="18"/>
                <w:szCs w:val="18"/>
              </w:rPr>
              <w:t>.</w:t>
            </w:r>
            <w:r>
              <w:rPr>
                <w:rFonts w:eastAsia="Times New Roman" w:cs="Times New Roman"/>
                <w:b/>
                <w:bCs/>
                <w:sz w:val="18"/>
                <w:szCs w:val="18"/>
              </w:rPr>
              <w:t>0</w:t>
            </w:r>
            <w:r>
              <w:rPr>
                <w:rFonts w:eastAsia="Times New Roman" w:cs="Times New Roman"/>
                <w:b/>
                <w:bCs/>
                <w:sz w:val="18"/>
                <w:szCs w:val="18"/>
                <w:lang w:val="en-US"/>
              </w:rPr>
              <w:t>9</w:t>
            </w:r>
            <w:r w:rsidRPr="002E7DF5">
              <w:rPr>
                <w:rFonts w:eastAsia="Times New Roman" w:cs="Times New Roman"/>
                <w:b/>
                <w:bCs/>
                <w:sz w:val="18"/>
                <w:szCs w:val="18"/>
              </w:rPr>
              <w:t>.202</w:t>
            </w:r>
            <w:r>
              <w:rPr>
                <w:rFonts w:eastAsia="Times New Roman" w:cs="Times New Roman"/>
                <w:b/>
                <w:bCs/>
                <w:sz w:val="18"/>
                <w:szCs w:val="18"/>
              </w:rPr>
              <w:t>5</w:t>
            </w:r>
            <w:r w:rsidRPr="002E7DF5">
              <w:rPr>
                <w:rFonts w:eastAsia="Times New Roman" w:cs="Times New Roman"/>
                <w:b/>
                <w:bCs/>
                <w:sz w:val="18"/>
                <w:szCs w:val="18"/>
              </w:rPr>
              <w:t xml:space="preserve"> г.</w:t>
            </w:r>
          </w:p>
        </w:tc>
      </w:tr>
      <w:tr w:rsidR="009B41DE" w:rsidRPr="002E7DF5" w14:paraId="5AB483E0" w14:textId="77777777" w:rsidTr="00D81C97">
        <w:trPr>
          <w:trHeight w:val="472"/>
          <w:tblHeader/>
          <w:jc w:val="center"/>
        </w:trPr>
        <w:tc>
          <w:tcPr>
            <w:tcW w:w="6837" w:type="dxa"/>
            <w:vMerge/>
            <w:shd w:val="clear" w:color="auto" w:fill="auto"/>
            <w:vAlign w:val="center"/>
            <w:hideMark/>
          </w:tcPr>
          <w:p w14:paraId="33AAAFB7" w14:textId="77777777" w:rsidR="009B41DE" w:rsidRPr="005D554A" w:rsidRDefault="009B41DE" w:rsidP="00C23E6E">
            <w:pPr>
              <w:spacing w:after="0"/>
              <w:rPr>
                <w:rFonts w:eastAsia="Times New Roman" w:cs="Times New Roman"/>
                <w:b/>
                <w:bCs/>
                <w:sz w:val="18"/>
                <w:szCs w:val="18"/>
                <w:lang w:val="ru-RU"/>
              </w:rPr>
            </w:pPr>
          </w:p>
        </w:tc>
        <w:tc>
          <w:tcPr>
            <w:tcW w:w="1693" w:type="dxa"/>
            <w:vMerge/>
            <w:shd w:val="clear" w:color="auto" w:fill="auto"/>
            <w:vAlign w:val="center"/>
            <w:hideMark/>
          </w:tcPr>
          <w:p w14:paraId="3623D559" w14:textId="77777777" w:rsidR="009B41DE" w:rsidRPr="005D554A" w:rsidRDefault="009B41DE" w:rsidP="00C23E6E">
            <w:pPr>
              <w:spacing w:after="0"/>
              <w:ind w:hanging="110"/>
              <w:rPr>
                <w:rFonts w:eastAsia="Times New Roman" w:cs="Times New Roman"/>
                <w:b/>
                <w:bCs/>
                <w:sz w:val="18"/>
                <w:szCs w:val="18"/>
                <w:lang w:val="ru-RU"/>
              </w:rPr>
            </w:pPr>
          </w:p>
        </w:tc>
        <w:tc>
          <w:tcPr>
            <w:tcW w:w="1568" w:type="dxa"/>
            <w:shd w:val="clear" w:color="auto" w:fill="F2F2F2" w:themeFill="background1" w:themeFillShade="F2"/>
            <w:noWrap/>
            <w:vAlign w:val="center"/>
            <w:hideMark/>
          </w:tcPr>
          <w:p w14:paraId="17BC9751" w14:textId="77777777" w:rsidR="009B41DE" w:rsidRPr="005D554A" w:rsidRDefault="009B41DE" w:rsidP="00C23E6E">
            <w:pPr>
              <w:spacing w:after="0"/>
              <w:jc w:val="center"/>
              <w:rPr>
                <w:rFonts w:eastAsia="Times New Roman" w:cs="Times New Roman"/>
                <w:b/>
                <w:bCs/>
                <w:sz w:val="18"/>
                <w:szCs w:val="18"/>
                <w:lang w:val="ru-RU"/>
              </w:rPr>
            </w:pPr>
            <w:r w:rsidRPr="002E7DF5">
              <w:rPr>
                <w:rFonts w:eastAsia="Times New Roman" w:cs="Times New Roman"/>
                <w:b/>
                <w:bCs/>
                <w:sz w:val="18"/>
                <w:szCs w:val="18"/>
              </w:rPr>
              <w:t>КФП*</w:t>
            </w:r>
          </w:p>
        </w:tc>
        <w:tc>
          <w:tcPr>
            <w:tcW w:w="1424" w:type="dxa"/>
            <w:shd w:val="clear" w:color="auto" w:fill="F2F2F2" w:themeFill="background1" w:themeFillShade="F2"/>
            <w:vAlign w:val="center"/>
            <w:hideMark/>
          </w:tcPr>
          <w:p w14:paraId="3905CC0D" w14:textId="77777777" w:rsidR="009B41DE" w:rsidRPr="005D554A" w:rsidRDefault="009B41DE" w:rsidP="00C23E6E">
            <w:pPr>
              <w:spacing w:after="0"/>
              <w:ind w:right="-129"/>
              <w:jc w:val="center"/>
              <w:rPr>
                <w:rFonts w:eastAsia="Times New Roman" w:cs="Times New Roman"/>
                <w:b/>
                <w:bCs/>
                <w:sz w:val="18"/>
                <w:szCs w:val="18"/>
                <w:lang w:val="ru-RU"/>
              </w:rPr>
            </w:pPr>
            <w:r w:rsidRPr="002E7DF5">
              <w:rPr>
                <w:rFonts w:eastAsia="Times New Roman" w:cs="Times New Roman"/>
                <w:b/>
                <w:bCs/>
                <w:sz w:val="18"/>
                <w:szCs w:val="18"/>
              </w:rPr>
              <w:t>Национален бюджет</w:t>
            </w:r>
          </w:p>
        </w:tc>
        <w:tc>
          <w:tcPr>
            <w:tcW w:w="1509" w:type="dxa"/>
            <w:shd w:val="clear" w:color="auto" w:fill="F2F2F2" w:themeFill="background1" w:themeFillShade="F2"/>
            <w:vAlign w:val="center"/>
            <w:hideMark/>
          </w:tcPr>
          <w:p w14:paraId="2E71EF75" w14:textId="77777777" w:rsidR="009B41DE" w:rsidRPr="005D554A" w:rsidRDefault="009B41DE" w:rsidP="00C23E6E">
            <w:pPr>
              <w:spacing w:after="0"/>
              <w:jc w:val="center"/>
              <w:rPr>
                <w:rFonts w:eastAsia="Times New Roman" w:cs="Times New Roman"/>
                <w:b/>
                <w:bCs/>
                <w:sz w:val="18"/>
                <w:szCs w:val="18"/>
                <w:lang w:val="ru-RU"/>
              </w:rPr>
            </w:pPr>
            <w:r>
              <w:rPr>
                <w:rFonts w:eastAsia="Times New Roman" w:cs="Times New Roman"/>
                <w:b/>
                <w:bCs/>
                <w:sz w:val="18"/>
                <w:szCs w:val="18"/>
              </w:rPr>
              <w:t>ЕС</w:t>
            </w:r>
            <w:r w:rsidRPr="002E7DF5">
              <w:rPr>
                <w:rStyle w:val="FootnoteReference"/>
                <w:rFonts w:eastAsia="Times New Roman"/>
              </w:rPr>
              <w:footnoteReference w:id="56"/>
            </w:r>
          </w:p>
        </w:tc>
        <w:tc>
          <w:tcPr>
            <w:tcW w:w="1778" w:type="dxa"/>
            <w:shd w:val="clear" w:color="auto" w:fill="F2F2F2" w:themeFill="background1" w:themeFillShade="F2"/>
            <w:vAlign w:val="center"/>
            <w:hideMark/>
          </w:tcPr>
          <w:p w14:paraId="63FC2216" w14:textId="77777777" w:rsidR="009B41DE" w:rsidRPr="005D554A" w:rsidRDefault="009B41DE" w:rsidP="00C23E6E">
            <w:pPr>
              <w:spacing w:after="0"/>
              <w:jc w:val="center"/>
              <w:rPr>
                <w:rFonts w:eastAsia="Times New Roman" w:cs="Times New Roman"/>
                <w:b/>
                <w:bCs/>
                <w:sz w:val="18"/>
                <w:szCs w:val="18"/>
                <w:lang w:val="ru-RU"/>
              </w:rPr>
            </w:pPr>
            <w:r>
              <w:rPr>
                <w:rFonts w:eastAsia="Times New Roman" w:cs="Times New Roman"/>
                <w:b/>
                <w:bCs/>
                <w:sz w:val="18"/>
                <w:szCs w:val="18"/>
              </w:rPr>
              <w:t>с</w:t>
            </w:r>
            <w:r w:rsidRPr="002E7DF5">
              <w:rPr>
                <w:rFonts w:eastAsia="Times New Roman" w:cs="Times New Roman"/>
                <w:b/>
                <w:bCs/>
                <w:sz w:val="18"/>
                <w:szCs w:val="18"/>
              </w:rPr>
              <w:t>прямо</w:t>
            </w:r>
            <w:r>
              <w:rPr>
                <w:rFonts w:eastAsia="Times New Roman" w:cs="Times New Roman"/>
                <w:b/>
                <w:bCs/>
                <w:sz w:val="18"/>
                <w:szCs w:val="18"/>
              </w:rPr>
              <w:t xml:space="preserve"> Програма</w:t>
            </w:r>
            <w:r w:rsidRPr="002E7DF5">
              <w:rPr>
                <w:rFonts w:eastAsia="Times New Roman" w:cs="Times New Roman"/>
                <w:b/>
                <w:bCs/>
                <w:sz w:val="18"/>
                <w:szCs w:val="18"/>
              </w:rPr>
              <w:t xml:space="preserve">    20</w:t>
            </w:r>
            <w:r>
              <w:rPr>
                <w:rFonts w:eastAsia="Times New Roman" w:cs="Times New Roman"/>
                <w:b/>
                <w:bCs/>
                <w:sz w:val="18"/>
                <w:szCs w:val="18"/>
              </w:rPr>
              <w:t>25</w:t>
            </w:r>
            <w:r w:rsidRPr="002E7DF5">
              <w:rPr>
                <w:rFonts w:eastAsia="Times New Roman" w:cs="Times New Roman"/>
                <w:b/>
                <w:bCs/>
                <w:sz w:val="18"/>
                <w:szCs w:val="18"/>
              </w:rPr>
              <w:t xml:space="preserve"> г.</w:t>
            </w:r>
          </w:p>
        </w:tc>
      </w:tr>
      <w:tr w:rsidR="009B41DE" w:rsidRPr="002E7DF5" w14:paraId="5AFFDEBA" w14:textId="77777777" w:rsidTr="00D81C97">
        <w:trPr>
          <w:trHeight w:val="61"/>
          <w:tblHeader/>
          <w:jc w:val="center"/>
        </w:trPr>
        <w:tc>
          <w:tcPr>
            <w:tcW w:w="6837" w:type="dxa"/>
            <w:tcBorders>
              <w:bottom w:val="single" w:sz="4" w:space="0" w:color="auto"/>
            </w:tcBorders>
            <w:shd w:val="clear" w:color="auto" w:fill="auto"/>
            <w:noWrap/>
            <w:vAlign w:val="center"/>
            <w:hideMark/>
          </w:tcPr>
          <w:p w14:paraId="5A341911" w14:textId="77777777" w:rsidR="009B41DE" w:rsidRPr="005D554A" w:rsidRDefault="009B41DE" w:rsidP="00C23E6E">
            <w:pPr>
              <w:spacing w:after="0"/>
              <w:jc w:val="center"/>
              <w:rPr>
                <w:rFonts w:eastAsia="Times New Roman" w:cs="Times New Roman"/>
                <w:b/>
                <w:bCs/>
                <w:sz w:val="18"/>
                <w:szCs w:val="18"/>
                <w:lang w:val="ru-RU"/>
              </w:rPr>
            </w:pPr>
            <w:r w:rsidRPr="002E7DF5">
              <w:rPr>
                <w:rFonts w:eastAsia="Times New Roman" w:cs="Times New Roman"/>
                <w:b/>
                <w:bCs/>
                <w:sz w:val="18"/>
                <w:szCs w:val="18"/>
              </w:rPr>
              <w:t>к.</w:t>
            </w:r>
            <w:r w:rsidRPr="002E7DF5">
              <w:rPr>
                <w:rFonts w:eastAsia="Times New Roman" w:cs="Times New Roman"/>
                <w:b/>
                <w:bCs/>
                <w:sz w:val="16"/>
                <w:szCs w:val="16"/>
              </w:rPr>
              <w:t>1</w:t>
            </w:r>
          </w:p>
        </w:tc>
        <w:tc>
          <w:tcPr>
            <w:tcW w:w="1693" w:type="dxa"/>
            <w:tcBorders>
              <w:bottom w:val="single" w:sz="4" w:space="0" w:color="auto"/>
            </w:tcBorders>
            <w:shd w:val="clear" w:color="auto" w:fill="auto"/>
            <w:noWrap/>
            <w:vAlign w:val="center"/>
            <w:hideMark/>
          </w:tcPr>
          <w:p w14:paraId="1BB28236" w14:textId="77777777" w:rsidR="009B41DE" w:rsidRPr="005D554A" w:rsidRDefault="009B41DE" w:rsidP="00C23E6E">
            <w:pPr>
              <w:spacing w:after="0"/>
              <w:ind w:hanging="110"/>
              <w:jc w:val="center"/>
              <w:rPr>
                <w:rFonts w:eastAsia="Times New Roman" w:cs="Times New Roman"/>
                <w:b/>
                <w:bCs/>
                <w:sz w:val="14"/>
                <w:szCs w:val="14"/>
                <w:lang w:val="ru-RU"/>
              </w:rPr>
            </w:pPr>
            <w:r w:rsidRPr="002E7DF5">
              <w:rPr>
                <w:rFonts w:eastAsia="Times New Roman" w:cs="Times New Roman"/>
                <w:b/>
                <w:bCs/>
                <w:sz w:val="14"/>
                <w:szCs w:val="14"/>
              </w:rPr>
              <w:t>к.2</w:t>
            </w:r>
          </w:p>
        </w:tc>
        <w:tc>
          <w:tcPr>
            <w:tcW w:w="1568" w:type="dxa"/>
            <w:tcBorders>
              <w:bottom w:val="single" w:sz="4" w:space="0" w:color="auto"/>
            </w:tcBorders>
            <w:shd w:val="clear" w:color="auto" w:fill="F2F2F2" w:themeFill="background1" w:themeFillShade="F2"/>
            <w:noWrap/>
            <w:vAlign w:val="center"/>
            <w:hideMark/>
          </w:tcPr>
          <w:p w14:paraId="2A3A0DB6" w14:textId="77777777" w:rsidR="009B41DE" w:rsidRPr="005D554A" w:rsidRDefault="009B41DE" w:rsidP="00C23E6E">
            <w:pPr>
              <w:spacing w:after="0"/>
              <w:jc w:val="center"/>
              <w:rPr>
                <w:rFonts w:eastAsia="Times New Roman" w:cs="Times New Roman"/>
                <w:b/>
                <w:bCs/>
                <w:sz w:val="14"/>
                <w:szCs w:val="14"/>
                <w:lang w:val="ru-RU"/>
              </w:rPr>
            </w:pPr>
            <w:r w:rsidRPr="002E7DF5">
              <w:rPr>
                <w:rFonts w:eastAsia="Times New Roman" w:cs="Times New Roman"/>
                <w:b/>
                <w:bCs/>
                <w:sz w:val="14"/>
                <w:szCs w:val="14"/>
              </w:rPr>
              <w:t>к.3=к.4+к.5</w:t>
            </w:r>
          </w:p>
        </w:tc>
        <w:tc>
          <w:tcPr>
            <w:tcW w:w="1424" w:type="dxa"/>
            <w:tcBorders>
              <w:bottom w:val="single" w:sz="4" w:space="0" w:color="auto"/>
            </w:tcBorders>
            <w:shd w:val="clear" w:color="auto" w:fill="F2F2F2" w:themeFill="background1" w:themeFillShade="F2"/>
            <w:noWrap/>
            <w:vAlign w:val="center"/>
            <w:hideMark/>
          </w:tcPr>
          <w:p w14:paraId="102CCC85" w14:textId="77777777" w:rsidR="009B41DE" w:rsidRPr="005D554A" w:rsidRDefault="009B41DE" w:rsidP="00C23E6E">
            <w:pPr>
              <w:spacing w:after="0"/>
              <w:ind w:right="-129"/>
              <w:jc w:val="center"/>
              <w:rPr>
                <w:rFonts w:eastAsia="Times New Roman" w:cs="Times New Roman"/>
                <w:b/>
                <w:bCs/>
                <w:sz w:val="14"/>
                <w:szCs w:val="14"/>
                <w:lang w:val="ru-RU"/>
              </w:rPr>
            </w:pPr>
            <w:r w:rsidRPr="002E7DF5">
              <w:rPr>
                <w:rFonts w:eastAsia="Times New Roman" w:cs="Times New Roman"/>
                <w:b/>
                <w:bCs/>
                <w:sz w:val="14"/>
                <w:szCs w:val="14"/>
              </w:rPr>
              <w:t>к.4</w:t>
            </w:r>
          </w:p>
        </w:tc>
        <w:tc>
          <w:tcPr>
            <w:tcW w:w="1509" w:type="dxa"/>
            <w:tcBorders>
              <w:bottom w:val="single" w:sz="4" w:space="0" w:color="auto"/>
            </w:tcBorders>
            <w:shd w:val="clear" w:color="auto" w:fill="F2F2F2" w:themeFill="background1" w:themeFillShade="F2"/>
            <w:noWrap/>
            <w:vAlign w:val="center"/>
            <w:hideMark/>
          </w:tcPr>
          <w:p w14:paraId="21AED625" w14:textId="77777777" w:rsidR="009B41DE" w:rsidRPr="005D554A" w:rsidRDefault="009B41DE" w:rsidP="00C23E6E">
            <w:pPr>
              <w:spacing w:after="0"/>
              <w:jc w:val="center"/>
              <w:rPr>
                <w:rFonts w:eastAsia="Times New Roman" w:cs="Times New Roman"/>
                <w:b/>
                <w:bCs/>
                <w:sz w:val="14"/>
                <w:szCs w:val="14"/>
                <w:lang w:val="ru-RU"/>
              </w:rPr>
            </w:pPr>
            <w:r w:rsidRPr="002E7DF5">
              <w:rPr>
                <w:rFonts w:eastAsia="Times New Roman" w:cs="Times New Roman"/>
                <w:b/>
                <w:bCs/>
                <w:sz w:val="14"/>
                <w:szCs w:val="14"/>
              </w:rPr>
              <w:t>к.5</w:t>
            </w:r>
          </w:p>
        </w:tc>
        <w:tc>
          <w:tcPr>
            <w:tcW w:w="1778" w:type="dxa"/>
            <w:tcBorders>
              <w:bottom w:val="single" w:sz="4" w:space="0" w:color="auto"/>
            </w:tcBorders>
            <w:shd w:val="clear" w:color="auto" w:fill="F2F2F2" w:themeFill="background1" w:themeFillShade="F2"/>
            <w:noWrap/>
            <w:vAlign w:val="center"/>
            <w:hideMark/>
          </w:tcPr>
          <w:p w14:paraId="4B5A1C63" w14:textId="77777777" w:rsidR="009B41DE" w:rsidRPr="005D554A" w:rsidRDefault="009B41DE" w:rsidP="00C23E6E">
            <w:pPr>
              <w:spacing w:after="0"/>
              <w:jc w:val="center"/>
              <w:rPr>
                <w:rFonts w:eastAsia="Times New Roman" w:cs="Times New Roman"/>
                <w:b/>
                <w:bCs/>
                <w:sz w:val="14"/>
                <w:szCs w:val="14"/>
                <w:lang w:val="ru-RU"/>
              </w:rPr>
            </w:pPr>
            <w:r w:rsidRPr="002E7DF5">
              <w:rPr>
                <w:rFonts w:eastAsia="Times New Roman" w:cs="Times New Roman"/>
                <w:b/>
                <w:bCs/>
                <w:sz w:val="14"/>
                <w:szCs w:val="14"/>
              </w:rPr>
              <w:t>к.</w:t>
            </w:r>
            <w:r>
              <w:rPr>
                <w:rFonts w:eastAsia="Times New Roman" w:cs="Times New Roman"/>
                <w:b/>
                <w:bCs/>
                <w:sz w:val="14"/>
                <w:szCs w:val="14"/>
              </w:rPr>
              <w:t>6</w:t>
            </w:r>
            <w:r w:rsidRPr="002E7DF5">
              <w:rPr>
                <w:rFonts w:eastAsia="Times New Roman" w:cs="Times New Roman"/>
                <w:b/>
                <w:bCs/>
                <w:sz w:val="14"/>
                <w:szCs w:val="14"/>
              </w:rPr>
              <w:t>=к.</w:t>
            </w:r>
            <w:r>
              <w:rPr>
                <w:rFonts w:eastAsia="Times New Roman" w:cs="Times New Roman"/>
                <w:b/>
                <w:bCs/>
                <w:sz w:val="14"/>
                <w:szCs w:val="14"/>
              </w:rPr>
              <w:t>3</w:t>
            </w:r>
            <w:r w:rsidRPr="002E7DF5">
              <w:rPr>
                <w:rFonts w:eastAsia="Times New Roman" w:cs="Times New Roman"/>
                <w:b/>
                <w:bCs/>
                <w:sz w:val="14"/>
                <w:szCs w:val="14"/>
              </w:rPr>
              <w:t>:к.2</w:t>
            </w:r>
          </w:p>
        </w:tc>
      </w:tr>
      <w:tr w:rsidR="009B41DE" w:rsidRPr="002E7DF5" w14:paraId="1D716F83" w14:textId="77777777" w:rsidTr="009B41DE">
        <w:trPr>
          <w:trHeight w:val="134"/>
          <w:jc w:val="center"/>
        </w:trPr>
        <w:tc>
          <w:tcPr>
            <w:tcW w:w="6837" w:type="dxa"/>
            <w:tcBorders>
              <w:top w:val="single" w:sz="4" w:space="0" w:color="auto"/>
            </w:tcBorders>
            <w:shd w:val="clear" w:color="auto" w:fill="auto"/>
            <w:noWrap/>
            <w:vAlign w:val="center"/>
            <w:hideMark/>
          </w:tcPr>
          <w:p w14:paraId="25105A77" w14:textId="77777777" w:rsidR="009B41DE" w:rsidRPr="007D2EF6" w:rsidRDefault="009B41DE" w:rsidP="00C23E6E">
            <w:pPr>
              <w:spacing w:after="0"/>
              <w:rPr>
                <w:rFonts w:eastAsia="Times New Roman" w:cs="Times New Roman"/>
                <w:b/>
                <w:bCs/>
                <w:sz w:val="18"/>
                <w:szCs w:val="18"/>
                <w:lang w:val="ru-RU"/>
              </w:rPr>
            </w:pPr>
            <w:r w:rsidRPr="002E7DF5">
              <w:rPr>
                <w:rFonts w:eastAsia="Times New Roman" w:cs="Times New Roman"/>
                <w:b/>
                <w:bCs/>
                <w:sz w:val="18"/>
                <w:szCs w:val="18"/>
              </w:rPr>
              <w:t>ПРИХОДИ, ПОМОЩИ И ДАРЕНИЯ</w:t>
            </w:r>
          </w:p>
        </w:tc>
        <w:tc>
          <w:tcPr>
            <w:tcW w:w="1693" w:type="dxa"/>
            <w:tcBorders>
              <w:top w:val="single" w:sz="4" w:space="0" w:color="auto"/>
            </w:tcBorders>
            <w:shd w:val="clear" w:color="auto" w:fill="auto"/>
            <w:noWrap/>
          </w:tcPr>
          <w:p w14:paraId="7F6B5959" w14:textId="77777777" w:rsidR="009B41DE" w:rsidRPr="0025514C" w:rsidRDefault="009B41DE" w:rsidP="00C23E6E">
            <w:pPr>
              <w:spacing w:after="0"/>
              <w:ind w:hanging="110"/>
              <w:jc w:val="right"/>
              <w:rPr>
                <w:rFonts w:cs="Times New Roman"/>
                <w:b/>
                <w:bCs/>
                <w:sz w:val="18"/>
                <w:szCs w:val="18"/>
              </w:rPr>
            </w:pPr>
            <w:r>
              <w:rPr>
                <w:rFonts w:cs="Times New Roman"/>
                <w:b/>
                <w:bCs/>
                <w:sz w:val="18"/>
                <w:szCs w:val="18"/>
              </w:rPr>
              <w:t>46 154,7</w:t>
            </w:r>
          </w:p>
        </w:tc>
        <w:tc>
          <w:tcPr>
            <w:tcW w:w="1568" w:type="dxa"/>
            <w:tcBorders>
              <w:top w:val="single" w:sz="4" w:space="0" w:color="auto"/>
            </w:tcBorders>
            <w:shd w:val="clear" w:color="auto" w:fill="F2F2F2" w:themeFill="background1" w:themeFillShade="F2"/>
            <w:noWrap/>
            <w:vAlign w:val="bottom"/>
          </w:tcPr>
          <w:p w14:paraId="544FAE88" w14:textId="77777777" w:rsidR="009B41DE" w:rsidRPr="00806829" w:rsidRDefault="009B41DE" w:rsidP="00C23E6E">
            <w:pPr>
              <w:spacing w:after="0"/>
              <w:jc w:val="right"/>
              <w:rPr>
                <w:rFonts w:cs="Times New Roman"/>
                <w:b/>
                <w:bCs/>
                <w:sz w:val="18"/>
                <w:szCs w:val="18"/>
              </w:rPr>
            </w:pPr>
            <w:r>
              <w:rPr>
                <w:rFonts w:cs="Times New Roman"/>
                <w:b/>
                <w:bCs/>
                <w:sz w:val="18"/>
                <w:szCs w:val="18"/>
              </w:rPr>
              <w:t>30 553,6</w:t>
            </w:r>
          </w:p>
        </w:tc>
        <w:tc>
          <w:tcPr>
            <w:tcW w:w="1424" w:type="dxa"/>
            <w:tcBorders>
              <w:top w:val="single" w:sz="4" w:space="0" w:color="auto"/>
            </w:tcBorders>
            <w:shd w:val="clear" w:color="auto" w:fill="F2F2F2" w:themeFill="background1" w:themeFillShade="F2"/>
            <w:noWrap/>
            <w:vAlign w:val="bottom"/>
          </w:tcPr>
          <w:p w14:paraId="0FE77359" w14:textId="77777777" w:rsidR="009B41DE" w:rsidRPr="00023984" w:rsidRDefault="009B41DE" w:rsidP="00C23E6E">
            <w:pPr>
              <w:spacing w:after="0"/>
              <w:jc w:val="right"/>
              <w:rPr>
                <w:rFonts w:cs="Times New Roman"/>
                <w:b/>
                <w:bCs/>
                <w:sz w:val="18"/>
                <w:szCs w:val="18"/>
              </w:rPr>
            </w:pPr>
            <w:r>
              <w:rPr>
                <w:rFonts w:cs="Times New Roman"/>
                <w:b/>
                <w:bCs/>
                <w:sz w:val="18"/>
                <w:szCs w:val="18"/>
              </w:rPr>
              <w:t>29 619,1</w:t>
            </w:r>
          </w:p>
        </w:tc>
        <w:tc>
          <w:tcPr>
            <w:tcW w:w="1509" w:type="dxa"/>
            <w:tcBorders>
              <w:top w:val="single" w:sz="4" w:space="0" w:color="auto"/>
            </w:tcBorders>
            <w:shd w:val="clear" w:color="auto" w:fill="F2F2F2" w:themeFill="background1" w:themeFillShade="F2"/>
            <w:noWrap/>
            <w:vAlign w:val="bottom"/>
          </w:tcPr>
          <w:p w14:paraId="3D40CBF0" w14:textId="77777777" w:rsidR="009B41DE" w:rsidRPr="00124E4C" w:rsidRDefault="009B41DE" w:rsidP="00C23E6E">
            <w:pPr>
              <w:spacing w:after="0"/>
              <w:jc w:val="right"/>
              <w:rPr>
                <w:rFonts w:cs="Times New Roman"/>
                <w:b/>
                <w:bCs/>
                <w:sz w:val="18"/>
                <w:szCs w:val="18"/>
              </w:rPr>
            </w:pPr>
            <w:r>
              <w:rPr>
                <w:rFonts w:cs="Times New Roman"/>
                <w:b/>
                <w:bCs/>
                <w:sz w:val="18"/>
                <w:szCs w:val="18"/>
              </w:rPr>
              <w:t>934,4</w:t>
            </w:r>
          </w:p>
        </w:tc>
        <w:tc>
          <w:tcPr>
            <w:tcW w:w="1778" w:type="dxa"/>
            <w:tcBorders>
              <w:top w:val="single" w:sz="4" w:space="0" w:color="auto"/>
            </w:tcBorders>
            <w:shd w:val="clear" w:color="auto" w:fill="F2F2F2" w:themeFill="background1" w:themeFillShade="F2"/>
            <w:noWrap/>
            <w:vAlign w:val="bottom"/>
          </w:tcPr>
          <w:p w14:paraId="79DC8F46" w14:textId="77777777" w:rsidR="009B41DE" w:rsidRPr="000057FD" w:rsidRDefault="009B41DE" w:rsidP="00C23E6E">
            <w:pPr>
              <w:spacing w:after="0"/>
              <w:jc w:val="right"/>
              <w:rPr>
                <w:rFonts w:cs="Times New Roman"/>
                <w:b/>
                <w:bCs/>
                <w:sz w:val="18"/>
                <w:szCs w:val="18"/>
              </w:rPr>
            </w:pPr>
            <w:r>
              <w:rPr>
                <w:rFonts w:cs="Times New Roman"/>
                <w:b/>
                <w:bCs/>
                <w:sz w:val="18"/>
                <w:szCs w:val="18"/>
              </w:rPr>
              <w:t>66,2</w:t>
            </w:r>
            <w:r w:rsidRPr="00F3430E">
              <w:rPr>
                <w:rFonts w:cs="Times New Roman"/>
                <w:b/>
                <w:bCs/>
                <w:sz w:val="18"/>
                <w:szCs w:val="18"/>
              </w:rPr>
              <w:t>%</w:t>
            </w:r>
          </w:p>
        </w:tc>
      </w:tr>
      <w:tr w:rsidR="009B41DE" w:rsidRPr="002E7DF5" w14:paraId="2661A4B1" w14:textId="77777777" w:rsidTr="009B41DE">
        <w:trPr>
          <w:trHeight w:val="167"/>
          <w:jc w:val="center"/>
        </w:trPr>
        <w:tc>
          <w:tcPr>
            <w:tcW w:w="6837" w:type="dxa"/>
            <w:shd w:val="clear" w:color="auto" w:fill="auto"/>
            <w:noWrap/>
            <w:vAlign w:val="center"/>
            <w:hideMark/>
          </w:tcPr>
          <w:p w14:paraId="23CFAA77" w14:textId="77777777" w:rsidR="009B41DE" w:rsidRPr="007D2EF6" w:rsidRDefault="009B41DE" w:rsidP="00C23E6E">
            <w:pPr>
              <w:spacing w:after="0"/>
              <w:rPr>
                <w:rFonts w:eastAsia="Times New Roman" w:cs="Times New Roman"/>
                <w:sz w:val="18"/>
                <w:szCs w:val="18"/>
                <w:lang w:val="ru-RU"/>
              </w:rPr>
            </w:pPr>
            <w:r w:rsidRPr="002E7DF5">
              <w:rPr>
                <w:rFonts w:eastAsia="Times New Roman" w:cs="Times New Roman"/>
                <w:sz w:val="18"/>
                <w:szCs w:val="18"/>
              </w:rPr>
              <w:t>Данъчни приходи</w:t>
            </w:r>
          </w:p>
        </w:tc>
        <w:tc>
          <w:tcPr>
            <w:tcW w:w="1693" w:type="dxa"/>
            <w:shd w:val="clear" w:color="auto" w:fill="auto"/>
            <w:noWrap/>
          </w:tcPr>
          <w:p w14:paraId="70CB61B5" w14:textId="77777777" w:rsidR="009B41DE" w:rsidRPr="007D2EF6" w:rsidRDefault="009B41DE" w:rsidP="00C23E6E">
            <w:pPr>
              <w:spacing w:after="0"/>
              <w:ind w:hanging="110"/>
              <w:jc w:val="right"/>
              <w:rPr>
                <w:rFonts w:cs="Times New Roman"/>
                <w:bCs/>
                <w:sz w:val="18"/>
                <w:szCs w:val="18"/>
                <w:lang w:val="ru-RU"/>
              </w:rPr>
            </w:pPr>
            <w:r>
              <w:rPr>
                <w:rFonts w:cs="Times New Roman"/>
                <w:bCs/>
                <w:sz w:val="18"/>
                <w:szCs w:val="18"/>
                <w:lang w:val="ru-RU"/>
              </w:rPr>
              <w:t>36 221,5</w:t>
            </w:r>
          </w:p>
        </w:tc>
        <w:tc>
          <w:tcPr>
            <w:tcW w:w="1568" w:type="dxa"/>
            <w:shd w:val="clear" w:color="auto" w:fill="F2F2F2" w:themeFill="background1" w:themeFillShade="F2"/>
            <w:noWrap/>
            <w:vAlign w:val="bottom"/>
          </w:tcPr>
          <w:p w14:paraId="45704BB9" w14:textId="77777777" w:rsidR="009B41DE" w:rsidRPr="00124E4C" w:rsidRDefault="009B41DE" w:rsidP="00C23E6E">
            <w:pPr>
              <w:spacing w:after="0"/>
              <w:jc w:val="right"/>
              <w:rPr>
                <w:rFonts w:cs="Times New Roman"/>
                <w:sz w:val="18"/>
                <w:szCs w:val="18"/>
              </w:rPr>
            </w:pPr>
            <w:r>
              <w:rPr>
                <w:rFonts w:cs="Times New Roman"/>
                <w:sz w:val="18"/>
                <w:szCs w:val="18"/>
              </w:rPr>
              <w:t>24 749,1</w:t>
            </w:r>
          </w:p>
        </w:tc>
        <w:tc>
          <w:tcPr>
            <w:tcW w:w="1424" w:type="dxa"/>
            <w:shd w:val="clear" w:color="auto" w:fill="F2F2F2" w:themeFill="background1" w:themeFillShade="F2"/>
            <w:noWrap/>
            <w:vAlign w:val="bottom"/>
          </w:tcPr>
          <w:p w14:paraId="0015D280" w14:textId="77777777" w:rsidR="009B41DE" w:rsidRPr="00FB45A5" w:rsidRDefault="009B41DE" w:rsidP="00C23E6E">
            <w:pPr>
              <w:spacing w:after="0"/>
              <w:jc w:val="right"/>
              <w:rPr>
                <w:rFonts w:cs="Times New Roman"/>
                <w:bCs/>
                <w:sz w:val="18"/>
                <w:szCs w:val="18"/>
              </w:rPr>
            </w:pPr>
            <w:r>
              <w:rPr>
                <w:rFonts w:cs="Times New Roman"/>
                <w:bCs/>
                <w:sz w:val="18"/>
                <w:szCs w:val="18"/>
              </w:rPr>
              <w:t>24 749,1</w:t>
            </w:r>
          </w:p>
        </w:tc>
        <w:tc>
          <w:tcPr>
            <w:tcW w:w="1509" w:type="dxa"/>
            <w:shd w:val="clear" w:color="auto" w:fill="F2F2F2" w:themeFill="background1" w:themeFillShade="F2"/>
            <w:noWrap/>
            <w:vAlign w:val="bottom"/>
          </w:tcPr>
          <w:p w14:paraId="60392741" w14:textId="77777777" w:rsidR="009B41DE" w:rsidRPr="00FB45A5" w:rsidRDefault="009B41DE" w:rsidP="00C23E6E">
            <w:pPr>
              <w:spacing w:after="0"/>
              <w:jc w:val="right"/>
              <w:rPr>
                <w:rFonts w:cs="Times New Roman"/>
                <w:sz w:val="18"/>
                <w:szCs w:val="18"/>
              </w:rPr>
            </w:pPr>
            <w:r>
              <w:rPr>
                <w:rFonts w:cs="Times New Roman"/>
                <w:sz w:val="18"/>
                <w:szCs w:val="18"/>
              </w:rPr>
              <w:t>0,0</w:t>
            </w:r>
          </w:p>
        </w:tc>
        <w:tc>
          <w:tcPr>
            <w:tcW w:w="1778" w:type="dxa"/>
            <w:shd w:val="clear" w:color="auto" w:fill="F2F2F2" w:themeFill="background1" w:themeFillShade="F2"/>
            <w:noWrap/>
            <w:vAlign w:val="bottom"/>
          </w:tcPr>
          <w:p w14:paraId="0BA3CFA5" w14:textId="77777777" w:rsidR="009B41DE" w:rsidRPr="003A22CC" w:rsidRDefault="009B41DE" w:rsidP="00C23E6E">
            <w:pPr>
              <w:spacing w:after="0"/>
              <w:jc w:val="right"/>
              <w:rPr>
                <w:rFonts w:cs="Times New Roman"/>
                <w:sz w:val="18"/>
                <w:szCs w:val="18"/>
              </w:rPr>
            </w:pPr>
            <w:r>
              <w:rPr>
                <w:rFonts w:cs="Times New Roman"/>
                <w:sz w:val="18"/>
                <w:szCs w:val="18"/>
              </w:rPr>
              <w:t>68,3</w:t>
            </w:r>
            <w:r w:rsidRPr="00F3430E">
              <w:rPr>
                <w:rFonts w:cs="Times New Roman"/>
                <w:sz w:val="18"/>
                <w:szCs w:val="18"/>
              </w:rPr>
              <w:t>%</w:t>
            </w:r>
          </w:p>
        </w:tc>
      </w:tr>
      <w:tr w:rsidR="009B41DE" w:rsidRPr="002E7DF5" w14:paraId="2F70F2CE" w14:textId="77777777" w:rsidTr="009B41DE">
        <w:trPr>
          <w:trHeight w:val="265"/>
          <w:jc w:val="center"/>
        </w:trPr>
        <w:tc>
          <w:tcPr>
            <w:tcW w:w="6837" w:type="dxa"/>
            <w:shd w:val="clear" w:color="auto" w:fill="auto"/>
            <w:noWrap/>
            <w:vAlign w:val="center"/>
            <w:hideMark/>
          </w:tcPr>
          <w:p w14:paraId="0AF7D32D" w14:textId="77777777" w:rsidR="009B41DE" w:rsidRPr="002E7DF5" w:rsidRDefault="009B41DE" w:rsidP="00C23E6E">
            <w:pPr>
              <w:spacing w:after="0"/>
              <w:rPr>
                <w:rFonts w:eastAsia="Times New Roman" w:cs="Times New Roman"/>
                <w:sz w:val="18"/>
                <w:szCs w:val="18"/>
                <w:lang w:val="en-US"/>
              </w:rPr>
            </w:pPr>
            <w:r w:rsidRPr="002E7DF5">
              <w:rPr>
                <w:rFonts w:eastAsia="Times New Roman" w:cs="Times New Roman"/>
                <w:sz w:val="18"/>
                <w:szCs w:val="18"/>
              </w:rPr>
              <w:t xml:space="preserve">    Преки данъци</w:t>
            </w:r>
          </w:p>
        </w:tc>
        <w:tc>
          <w:tcPr>
            <w:tcW w:w="1693" w:type="dxa"/>
            <w:shd w:val="clear" w:color="auto" w:fill="auto"/>
            <w:noWrap/>
          </w:tcPr>
          <w:p w14:paraId="606D13A7" w14:textId="77777777" w:rsidR="009B41DE" w:rsidRPr="00605173" w:rsidRDefault="009B41DE" w:rsidP="00C23E6E">
            <w:pPr>
              <w:spacing w:after="0"/>
              <w:ind w:hanging="110"/>
              <w:jc w:val="right"/>
              <w:rPr>
                <w:rFonts w:cs="Times New Roman"/>
                <w:bCs/>
                <w:sz w:val="18"/>
                <w:szCs w:val="18"/>
              </w:rPr>
            </w:pPr>
            <w:r>
              <w:rPr>
                <w:rFonts w:cs="Times New Roman"/>
                <w:bCs/>
                <w:sz w:val="18"/>
                <w:szCs w:val="18"/>
              </w:rPr>
              <w:t>7 480,4</w:t>
            </w:r>
          </w:p>
        </w:tc>
        <w:tc>
          <w:tcPr>
            <w:tcW w:w="1568" w:type="dxa"/>
            <w:shd w:val="clear" w:color="auto" w:fill="F2F2F2" w:themeFill="background1" w:themeFillShade="F2"/>
            <w:noWrap/>
            <w:vAlign w:val="bottom"/>
          </w:tcPr>
          <w:p w14:paraId="5397D13F" w14:textId="77777777" w:rsidR="009B41DE" w:rsidRPr="00124E4C" w:rsidRDefault="009B41DE" w:rsidP="00C23E6E">
            <w:pPr>
              <w:spacing w:after="0"/>
              <w:jc w:val="right"/>
              <w:rPr>
                <w:rFonts w:cs="Times New Roman"/>
                <w:sz w:val="18"/>
                <w:szCs w:val="18"/>
              </w:rPr>
            </w:pPr>
            <w:r>
              <w:rPr>
                <w:rFonts w:cs="Times New Roman"/>
                <w:sz w:val="18"/>
                <w:szCs w:val="18"/>
              </w:rPr>
              <w:t>5 192,6</w:t>
            </w:r>
          </w:p>
        </w:tc>
        <w:tc>
          <w:tcPr>
            <w:tcW w:w="1424" w:type="dxa"/>
            <w:shd w:val="clear" w:color="auto" w:fill="F2F2F2" w:themeFill="background1" w:themeFillShade="F2"/>
            <w:noWrap/>
            <w:vAlign w:val="bottom"/>
          </w:tcPr>
          <w:p w14:paraId="02434717" w14:textId="77777777" w:rsidR="009B41DE" w:rsidRPr="00124E4C" w:rsidRDefault="009B41DE" w:rsidP="00C23E6E">
            <w:pPr>
              <w:spacing w:after="0"/>
              <w:jc w:val="right"/>
              <w:rPr>
                <w:rFonts w:cs="Times New Roman"/>
                <w:sz w:val="18"/>
                <w:szCs w:val="18"/>
              </w:rPr>
            </w:pPr>
            <w:r>
              <w:rPr>
                <w:rFonts w:cs="Times New Roman"/>
                <w:sz w:val="18"/>
                <w:szCs w:val="18"/>
              </w:rPr>
              <w:t>5 192,6</w:t>
            </w:r>
          </w:p>
        </w:tc>
        <w:tc>
          <w:tcPr>
            <w:tcW w:w="1509" w:type="dxa"/>
            <w:shd w:val="clear" w:color="auto" w:fill="F2F2F2" w:themeFill="background1" w:themeFillShade="F2"/>
            <w:noWrap/>
          </w:tcPr>
          <w:p w14:paraId="6A0AF1BA" w14:textId="77777777" w:rsidR="009B41DE" w:rsidRPr="00FB45A5" w:rsidRDefault="009B41DE" w:rsidP="00C23E6E">
            <w:pPr>
              <w:spacing w:after="0"/>
              <w:jc w:val="right"/>
              <w:rPr>
                <w:rFonts w:eastAsia="Times New Roman" w:cs="Times New Roman"/>
                <w:bCs/>
                <w:sz w:val="18"/>
                <w:szCs w:val="18"/>
              </w:rPr>
            </w:pPr>
          </w:p>
        </w:tc>
        <w:tc>
          <w:tcPr>
            <w:tcW w:w="1778" w:type="dxa"/>
            <w:shd w:val="clear" w:color="auto" w:fill="F2F2F2" w:themeFill="background1" w:themeFillShade="F2"/>
            <w:noWrap/>
            <w:hideMark/>
          </w:tcPr>
          <w:p w14:paraId="40E86B80" w14:textId="77777777" w:rsidR="009B41DE" w:rsidRPr="003A22CC" w:rsidRDefault="009B41DE" w:rsidP="00C23E6E">
            <w:pPr>
              <w:spacing w:after="0"/>
              <w:jc w:val="right"/>
              <w:rPr>
                <w:rFonts w:eastAsia="Times New Roman" w:cs="Times New Roman"/>
                <w:bCs/>
                <w:sz w:val="18"/>
                <w:szCs w:val="18"/>
              </w:rPr>
            </w:pPr>
            <w:r>
              <w:rPr>
                <w:rFonts w:eastAsia="Times New Roman" w:cs="Times New Roman"/>
                <w:bCs/>
                <w:sz w:val="18"/>
                <w:szCs w:val="18"/>
              </w:rPr>
              <w:t>69,4</w:t>
            </w:r>
            <w:r w:rsidRPr="00F3430E">
              <w:rPr>
                <w:rFonts w:eastAsia="Times New Roman" w:cs="Times New Roman"/>
                <w:bCs/>
                <w:sz w:val="18"/>
                <w:szCs w:val="18"/>
              </w:rPr>
              <w:t>%</w:t>
            </w:r>
          </w:p>
        </w:tc>
      </w:tr>
      <w:tr w:rsidR="009B41DE" w:rsidRPr="002E7DF5" w14:paraId="0C7839A7" w14:textId="77777777" w:rsidTr="009B41DE">
        <w:trPr>
          <w:trHeight w:val="148"/>
          <w:jc w:val="center"/>
        </w:trPr>
        <w:tc>
          <w:tcPr>
            <w:tcW w:w="6837" w:type="dxa"/>
            <w:shd w:val="clear" w:color="auto" w:fill="auto"/>
            <w:noWrap/>
            <w:vAlign w:val="center"/>
            <w:hideMark/>
          </w:tcPr>
          <w:p w14:paraId="1B1F927E" w14:textId="77777777" w:rsidR="009B41DE" w:rsidRPr="002E7DF5" w:rsidRDefault="009B41DE" w:rsidP="00C23E6E">
            <w:pPr>
              <w:spacing w:after="0"/>
              <w:rPr>
                <w:rFonts w:eastAsia="Times New Roman" w:cs="Times New Roman"/>
                <w:sz w:val="18"/>
                <w:szCs w:val="18"/>
                <w:lang w:val="en-US"/>
              </w:rPr>
            </w:pPr>
            <w:r w:rsidRPr="002E7DF5">
              <w:rPr>
                <w:rFonts w:eastAsia="Times New Roman" w:cs="Times New Roman"/>
                <w:sz w:val="18"/>
                <w:szCs w:val="18"/>
              </w:rPr>
              <w:t xml:space="preserve">    Косвени данъци </w:t>
            </w:r>
          </w:p>
        </w:tc>
        <w:tc>
          <w:tcPr>
            <w:tcW w:w="1693" w:type="dxa"/>
            <w:shd w:val="clear" w:color="auto" w:fill="auto"/>
            <w:noWrap/>
          </w:tcPr>
          <w:p w14:paraId="2543B475"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16 856,3</w:t>
            </w:r>
          </w:p>
        </w:tc>
        <w:tc>
          <w:tcPr>
            <w:tcW w:w="1568" w:type="dxa"/>
            <w:shd w:val="clear" w:color="auto" w:fill="F2F2F2" w:themeFill="background1" w:themeFillShade="F2"/>
            <w:noWrap/>
          </w:tcPr>
          <w:p w14:paraId="316EA753" w14:textId="77777777" w:rsidR="009B41DE" w:rsidRPr="00124E4C" w:rsidRDefault="009B41DE" w:rsidP="00C23E6E">
            <w:pPr>
              <w:spacing w:after="0"/>
              <w:jc w:val="right"/>
              <w:rPr>
                <w:rFonts w:eastAsia="Times New Roman" w:cs="Times New Roman"/>
                <w:bCs/>
                <w:sz w:val="18"/>
                <w:szCs w:val="18"/>
              </w:rPr>
            </w:pPr>
            <w:r>
              <w:rPr>
                <w:rFonts w:eastAsia="Times New Roman" w:cs="Times New Roman"/>
                <w:bCs/>
                <w:sz w:val="18"/>
                <w:szCs w:val="18"/>
              </w:rPr>
              <w:t>10 768,0</w:t>
            </w:r>
          </w:p>
        </w:tc>
        <w:tc>
          <w:tcPr>
            <w:tcW w:w="1424" w:type="dxa"/>
            <w:shd w:val="clear" w:color="auto" w:fill="F2F2F2" w:themeFill="background1" w:themeFillShade="F2"/>
            <w:noWrap/>
          </w:tcPr>
          <w:p w14:paraId="7D15E52E" w14:textId="77777777" w:rsidR="009B41DE" w:rsidRPr="00124E4C" w:rsidRDefault="009B41DE" w:rsidP="00C23E6E">
            <w:pPr>
              <w:spacing w:after="0"/>
              <w:jc w:val="right"/>
              <w:rPr>
                <w:rFonts w:eastAsia="Times New Roman" w:cs="Times New Roman"/>
                <w:bCs/>
                <w:sz w:val="18"/>
                <w:szCs w:val="18"/>
              </w:rPr>
            </w:pPr>
            <w:r>
              <w:rPr>
                <w:rFonts w:eastAsia="Times New Roman" w:cs="Times New Roman"/>
                <w:bCs/>
                <w:sz w:val="18"/>
                <w:szCs w:val="18"/>
              </w:rPr>
              <w:t>10 768,0</w:t>
            </w:r>
          </w:p>
        </w:tc>
        <w:tc>
          <w:tcPr>
            <w:tcW w:w="1509" w:type="dxa"/>
            <w:shd w:val="clear" w:color="auto" w:fill="F2F2F2" w:themeFill="background1" w:themeFillShade="F2"/>
            <w:noWrap/>
          </w:tcPr>
          <w:p w14:paraId="4C06013C" w14:textId="77777777" w:rsidR="009B41DE" w:rsidRPr="00FB45A5" w:rsidRDefault="009B41DE" w:rsidP="00C23E6E">
            <w:pPr>
              <w:spacing w:after="0"/>
              <w:jc w:val="right"/>
              <w:rPr>
                <w:rFonts w:eastAsia="Times New Roman" w:cs="Times New Roman"/>
                <w:bCs/>
                <w:sz w:val="18"/>
                <w:szCs w:val="18"/>
              </w:rPr>
            </w:pPr>
          </w:p>
        </w:tc>
        <w:tc>
          <w:tcPr>
            <w:tcW w:w="1778" w:type="dxa"/>
            <w:shd w:val="clear" w:color="auto" w:fill="F2F2F2" w:themeFill="background1" w:themeFillShade="F2"/>
            <w:noWrap/>
            <w:hideMark/>
          </w:tcPr>
          <w:p w14:paraId="1D6A2773" w14:textId="77777777" w:rsidR="009B41DE" w:rsidRPr="003A22CC" w:rsidRDefault="009B41DE" w:rsidP="00C23E6E">
            <w:pPr>
              <w:spacing w:after="0"/>
              <w:jc w:val="right"/>
              <w:rPr>
                <w:rFonts w:eastAsia="Times New Roman" w:cs="Times New Roman"/>
                <w:bCs/>
                <w:sz w:val="18"/>
                <w:szCs w:val="18"/>
              </w:rPr>
            </w:pPr>
            <w:r>
              <w:rPr>
                <w:rFonts w:eastAsia="Times New Roman" w:cs="Times New Roman"/>
                <w:bCs/>
                <w:sz w:val="18"/>
                <w:szCs w:val="18"/>
              </w:rPr>
              <w:t>63,9</w:t>
            </w:r>
            <w:r w:rsidRPr="00F3430E">
              <w:rPr>
                <w:rFonts w:eastAsia="Times New Roman" w:cs="Times New Roman"/>
                <w:bCs/>
                <w:sz w:val="18"/>
                <w:szCs w:val="18"/>
              </w:rPr>
              <w:t>%</w:t>
            </w:r>
          </w:p>
        </w:tc>
      </w:tr>
      <w:tr w:rsidR="009B41DE" w:rsidRPr="002E7DF5" w14:paraId="309C1E3F" w14:textId="77777777" w:rsidTr="009B41DE">
        <w:trPr>
          <w:trHeight w:val="292"/>
          <w:jc w:val="center"/>
        </w:trPr>
        <w:tc>
          <w:tcPr>
            <w:tcW w:w="6837" w:type="dxa"/>
            <w:shd w:val="clear" w:color="auto" w:fill="auto"/>
            <w:noWrap/>
            <w:vAlign w:val="center"/>
            <w:hideMark/>
          </w:tcPr>
          <w:p w14:paraId="7B486B18" w14:textId="77777777" w:rsidR="009B41DE" w:rsidRPr="00054BEA" w:rsidRDefault="009B41DE" w:rsidP="00C23E6E">
            <w:pPr>
              <w:spacing w:after="0"/>
              <w:rPr>
                <w:rFonts w:eastAsia="Times New Roman" w:cs="Times New Roman"/>
                <w:sz w:val="18"/>
                <w:szCs w:val="18"/>
              </w:rPr>
            </w:pPr>
            <w:r w:rsidRPr="002E7DF5">
              <w:rPr>
                <w:rFonts w:eastAsia="Times New Roman" w:cs="Times New Roman"/>
                <w:sz w:val="18"/>
                <w:szCs w:val="18"/>
              </w:rPr>
              <w:t xml:space="preserve">    Приходи от социални и </w:t>
            </w:r>
            <w:proofErr w:type="spellStart"/>
            <w:r w:rsidRPr="002E7DF5">
              <w:rPr>
                <w:rFonts w:eastAsia="Times New Roman" w:cs="Times New Roman"/>
                <w:sz w:val="18"/>
                <w:szCs w:val="18"/>
              </w:rPr>
              <w:t>здравноосиг</w:t>
            </w:r>
            <w:proofErr w:type="spellEnd"/>
            <w:r w:rsidRPr="002E7DF5">
              <w:rPr>
                <w:rFonts w:eastAsia="Times New Roman" w:cs="Times New Roman"/>
                <w:sz w:val="18"/>
                <w:szCs w:val="18"/>
              </w:rPr>
              <w:t>. вноски</w:t>
            </w:r>
          </w:p>
        </w:tc>
        <w:tc>
          <w:tcPr>
            <w:tcW w:w="1693" w:type="dxa"/>
            <w:shd w:val="clear" w:color="auto" w:fill="auto"/>
            <w:noWrap/>
          </w:tcPr>
          <w:p w14:paraId="24417719" w14:textId="77777777" w:rsidR="009B41DE" w:rsidRPr="003A55C1" w:rsidRDefault="009B41DE" w:rsidP="00C23E6E">
            <w:pPr>
              <w:spacing w:after="0"/>
              <w:ind w:hanging="110"/>
              <w:jc w:val="right"/>
              <w:rPr>
                <w:rFonts w:cs="Times New Roman"/>
                <w:bCs/>
                <w:sz w:val="18"/>
                <w:szCs w:val="18"/>
              </w:rPr>
            </w:pPr>
            <w:r>
              <w:rPr>
                <w:rFonts w:cs="Times New Roman"/>
                <w:bCs/>
                <w:sz w:val="18"/>
                <w:szCs w:val="18"/>
              </w:rPr>
              <w:t>10 718,6</w:t>
            </w:r>
          </w:p>
        </w:tc>
        <w:tc>
          <w:tcPr>
            <w:tcW w:w="1568" w:type="dxa"/>
            <w:shd w:val="clear" w:color="auto" w:fill="F2F2F2" w:themeFill="background1" w:themeFillShade="F2"/>
            <w:noWrap/>
          </w:tcPr>
          <w:p w14:paraId="7E82CBD3" w14:textId="77777777" w:rsidR="009B41DE" w:rsidRPr="00DF0E6B" w:rsidRDefault="009B41DE" w:rsidP="00C23E6E">
            <w:pPr>
              <w:spacing w:after="0"/>
              <w:jc w:val="right"/>
              <w:rPr>
                <w:rFonts w:eastAsia="Times New Roman" w:cs="Times New Roman"/>
                <w:bCs/>
                <w:sz w:val="18"/>
                <w:szCs w:val="18"/>
                <w:lang w:val="ru-RU"/>
              </w:rPr>
            </w:pPr>
            <w:r>
              <w:rPr>
                <w:rFonts w:eastAsia="Times New Roman" w:cs="Times New Roman"/>
                <w:bCs/>
                <w:sz w:val="18"/>
                <w:szCs w:val="18"/>
                <w:lang w:val="ru-RU"/>
              </w:rPr>
              <w:t>7 744,7</w:t>
            </w:r>
          </w:p>
        </w:tc>
        <w:tc>
          <w:tcPr>
            <w:tcW w:w="1424" w:type="dxa"/>
            <w:shd w:val="clear" w:color="auto" w:fill="F2F2F2" w:themeFill="background1" w:themeFillShade="F2"/>
            <w:noWrap/>
          </w:tcPr>
          <w:p w14:paraId="7AD2645F" w14:textId="77777777" w:rsidR="009B41DE" w:rsidRPr="00DF0E6B" w:rsidRDefault="009B41DE" w:rsidP="00C23E6E">
            <w:pPr>
              <w:spacing w:after="0"/>
              <w:jc w:val="right"/>
              <w:rPr>
                <w:rFonts w:eastAsia="Times New Roman" w:cs="Times New Roman"/>
                <w:bCs/>
                <w:sz w:val="18"/>
                <w:szCs w:val="18"/>
                <w:lang w:val="ru-RU"/>
              </w:rPr>
            </w:pPr>
            <w:r>
              <w:rPr>
                <w:rFonts w:eastAsia="Times New Roman" w:cs="Times New Roman"/>
                <w:bCs/>
                <w:sz w:val="18"/>
                <w:szCs w:val="18"/>
                <w:lang w:val="ru-RU"/>
              </w:rPr>
              <w:t>7 744,7</w:t>
            </w:r>
          </w:p>
        </w:tc>
        <w:tc>
          <w:tcPr>
            <w:tcW w:w="1509" w:type="dxa"/>
            <w:shd w:val="clear" w:color="auto" w:fill="F2F2F2" w:themeFill="background1" w:themeFillShade="F2"/>
            <w:noWrap/>
          </w:tcPr>
          <w:p w14:paraId="74618120" w14:textId="77777777" w:rsidR="009B41DE" w:rsidRPr="00FB45A5" w:rsidRDefault="009B41DE" w:rsidP="00C23E6E">
            <w:pPr>
              <w:spacing w:after="0"/>
              <w:jc w:val="right"/>
              <w:rPr>
                <w:rFonts w:eastAsia="Times New Roman" w:cs="Times New Roman"/>
                <w:bCs/>
                <w:sz w:val="18"/>
                <w:szCs w:val="18"/>
              </w:rPr>
            </w:pPr>
          </w:p>
        </w:tc>
        <w:tc>
          <w:tcPr>
            <w:tcW w:w="1778" w:type="dxa"/>
            <w:shd w:val="clear" w:color="auto" w:fill="F2F2F2" w:themeFill="background1" w:themeFillShade="F2"/>
            <w:noWrap/>
            <w:hideMark/>
          </w:tcPr>
          <w:p w14:paraId="5BA3A920" w14:textId="77777777" w:rsidR="009B41DE" w:rsidRPr="00EB01F2" w:rsidRDefault="009B41DE" w:rsidP="00C23E6E">
            <w:pPr>
              <w:spacing w:after="0"/>
              <w:jc w:val="right"/>
              <w:rPr>
                <w:rFonts w:eastAsia="Times New Roman" w:cs="Times New Roman"/>
                <w:bCs/>
                <w:sz w:val="18"/>
                <w:szCs w:val="18"/>
              </w:rPr>
            </w:pPr>
            <w:r>
              <w:rPr>
                <w:rFonts w:eastAsia="Times New Roman" w:cs="Times New Roman"/>
                <w:bCs/>
                <w:sz w:val="18"/>
                <w:szCs w:val="18"/>
              </w:rPr>
              <w:t>72,3</w:t>
            </w:r>
            <w:r w:rsidRPr="00F3430E">
              <w:rPr>
                <w:rFonts w:eastAsia="Times New Roman" w:cs="Times New Roman"/>
                <w:bCs/>
                <w:sz w:val="18"/>
                <w:szCs w:val="18"/>
              </w:rPr>
              <w:t>%</w:t>
            </w:r>
          </w:p>
        </w:tc>
      </w:tr>
      <w:tr w:rsidR="009B41DE" w:rsidRPr="002E7DF5" w14:paraId="3742ED3D" w14:textId="77777777" w:rsidTr="009B41DE">
        <w:trPr>
          <w:trHeight w:val="215"/>
          <w:jc w:val="center"/>
        </w:trPr>
        <w:tc>
          <w:tcPr>
            <w:tcW w:w="6837" w:type="dxa"/>
            <w:shd w:val="clear" w:color="auto" w:fill="auto"/>
            <w:noWrap/>
            <w:vAlign w:val="center"/>
            <w:hideMark/>
          </w:tcPr>
          <w:p w14:paraId="704126C2" w14:textId="77777777" w:rsidR="009B41DE" w:rsidRPr="00DF0E6B" w:rsidRDefault="009B41DE" w:rsidP="00C23E6E">
            <w:pPr>
              <w:spacing w:after="0"/>
              <w:rPr>
                <w:rFonts w:eastAsia="Times New Roman" w:cs="Times New Roman"/>
                <w:sz w:val="18"/>
                <w:szCs w:val="18"/>
                <w:lang w:val="ru-RU"/>
              </w:rPr>
            </w:pPr>
            <w:r w:rsidRPr="002E7DF5">
              <w:rPr>
                <w:rFonts w:eastAsia="Times New Roman" w:cs="Times New Roman"/>
                <w:sz w:val="18"/>
                <w:szCs w:val="18"/>
              </w:rPr>
              <w:t xml:space="preserve">    Други данъци</w:t>
            </w:r>
          </w:p>
        </w:tc>
        <w:tc>
          <w:tcPr>
            <w:tcW w:w="1693" w:type="dxa"/>
            <w:shd w:val="clear" w:color="auto" w:fill="auto"/>
            <w:noWrap/>
          </w:tcPr>
          <w:p w14:paraId="0E78D272"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1 166,2</w:t>
            </w:r>
          </w:p>
        </w:tc>
        <w:tc>
          <w:tcPr>
            <w:tcW w:w="1568" w:type="dxa"/>
            <w:shd w:val="clear" w:color="auto" w:fill="F2F2F2" w:themeFill="background1" w:themeFillShade="F2"/>
            <w:noWrap/>
          </w:tcPr>
          <w:p w14:paraId="4C2E1D87" w14:textId="77777777" w:rsidR="009B41DE" w:rsidRPr="00DF0E6B" w:rsidRDefault="009B41DE" w:rsidP="00C23E6E">
            <w:pPr>
              <w:spacing w:after="0"/>
              <w:jc w:val="right"/>
              <w:rPr>
                <w:rFonts w:eastAsia="Times New Roman" w:cs="Times New Roman"/>
                <w:bCs/>
                <w:sz w:val="18"/>
                <w:szCs w:val="18"/>
                <w:lang w:val="ru-RU"/>
              </w:rPr>
            </w:pPr>
            <w:r>
              <w:rPr>
                <w:rFonts w:eastAsia="Times New Roman" w:cs="Times New Roman"/>
                <w:bCs/>
                <w:sz w:val="18"/>
                <w:szCs w:val="18"/>
                <w:lang w:val="ru-RU"/>
              </w:rPr>
              <w:t>1 043,9</w:t>
            </w:r>
          </w:p>
        </w:tc>
        <w:tc>
          <w:tcPr>
            <w:tcW w:w="1424" w:type="dxa"/>
            <w:shd w:val="clear" w:color="auto" w:fill="F2F2F2" w:themeFill="background1" w:themeFillShade="F2"/>
            <w:noWrap/>
          </w:tcPr>
          <w:p w14:paraId="202FB423" w14:textId="77777777" w:rsidR="009B41DE" w:rsidRPr="00FB45A5" w:rsidRDefault="009B41DE" w:rsidP="00C23E6E">
            <w:pPr>
              <w:spacing w:after="0"/>
              <w:jc w:val="right"/>
              <w:rPr>
                <w:rFonts w:cs="Times New Roman"/>
                <w:bCs/>
                <w:sz w:val="18"/>
                <w:szCs w:val="18"/>
              </w:rPr>
            </w:pPr>
            <w:r>
              <w:rPr>
                <w:rFonts w:cs="Times New Roman"/>
                <w:bCs/>
                <w:sz w:val="18"/>
                <w:szCs w:val="18"/>
              </w:rPr>
              <w:t>1 043,9</w:t>
            </w:r>
          </w:p>
        </w:tc>
        <w:tc>
          <w:tcPr>
            <w:tcW w:w="1509" w:type="dxa"/>
            <w:shd w:val="clear" w:color="auto" w:fill="F2F2F2" w:themeFill="background1" w:themeFillShade="F2"/>
            <w:noWrap/>
          </w:tcPr>
          <w:p w14:paraId="611E725D" w14:textId="77777777" w:rsidR="009B41DE" w:rsidRPr="00FB45A5" w:rsidRDefault="009B41DE" w:rsidP="00C23E6E">
            <w:pPr>
              <w:spacing w:after="0"/>
              <w:jc w:val="right"/>
              <w:rPr>
                <w:rFonts w:eastAsia="Times New Roman" w:cs="Times New Roman"/>
                <w:bCs/>
                <w:sz w:val="18"/>
                <w:szCs w:val="18"/>
              </w:rPr>
            </w:pPr>
          </w:p>
        </w:tc>
        <w:tc>
          <w:tcPr>
            <w:tcW w:w="1778" w:type="dxa"/>
            <w:shd w:val="clear" w:color="auto" w:fill="F2F2F2" w:themeFill="background1" w:themeFillShade="F2"/>
            <w:noWrap/>
            <w:hideMark/>
          </w:tcPr>
          <w:p w14:paraId="681636D8" w14:textId="77777777" w:rsidR="009B41DE" w:rsidRPr="000057FD" w:rsidRDefault="009B41DE" w:rsidP="00C23E6E">
            <w:pPr>
              <w:spacing w:after="0"/>
              <w:jc w:val="right"/>
              <w:rPr>
                <w:rFonts w:eastAsia="Times New Roman" w:cs="Times New Roman"/>
                <w:bCs/>
                <w:sz w:val="18"/>
                <w:szCs w:val="18"/>
              </w:rPr>
            </w:pPr>
            <w:r>
              <w:rPr>
                <w:rFonts w:eastAsia="Times New Roman" w:cs="Times New Roman"/>
                <w:bCs/>
                <w:sz w:val="18"/>
                <w:szCs w:val="18"/>
              </w:rPr>
              <w:t>89,5</w:t>
            </w:r>
            <w:r w:rsidRPr="009151CE">
              <w:rPr>
                <w:rFonts w:eastAsia="Times New Roman" w:cs="Times New Roman"/>
                <w:bCs/>
                <w:sz w:val="18"/>
                <w:szCs w:val="18"/>
              </w:rPr>
              <w:t>%</w:t>
            </w:r>
          </w:p>
        </w:tc>
      </w:tr>
      <w:tr w:rsidR="009B41DE" w:rsidRPr="002E7DF5" w14:paraId="09CAD55C" w14:textId="77777777" w:rsidTr="009B41DE">
        <w:trPr>
          <w:trHeight w:val="61"/>
          <w:jc w:val="center"/>
        </w:trPr>
        <w:tc>
          <w:tcPr>
            <w:tcW w:w="6837" w:type="dxa"/>
            <w:shd w:val="clear" w:color="auto" w:fill="auto"/>
            <w:noWrap/>
            <w:vAlign w:val="center"/>
            <w:hideMark/>
          </w:tcPr>
          <w:p w14:paraId="1D93FECD" w14:textId="77777777" w:rsidR="009B41DE" w:rsidRPr="002E7DF5" w:rsidRDefault="009B41DE" w:rsidP="00C23E6E">
            <w:pPr>
              <w:spacing w:after="0"/>
              <w:rPr>
                <w:rFonts w:eastAsia="Times New Roman" w:cs="Times New Roman"/>
                <w:sz w:val="18"/>
                <w:szCs w:val="18"/>
                <w:lang w:val="en-US"/>
              </w:rPr>
            </w:pPr>
            <w:r w:rsidRPr="002E7DF5">
              <w:rPr>
                <w:rFonts w:eastAsia="Times New Roman" w:cs="Times New Roman"/>
                <w:sz w:val="18"/>
                <w:szCs w:val="18"/>
              </w:rPr>
              <w:t>Неданъчни приходи</w:t>
            </w:r>
          </w:p>
        </w:tc>
        <w:tc>
          <w:tcPr>
            <w:tcW w:w="1693" w:type="dxa"/>
            <w:shd w:val="clear" w:color="auto" w:fill="auto"/>
            <w:noWrap/>
          </w:tcPr>
          <w:p w14:paraId="51A2B671"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6 129,7</w:t>
            </w:r>
          </w:p>
        </w:tc>
        <w:tc>
          <w:tcPr>
            <w:tcW w:w="1568" w:type="dxa"/>
            <w:shd w:val="clear" w:color="auto" w:fill="F2F2F2" w:themeFill="background1" w:themeFillShade="F2"/>
            <w:noWrap/>
          </w:tcPr>
          <w:p w14:paraId="6A3E0130" w14:textId="77777777" w:rsidR="009B41DE" w:rsidRPr="00D24148" w:rsidRDefault="009B41DE" w:rsidP="00C23E6E">
            <w:pPr>
              <w:spacing w:after="0"/>
              <w:jc w:val="right"/>
              <w:rPr>
                <w:rFonts w:eastAsia="Times New Roman" w:cs="Times New Roman"/>
                <w:bCs/>
                <w:sz w:val="18"/>
                <w:szCs w:val="18"/>
              </w:rPr>
            </w:pPr>
            <w:r>
              <w:rPr>
                <w:rFonts w:eastAsia="Times New Roman" w:cs="Times New Roman"/>
                <w:bCs/>
                <w:sz w:val="18"/>
                <w:szCs w:val="18"/>
              </w:rPr>
              <w:t>4 660,4</w:t>
            </w:r>
          </w:p>
        </w:tc>
        <w:tc>
          <w:tcPr>
            <w:tcW w:w="1424" w:type="dxa"/>
            <w:shd w:val="clear" w:color="auto" w:fill="F2F2F2" w:themeFill="background1" w:themeFillShade="F2"/>
            <w:noWrap/>
          </w:tcPr>
          <w:p w14:paraId="67C07D1B" w14:textId="77777777" w:rsidR="009B41DE" w:rsidRPr="00FB45A5" w:rsidRDefault="009B41DE" w:rsidP="00C23E6E">
            <w:pPr>
              <w:spacing w:after="0"/>
              <w:jc w:val="right"/>
              <w:rPr>
                <w:rFonts w:cs="Times New Roman"/>
                <w:bCs/>
                <w:sz w:val="18"/>
                <w:szCs w:val="18"/>
              </w:rPr>
            </w:pPr>
            <w:r>
              <w:rPr>
                <w:rFonts w:cs="Times New Roman"/>
                <w:bCs/>
                <w:sz w:val="18"/>
                <w:szCs w:val="18"/>
              </w:rPr>
              <w:t>4 663,1</w:t>
            </w:r>
          </w:p>
        </w:tc>
        <w:tc>
          <w:tcPr>
            <w:tcW w:w="1509" w:type="dxa"/>
            <w:shd w:val="clear" w:color="auto" w:fill="F2F2F2" w:themeFill="background1" w:themeFillShade="F2"/>
            <w:noWrap/>
          </w:tcPr>
          <w:p w14:paraId="5E8C5983" w14:textId="77777777" w:rsidR="009B41DE" w:rsidRPr="00F870C6" w:rsidRDefault="009B41DE" w:rsidP="00C23E6E">
            <w:pPr>
              <w:spacing w:after="0"/>
              <w:jc w:val="right"/>
              <w:rPr>
                <w:rFonts w:eastAsia="Times New Roman" w:cs="Times New Roman"/>
                <w:bCs/>
                <w:sz w:val="18"/>
                <w:szCs w:val="18"/>
              </w:rPr>
            </w:pPr>
            <w:r>
              <w:rPr>
                <w:rFonts w:eastAsia="Times New Roman" w:cs="Times New Roman"/>
                <w:bCs/>
                <w:sz w:val="18"/>
                <w:szCs w:val="18"/>
              </w:rPr>
              <w:t>-2,7</w:t>
            </w:r>
          </w:p>
        </w:tc>
        <w:tc>
          <w:tcPr>
            <w:tcW w:w="1778" w:type="dxa"/>
            <w:shd w:val="clear" w:color="auto" w:fill="F2F2F2" w:themeFill="background1" w:themeFillShade="F2"/>
            <w:noWrap/>
            <w:hideMark/>
          </w:tcPr>
          <w:p w14:paraId="4952D539" w14:textId="77777777" w:rsidR="009B41DE" w:rsidRPr="000057FD" w:rsidRDefault="009B41DE" w:rsidP="00C23E6E">
            <w:pPr>
              <w:spacing w:after="0"/>
              <w:jc w:val="right"/>
              <w:rPr>
                <w:rFonts w:eastAsia="Times New Roman" w:cs="Times New Roman"/>
                <w:bCs/>
                <w:sz w:val="18"/>
                <w:szCs w:val="18"/>
              </w:rPr>
            </w:pPr>
            <w:r>
              <w:rPr>
                <w:rFonts w:eastAsia="Times New Roman" w:cs="Times New Roman"/>
                <w:bCs/>
                <w:sz w:val="18"/>
                <w:szCs w:val="18"/>
              </w:rPr>
              <w:t>76,0</w:t>
            </w:r>
            <w:r w:rsidRPr="009151CE">
              <w:rPr>
                <w:rFonts w:eastAsia="Times New Roman" w:cs="Times New Roman"/>
                <w:bCs/>
                <w:sz w:val="18"/>
                <w:szCs w:val="18"/>
              </w:rPr>
              <w:t>%</w:t>
            </w:r>
          </w:p>
        </w:tc>
      </w:tr>
      <w:tr w:rsidR="009B41DE" w:rsidRPr="002E7DF5" w14:paraId="4A741CAA" w14:textId="77777777" w:rsidTr="009B41DE">
        <w:trPr>
          <w:trHeight w:val="292"/>
          <w:jc w:val="center"/>
        </w:trPr>
        <w:tc>
          <w:tcPr>
            <w:tcW w:w="6837" w:type="dxa"/>
            <w:shd w:val="clear" w:color="auto" w:fill="auto"/>
            <w:noWrap/>
            <w:vAlign w:val="center"/>
            <w:hideMark/>
          </w:tcPr>
          <w:p w14:paraId="4567E23E" w14:textId="77777777" w:rsidR="009B41DE" w:rsidRPr="002E7DF5" w:rsidRDefault="009B41DE" w:rsidP="00C23E6E">
            <w:pPr>
              <w:spacing w:after="0"/>
              <w:rPr>
                <w:rFonts w:eastAsia="Times New Roman" w:cs="Times New Roman"/>
                <w:sz w:val="18"/>
                <w:szCs w:val="18"/>
                <w:lang w:val="en-US"/>
              </w:rPr>
            </w:pPr>
            <w:r w:rsidRPr="002E7DF5">
              <w:rPr>
                <w:rFonts w:eastAsia="Times New Roman" w:cs="Times New Roman"/>
                <w:sz w:val="18"/>
                <w:szCs w:val="18"/>
              </w:rPr>
              <w:t>Помощи и дарения</w:t>
            </w:r>
          </w:p>
        </w:tc>
        <w:tc>
          <w:tcPr>
            <w:tcW w:w="1693" w:type="dxa"/>
            <w:shd w:val="clear" w:color="auto" w:fill="auto"/>
            <w:noWrap/>
          </w:tcPr>
          <w:p w14:paraId="3D5F4ABA"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3 803,4</w:t>
            </w:r>
          </w:p>
        </w:tc>
        <w:tc>
          <w:tcPr>
            <w:tcW w:w="1568" w:type="dxa"/>
            <w:shd w:val="clear" w:color="auto" w:fill="F2F2F2" w:themeFill="background1" w:themeFillShade="F2"/>
            <w:noWrap/>
          </w:tcPr>
          <w:p w14:paraId="0BC2921F" w14:textId="77777777" w:rsidR="009B41DE" w:rsidRPr="00124E4C" w:rsidRDefault="009B41DE" w:rsidP="00C23E6E">
            <w:pPr>
              <w:spacing w:after="0"/>
              <w:jc w:val="right"/>
              <w:rPr>
                <w:rFonts w:eastAsia="Times New Roman" w:cs="Times New Roman"/>
                <w:bCs/>
                <w:sz w:val="18"/>
                <w:szCs w:val="18"/>
              </w:rPr>
            </w:pPr>
            <w:r>
              <w:rPr>
                <w:rFonts w:eastAsia="Times New Roman" w:cs="Times New Roman"/>
                <w:bCs/>
                <w:sz w:val="18"/>
                <w:szCs w:val="18"/>
              </w:rPr>
              <w:t>1 144,0</w:t>
            </w:r>
          </w:p>
        </w:tc>
        <w:tc>
          <w:tcPr>
            <w:tcW w:w="1424" w:type="dxa"/>
            <w:shd w:val="clear" w:color="auto" w:fill="F2F2F2" w:themeFill="background1" w:themeFillShade="F2"/>
            <w:noWrap/>
          </w:tcPr>
          <w:p w14:paraId="426C6CDA" w14:textId="77777777" w:rsidR="009B41DE" w:rsidRPr="00FB45A5" w:rsidRDefault="009B41DE" w:rsidP="00C23E6E">
            <w:pPr>
              <w:spacing w:after="0"/>
              <w:jc w:val="right"/>
              <w:rPr>
                <w:rFonts w:cs="Times New Roman"/>
                <w:bCs/>
                <w:sz w:val="18"/>
                <w:szCs w:val="18"/>
              </w:rPr>
            </w:pPr>
            <w:r>
              <w:rPr>
                <w:rFonts w:cs="Times New Roman"/>
                <w:bCs/>
                <w:sz w:val="18"/>
                <w:szCs w:val="18"/>
              </w:rPr>
              <w:t>206,9</w:t>
            </w:r>
          </w:p>
        </w:tc>
        <w:tc>
          <w:tcPr>
            <w:tcW w:w="1509" w:type="dxa"/>
            <w:shd w:val="clear" w:color="auto" w:fill="F2F2F2" w:themeFill="background1" w:themeFillShade="F2"/>
            <w:noWrap/>
          </w:tcPr>
          <w:p w14:paraId="5498CCDF" w14:textId="77777777" w:rsidR="009B41DE" w:rsidRPr="00FB45A5" w:rsidRDefault="009B41DE" w:rsidP="00C23E6E">
            <w:pPr>
              <w:spacing w:after="0"/>
              <w:jc w:val="right"/>
              <w:rPr>
                <w:rFonts w:eastAsia="Times New Roman" w:cs="Times New Roman"/>
                <w:bCs/>
                <w:sz w:val="18"/>
                <w:szCs w:val="18"/>
              </w:rPr>
            </w:pPr>
            <w:r>
              <w:rPr>
                <w:rFonts w:eastAsia="Times New Roman" w:cs="Times New Roman"/>
                <w:bCs/>
                <w:sz w:val="18"/>
                <w:szCs w:val="18"/>
              </w:rPr>
              <w:t> 937,1</w:t>
            </w:r>
          </w:p>
        </w:tc>
        <w:tc>
          <w:tcPr>
            <w:tcW w:w="1778" w:type="dxa"/>
            <w:shd w:val="clear" w:color="auto" w:fill="F2F2F2" w:themeFill="background1" w:themeFillShade="F2"/>
            <w:noWrap/>
            <w:hideMark/>
          </w:tcPr>
          <w:p w14:paraId="04F87383" w14:textId="77777777" w:rsidR="009B41DE" w:rsidRPr="000057FD" w:rsidRDefault="009B41DE" w:rsidP="00C23E6E">
            <w:pPr>
              <w:spacing w:after="0"/>
              <w:jc w:val="right"/>
              <w:rPr>
                <w:rFonts w:eastAsia="Times New Roman" w:cs="Times New Roman"/>
                <w:bCs/>
                <w:sz w:val="18"/>
                <w:szCs w:val="18"/>
              </w:rPr>
            </w:pPr>
            <w:r>
              <w:rPr>
                <w:rFonts w:eastAsia="Times New Roman" w:cs="Times New Roman"/>
                <w:bCs/>
                <w:sz w:val="18"/>
                <w:szCs w:val="18"/>
              </w:rPr>
              <w:t>30,1</w:t>
            </w:r>
            <w:r w:rsidRPr="009151CE">
              <w:rPr>
                <w:rFonts w:eastAsia="Times New Roman" w:cs="Times New Roman"/>
                <w:bCs/>
                <w:sz w:val="18"/>
                <w:szCs w:val="18"/>
              </w:rPr>
              <w:t>%</w:t>
            </w:r>
          </w:p>
        </w:tc>
      </w:tr>
      <w:tr w:rsidR="009B41DE" w:rsidRPr="002E7DF5" w14:paraId="6422E0ED" w14:textId="77777777" w:rsidTr="009B41DE">
        <w:trPr>
          <w:trHeight w:val="107"/>
          <w:jc w:val="center"/>
        </w:trPr>
        <w:tc>
          <w:tcPr>
            <w:tcW w:w="6837" w:type="dxa"/>
            <w:shd w:val="clear" w:color="auto" w:fill="auto"/>
            <w:vAlign w:val="center"/>
            <w:hideMark/>
          </w:tcPr>
          <w:p w14:paraId="637C88D0" w14:textId="77777777" w:rsidR="009B41DE" w:rsidRPr="00054BEA" w:rsidRDefault="009B41DE" w:rsidP="00C23E6E">
            <w:pPr>
              <w:spacing w:after="0"/>
              <w:rPr>
                <w:rFonts w:eastAsia="Times New Roman" w:cs="Times New Roman"/>
                <w:b/>
                <w:bCs/>
                <w:sz w:val="18"/>
                <w:szCs w:val="18"/>
              </w:rPr>
            </w:pPr>
            <w:r w:rsidRPr="002E7DF5">
              <w:rPr>
                <w:rFonts w:eastAsia="Times New Roman" w:cs="Times New Roman"/>
                <w:b/>
                <w:bCs/>
                <w:sz w:val="18"/>
                <w:szCs w:val="18"/>
              </w:rPr>
              <w:t>РАЗХОДИ И ВНОСКА В БЮДЖЕТА НА ЕС</w:t>
            </w:r>
          </w:p>
        </w:tc>
        <w:tc>
          <w:tcPr>
            <w:tcW w:w="1693" w:type="dxa"/>
            <w:shd w:val="clear" w:color="auto" w:fill="auto"/>
            <w:noWrap/>
          </w:tcPr>
          <w:p w14:paraId="3B997259" w14:textId="77777777" w:rsidR="009B41DE" w:rsidRPr="0025514C" w:rsidRDefault="009B41DE" w:rsidP="00C23E6E">
            <w:pPr>
              <w:spacing w:after="0"/>
              <w:ind w:hanging="110"/>
              <w:jc w:val="right"/>
              <w:rPr>
                <w:rFonts w:cs="Times New Roman"/>
                <w:b/>
                <w:bCs/>
                <w:sz w:val="18"/>
                <w:szCs w:val="18"/>
              </w:rPr>
            </w:pPr>
            <w:r>
              <w:rPr>
                <w:rFonts w:cs="Times New Roman"/>
                <w:b/>
                <w:bCs/>
                <w:sz w:val="18"/>
                <w:szCs w:val="18"/>
              </w:rPr>
              <w:t>49 445,0</w:t>
            </w:r>
          </w:p>
        </w:tc>
        <w:tc>
          <w:tcPr>
            <w:tcW w:w="1568" w:type="dxa"/>
            <w:shd w:val="clear" w:color="auto" w:fill="F2F2F2" w:themeFill="background1" w:themeFillShade="F2"/>
            <w:noWrap/>
          </w:tcPr>
          <w:p w14:paraId="08C4918F" w14:textId="77777777" w:rsidR="009B41DE" w:rsidRPr="00124E4C" w:rsidRDefault="009B41DE" w:rsidP="00C23E6E">
            <w:pPr>
              <w:spacing w:after="0"/>
              <w:jc w:val="right"/>
              <w:rPr>
                <w:rFonts w:eastAsia="Times New Roman" w:cs="Times New Roman"/>
                <w:b/>
                <w:bCs/>
                <w:sz w:val="18"/>
                <w:szCs w:val="18"/>
              </w:rPr>
            </w:pPr>
            <w:r>
              <w:rPr>
                <w:rFonts w:eastAsia="Times New Roman" w:cs="Times New Roman"/>
                <w:b/>
                <w:bCs/>
                <w:sz w:val="18"/>
                <w:szCs w:val="18"/>
              </w:rPr>
              <w:t>33 650,3</w:t>
            </w:r>
          </w:p>
        </w:tc>
        <w:tc>
          <w:tcPr>
            <w:tcW w:w="1424" w:type="dxa"/>
            <w:shd w:val="clear" w:color="auto" w:fill="F2F2F2" w:themeFill="background1" w:themeFillShade="F2"/>
            <w:noWrap/>
          </w:tcPr>
          <w:p w14:paraId="7810CA87" w14:textId="77777777" w:rsidR="009B41DE" w:rsidRPr="009743FA" w:rsidRDefault="009B41DE" w:rsidP="00C23E6E">
            <w:pPr>
              <w:spacing w:after="0"/>
              <w:jc w:val="right"/>
              <w:rPr>
                <w:rFonts w:cs="Times New Roman"/>
                <w:b/>
                <w:bCs/>
                <w:sz w:val="18"/>
                <w:szCs w:val="18"/>
              </w:rPr>
            </w:pPr>
            <w:r>
              <w:rPr>
                <w:rFonts w:cs="Times New Roman"/>
                <w:b/>
                <w:bCs/>
                <w:sz w:val="18"/>
                <w:szCs w:val="18"/>
              </w:rPr>
              <w:t>31 462,1</w:t>
            </w:r>
          </w:p>
        </w:tc>
        <w:tc>
          <w:tcPr>
            <w:tcW w:w="1509" w:type="dxa"/>
            <w:shd w:val="clear" w:color="auto" w:fill="F2F2F2" w:themeFill="background1" w:themeFillShade="F2"/>
            <w:noWrap/>
          </w:tcPr>
          <w:p w14:paraId="373683FF" w14:textId="77777777" w:rsidR="009B41DE" w:rsidRPr="00CE0BDD" w:rsidRDefault="009B41DE" w:rsidP="00C23E6E">
            <w:pPr>
              <w:spacing w:after="0"/>
              <w:jc w:val="right"/>
              <w:rPr>
                <w:rFonts w:eastAsia="Times New Roman" w:cs="Times New Roman"/>
                <w:b/>
                <w:bCs/>
                <w:sz w:val="18"/>
                <w:szCs w:val="18"/>
              </w:rPr>
            </w:pPr>
            <w:r>
              <w:rPr>
                <w:rFonts w:eastAsia="Times New Roman" w:cs="Times New Roman"/>
                <w:b/>
                <w:bCs/>
                <w:sz w:val="18"/>
                <w:szCs w:val="18"/>
              </w:rPr>
              <w:t>2 188,2</w:t>
            </w:r>
          </w:p>
        </w:tc>
        <w:tc>
          <w:tcPr>
            <w:tcW w:w="1778" w:type="dxa"/>
            <w:shd w:val="clear" w:color="auto" w:fill="F2F2F2" w:themeFill="background1" w:themeFillShade="F2"/>
            <w:noWrap/>
          </w:tcPr>
          <w:p w14:paraId="4172974B" w14:textId="77777777" w:rsidR="009B41DE" w:rsidRPr="000057FD" w:rsidRDefault="009B41DE" w:rsidP="00C23E6E">
            <w:pPr>
              <w:spacing w:after="0"/>
              <w:jc w:val="right"/>
              <w:rPr>
                <w:rFonts w:eastAsia="Times New Roman" w:cs="Times New Roman"/>
                <w:b/>
                <w:bCs/>
                <w:sz w:val="18"/>
                <w:szCs w:val="18"/>
              </w:rPr>
            </w:pPr>
            <w:r>
              <w:rPr>
                <w:rFonts w:eastAsia="Times New Roman" w:cs="Times New Roman"/>
                <w:b/>
                <w:bCs/>
                <w:sz w:val="18"/>
                <w:szCs w:val="18"/>
              </w:rPr>
              <w:t>68,1</w:t>
            </w:r>
            <w:r w:rsidRPr="009151CE">
              <w:rPr>
                <w:rFonts w:eastAsia="Times New Roman" w:cs="Times New Roman"/>
                <w:b/>
                <w:bCs/>
                <w:sz w:val="18"/>
                <w:szCs w:val="18"/>
              </w:rPr>
              <w:t>%</w:t>
            </w:r>
          </w:p>
        </w:tc>
      </w:tr>
      <w:tr w:rsidR="009B41DE" w:rsidRPr="001172ED" w14:paraId="457D23D2" w14:textId="77777777" w:rsidTr="009B41DE">
        <w:trPr>
          <w:trHeight w:val="292"/>
          <w:jc w:val="center"/>
        </w:trPr>
        <w:tc>
          <w:tcPr>
            <w:tcW w:w="6837" w:type="dxa"/>
            <w:shd w:val="clear" w:color="auto" w:fill="auto"/>
            <w:noWrap/>
            <w:vAlign w:val="center"/>
            <w:hideMark/>
          </w:tcPr>
          <w:p w14:paraId="291BC548" w14:textId="77777777" w:rsidR="009B41DE" w:rsidRPr="00983874" w:rsidRDefault="009B41DE" w:rsidP="00C23E6E">
            <w:pPr>
              <w:spacing w:after="0"/>
              <w:rPr>
                <w:rFonts w:eastAsia="Times New Roman" w:cs="Times New Roman"/>
                <w:sz w:val="18"/>
                <w:szCs w:val="18"/>
                <w:lang w:val="ru-RU"/>
              </w:rPr>
            </w:pPr>
            <w:r w:rsidRPr="002E7DF5">
              <w:rPr>
                <w:rFonts w:eastAsia="Times New Roman" w:cs="Times New Roman"/>
                <w:sz w:val="18"/>
                <w:szCs w:val="18"/>
              </w:rPr>
              <w:t xml:space="preserve"> Нелихвени</w:t>
            </w:r>
          </w:p>
        </w:tc>
        <w:tc>
          <w:tcPr>
            <w:tcW w:w="1693" w:type="dxa"/>
            <w:shd w:val="clear" w:color="auto" w:fill="auto"/>
            <w:noWrap/>
          </w:tcPr>
          <w:p w14:paraId="296C2530"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47 581,9</w:t>
            </w:r>
          </w:p>
        </w:tc>
        <w:tc>
          <w:tcPr>
            <w:tcW w:w="1568" w:type="dxa"/>
            <w:shd w:val="clear" w:color="auto" w:fill="F2F2F2" w:themeFill="background1" w:themeFillShade="F2"/>
            <w:noWrap/>
          </w:tcPr>
          <w:p w14:paraId="34DB6799" w14:textId="77777777" w:rsidR="009B41DE" w:rsidRPr="00124E4C" w:rsidRDefault="009B41DE" w:rsidP="00C23E6E">
            <w:pPr>
              <w:spacing w:after="0"/>
              <w:jc w:val="right"/>
              <w:rPr>
                <w:rFonts w:eastAsia="Times New Roman" w:cs="Times New Roman"/>
                <w:bCs/>
                <w:sz w:val="18"/>
                <w:szCs w:val="18"/>
              </w:rPr>
            </w:pPr>
            <w:r>
              <w:rPr>
                <w:rFonts w:eastAsia="Times New Roman" w:cs="Times New Roman"/>
                <w:bCs/>
                <w:sz w:val="18"/>
                <w:szCs w:val="18"/>
              </w:rPr>
              <w:t>32 213,3</w:t>
            </w:r>
          </w:p>
        </w:tc>
        <w:tc>
          <w:tcPr>
            <w:tcW w:w="1424" w:type="dxa"/>
            <w:shd w:val="clear" w:color="auto" w:fill="F2F2F2" w:themeFill="background1" w:themeFillShade="F2"/>
            <w:noWrap/>
          </w:tcPr>
          <w:p w14:paraId="60222528" w14:textId="77777777" w:rsidR="009B41DE" w:rsidRPr="00FB45A5" w:rsidRDefault="009B41DE" w:rsidP="00C23E6E">
            <w:pPr>
              <w:spacing w:after="0"/>
              <w:jc w:val="right"/>
              <w:rPr>
                <w:rFonts w:cs="Times New Roman"/>
                <w:bCs/>
                <w:sz w:val="18"/>
                <w:szCs w:val="18"/>
              </w:rPr>
            </w:pPr>
            <w:r>
              <w:rPr>
                <w:rFonts w:cs="Times New Roman"/>
                <w:bCs/>
                <w:sz w:val="18"/>
                <w:szCs w:val="18"/>
              </w:rPr>
              <w:t>30 025,1</w:t>
            </w:r>
          </w:p>
        </w:tc>
        <w:tc>
          <w:tcPr>
            <w:tcW w:w="1509" w:type="dxa"/>
            <w:shd w:val="clear" w:color="auto" w:fill="F2F2F2" w:themeFill="background1" w:themeFillShade="F2"/>
            <w:noWrap/>
          </w:tcPr>
          <w:p w14:paraId="18F861CD" w14:textId="77777777" w:rsidR="009B41DE" w:rsidRPr="00F3430E" w:rsidRDefault="009B41DE" w:rsidP="00C23E6E">
            <w:pPr>
              <w:spacing w:after="0"/>
              <w:jc w:val="right"/>
              <w:rPr>
                <w:rFonts w:eastAsia="Times New Roman" w:cs="Times New Roman"/>
                <w:bCs/>
                <w:sz w:val="18"/>
                <w:szCs w:val="18"/>
              </w:rPr>
            </w:pPr>
            <w:r>
              <w:rPr>
                <w:rFonts w:eastAsia="Times New Roman" w:cs="Times New Roman"/>
                <w:bCs/>
                <w:sz w:val="18"/>
                <w:szCs w:val="18"/>
              </w:rPr>
              <w:t>2 188,2</w:t>
            </w:r>
          </w:p>
        </w:tc>
        <w:tc>
          <w:tcPr>
            <w:tcW w:w="1778" w:type="dxa"/>
            <w:shd w:val="clear" w:color="auto" w:fill="F2F2F2" w:themeFill="background1" w:themeFillShade="F2"/>
            <w:noWrap/>
          </w:tcPr>
          <w:p w14:paraId="0BCCA907" w14:textId="77777777" w:rsidR="009B41DE" w:rsidRPr="000057FD" w:rsidRDefault="009B41DE" w:rsidP="00C23E6E">
            <w:pPr>
              <w:spacing w:after="0"/>
              <w:jc w:val="right"/>
              <w:rPr>
                <w:rFonts w:eastAsia="Times New Roman" w:cs="Times New Roman"/>
                <w:bCs/>
                <w:sz w:val="18"/>
                <w:szCs w:val="18"/>
              </w:rPr>
            </w:pPr>
            <w:r>
              <w:rPr>
                <w:rFonts w:eastAsia="Times New Roman" w:cs="Times New Roman"/>
                <w:bCs/>
                <w:sz w:val="18"/>
                <w:szCs w:val="18"/>
              </w:rPr>
              <w:t>67,7</w:t>
            </w:r>
            <w:r w:rsidRPr="009151CE">
              <w:rPr>
                <w:rFonts w:eastAsia="Times New Roman" w:cs="Times New Roman"/>
                <w:bCs/>
                <w:sz w:val="18"/>
                <w:szCs w:val="18"/>
              </w:rPr>
              <w:t>%</w:t>
            </w:r>
          </w:p>
        </w:tc>
      </w:tr>
      <w:tr w:rsidR="009B41DE" w:rsidRPr="002E7DF5" w14:paraId="527E96B4" w14:textId="77777777" w:rsidTr="009B41DE">
        <w:trPr>
          <w:trHeight w:val="236"/>
          <w:jc w:val="center"/>
        </w:trPr>
        <w:tc>
          <w:tcPr>
            <w:tcW w:w="6837" w:type="dxa"/>
            <w:shd w:val="clear" w:color="auto" w:fill="auto"/>
            <w:noWrap/>
            <w:vAlign w:val="center"/>
          </w:tcPr>
          <w:p w14:paraId="6CD4048E" w14:textId="77777777" w:rsidR="009B41DE" w:rsidRPr="002E7DF5" w:rsidRDefault="009B41DE" w:rsidP="00C23E6E">
            <w:pPr>
              <w:spacing w:after="0"/>
              <w:rPr>
                <w:rFonts w:eastAsia="Times New Roman" w:cs="Times New Roman"/>
                <w:sz w:val="18"/>
                <w:szCs w:val="18"/>
                <w:lang w:val="en-US"/>
              </w:rPr>
            </w:pPr>
            <w:r w:rsidRPr="002E7DF5">
              <w:rPr>
                <w:rFonts w:eastAsia="Times New Roman" w:cs="Times New Roman"/>
                <w:sz w:val="18"/>
                <w:szCs w:val="18"/>
              </w:rPr>
              <w:t xml:space="preserve">     Текущи</w:t>
            </w:r>
          </w:p>
        </w:tc>
        <w:tc>
          <w:tcPr>
            <w:tcW w:w="1693" w:type="dxa"/>
            <w:shd w:val="clear" w:color="auto" w:fill="auto"/>
            <w:noWrap/>
          </w:tcPr>
          <w:p w14:paraId="1CBFB08D" w14:textId="77777777" w:rsidR="009B41DE" w:rsidRDefault="009B41DE" w:rsidP="00C23E6E">
            <w:pPr>
              <w:spacing w:after="0"/>
              <w:ind w:hanging="110"/>
              <w:jc w:val="right"/>
              <w:rPr>
                <w:rFonts w:cs="Times New Roman"/>
                <w:bCs/>
                <w:sz w:val="18"/>
                <w:szCs w:val="18"/>
              </w:rPr>
            </w:pPr>
            <w:r>
              <w:rPr>
                <w:rFonts w:cs="Times New Roman"/>
                <w:bCs/>
                <w:sz w:val="18"/>
                <w:szCs w:val="18"/>
              </w:rPr>
              <w:t>40 469,4</w:t>
            </w:r>
          </w:p>
        </w:tc>
        <w:tc>
          <w:tcPr>
            <w:tcW w:w="1568" w:type="dxa"/>
            <w:shd w:val="clear" w:color="auto" w:fill="F2F2F2" w:themeFill="background1" w:themeFillShade="F2"/>
            <w:noWrap/>
          </w:tcPr>
          <w:p w14:paraId="00E4D988" w14:textId="77777777" w:rsidR="009B41DE" w:rsidRPr="00DF0E6B" w:rsidRDefault="009B41DE" w:rsidP="00C23E6E">
            <w:pPr>
              <w:spacing w:after="0"/>
              <w:jc w:val="right"/>
              <w:rPr>
                <w:rFonts w:eastAsia="Times New Roman" w:cs="Times New Roman"/>
                <w:bCs/>
                <w:sz w:val="18"/>
                <w:szCs w:val="18"/>
                <w:lang w:val="ru-RU"/>
              </w:rPr>
            </w:pPr>
            <w:r>
              <w:rPr>
                <w:rFonts w:eastAsia="Times New Roman" w:cs="Times New Roman"/>
                <w:bCs/>
                <w:sz w:val="18"/>
                <w:szCs w:val="18"/>
                <w:lang w:val="ru-RU"/>
              </w:rPr>
              <w:t>28 659,4</w:t>
            </w:r>
          </w:p>
        </w:tc>
        <w:tc>
          <w:tcPr>
            <w:tcW w:w="1424" w:type="dxa"/>
            <w:shd w:val="clear" w:color="auto" w:fill="F2F2F2" w:themeFill="background1" w:themeFillShade="F2"/>
            <w:noWrap/>
          </w:tcPr>
          <w:p w14:paraId="6679F4BF" w14:textId="77777777" w:rsidR="009B41DE" w:rsidRPr="00FB45A5" w:rsidRDefault="009B41DE" w:rsidP="00C23E6E">
            <w:pPr>
              <w:spacing w:after="0"/>
              <w:jc w:val="right"/>
              <w:rPr>
                <w:rFonts w:cs="Times New Roman"/>
                <w:bCs/>
                <w:sz w:val="18"/>
                <w:szCs w:val="18"/>
              </w:rPr>
            </w:pPr>
            <w:r>
              <w:rPr>
                <w:rFonts w:cs="Times New Roman"/>
                <w:bCs/>
                <w:sz w:val="18"/>
                <w:szCs w:val="18"/>
              </w:rPr>
              <w:t>27 934,4</w:t>
            </w:r>
          </w:p>
        </w:tc>
        <w:tc>
          <w:tcPr>
            <w:tcW w:w="1509" w:type="dxa"/>
            <w:shd w:val="clear" w:color="auto" w:fill="F2F2F2" w:themeFill="background1" w:themeFillShade="F2"/>
            <w:noWrap/>
          </w:tcPr>
          <w:p w14:paraId="6FAF2205"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725,0</w:t>
            </w:r>
          </w:p>
        </w:tc>
        <w:tc>
          <w:tcPr>
            <w:tcW w:w="1778" w:type="dxa"/>
            <w:shd w:val="clear" w:color="auto" w:fill="F2F2F2" w:themeFill="background1" w:themeFillShade="F2"/>
            <w:noWrap/>
          </w:tcPr>
          <w:p w14:paraId="2CB90EEE"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70,8</w:t>
            </w:r>
            <w:r w:rsidRPr="009151CE">
              <w:rPr>
                <w:rFonts w:eastAsia="Times New Roman" w:cs="Times New Roman"/>
                <w:bCs/>
                <w:sz w:val="18"/>
                <w:szCs w:val="18"/>
              </w:rPr>
              <w:t>%</w:t>
            </w:r>
          </w:p>
        </w:tc>
      </w:tr>
      <w:tr w:rsidR="009B41DE" w:rsidRPr="002E7DF5" w14:paraId="18802C6A" w14:textId="77777777" w:rsidTr="009B41DE">
        <w:trPr>
          <w:trHeight w:val="292"/>
          <w:jc w:val="center"/>
        </w:trPr>
        <w:tc>
          <w:tcPr>
            <w:tcW w:w="6837" w:type="dxa"/>
            <w:shd w:val="clear" w:color="auto" w:fill="auto"/>
            <w:noWrap/>
            <w:vAlign w:val="center"/>
          </w:tcPr>
          <w:p w14:paraId="5D6853DA" w14:textId="77777777" w:rsidR="009B41DE" w:rsidRPr="002E7DF5" w:rsidRDefault="009B41DE" w:rsidP="00C23E6E">
            <w:pPr>
              <w:spacing w:after="0"/>
              <w:rPr>
                <w:rFonts w:eastAsia="Times New Roman" w:cs="Times New Roman"/>
                <w:sz w:val="18"/>
                <w:szCs w:val="18"/>
                <w:lang w:val="en-US"/>
              </w:rPr>
            </w:pPr>
            <w:r w:rsidRPr="002E7DF5">
              <w:rPr>
                <w:rFonts w:eastAsia="Times New Roman" w:cs="Times New Roman"/>
                <w:sz w:val="18"/>
                <w:szCs w:val="18"/>
              </w:rPr>
              <w:t xml:space="preserve">     Капиталови**</w:t>
            </w:r>
          </w:p>
        </w:tc>
        <w:tc>
          <w:tcPr>
            <w:tcW w:w="1693" w:type="dxa"/>
            <w:shd w:val="clear" w:color="auto" w:fill="auto"/>
            <w:noWrap/>
          </w:tcPr>
          <w:p w14:paraId="0665B195" w14:textId="77777777" w:rsidR="009B41DE" w:rsidRDefault="009B41DE" w:rsidP="00C23E6E">
            <w:pPr>
              <w:spacing w:after="0"/>
              <w:ind w:hanging="110"/>
              <w:jc w:val="right"/>
              <w:rPr>
                <w:rFonts w:cs="Times New Roman"/>
                <w:bCs/>
                <w:sz w:val="18"/>
                <w:szCs w:val="18"/>
              </w:rPr>
            </w:pPr>
            <w:r>
              <w:rPr>
                <w:rFonts w:cs="Times New Roman"/>
                <w:bCs/>
                <w:sz w:val="18"/>
                <w:szCs w:val="18"/>
              </w:rPr>
              <w:t>6 889,2</w:t>
            </w:r>
          </w:p>
        </w:tc>
        <w:tc>
          <w:tcPr>
            <w:tcW w:w="1568" w:type="dxa"/>
            <w:shd w:val="clear" w:color="auto" w:fill="F2F2F2" w:themeFill="background1" w:themeFillShade="F2"/>
            <w:noWrap/>
          </w:tcPr>
          <w:p w14:paraId="065A5D60" w14:textId="77777777" w:rsidR="009B41DE" w:rsidRPr="00DF0E6B" w:rsidRDefault="009B41DE" w:rsidP="00C23E6E">
            <w:pPr>
              <w:spacing w:after="0"/>
              <w:jc w:val="right"/>
              <w:rPr>
                <w:rFonts w:eastAsia="Times New Roman" w:cs="Times New Roman"/>
                <w:bCs/>
                <w:sz w:val="18"/>
                <w:szCs w:val="18"/>
                <w:lang w:val="ru-RU"/>
              </w:rPr>
            </w:pPr>
            <w:r>
              <w:rPr>
                <w:rFonts w:eastAsia="Times New Roman" w:cs="Times New Roman"/>
                <w:bCs/>
                <w:sz w:val="18"/>
                <w:szCs w:val="18"/>
                <w:lang w:val="ru-RU"/>
              </w:rPr>
              <w:t>3 528,9</w:t>
            </w:r>
          </w:p>
        </w:tc>
        <w:tc>
          <w:tcPr>
            <w:tcW w:w="1424" w:type="dxa"/>
            <w:shd w:val="clear" w:color="auto" w:fill="F2F2F2" w:themeFill="background1" w:themeFillShade="F2"/>
            <w:noWrap/>
          </w:tcPr>
          <w:p w14:paraId="53BCE0D9" w14:textId="77777777" w:rsidR="009B41DE" w:rsidRPr="00FB45A5" w:rsidRDefault="009B41DE" w:rsidP="00C23E6E">
            <w:pPr>
              <w:tabs>
                <w:tab w:val="right" w:pos="1200"/>
              </w:tabs>
              <w:spacing w:after="0"/>
              <w:jc w:val="right"/>
              <w:rPr>
                <w:rFonts w:cs="Times New Roman"/>
                <w:bCs/>
                <w:sz w:val="18"/>
                <w:szCs w:val="18"/>
              </w:rPr>
            </w:pPr>
            <w:r>
              <w:rPr>
                <w:rFonts w:cs="Times New Roman"/>
                <w:bCs/>
                <w:sz w:val="18"/>
                <w:szCs w:val="18"/>
              </w:rPr>
              <w:t>2 081,7</w:t>
            </w:r>
          </w:p>
        </w:tc>
        <w:tc>
          <w:tcPr>
            <w:tcW w:w="1509" w:type="dxa"/>
            <w:shd w:val="clear" w:color="auto" w:fill="F2F2F2" w:themeFill="background1" w:themeFillShade="F2"/>
            <w:noWrap/>
          </w:tcPr>
          <w:p w14:paraId="100ACEC9"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1 447,3</w:t>
            </w:r>
          </w:p>
        </w:tc>
        <w:tc>
          <w:tcPr>
            <w:tcW w:w="1778" w:type="dxa"/>
            <w:shd w:val="clear" w:color="auto" w:fill="F2F2F2" w:themeFill="background1" w:themeFillShade="F2"/>
            <w:noWrap/>
          </w:tcPr>
          <w:p w14:paraId="09ABA25B"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51,2</w:t>
            </w:r>
            <w:r w:rsidRPr="009151CE">
              <w:rPr>
                <w:rFonts w:eastAsia="Times New Roman" w:cs="Times New Roman"/>
                <w:bCs/>
                <w:sz w:val="18"/>
                <w:szCs w:val="18"/>
              </w:rPr>
              <w:t>%</w:t>
            </w:r>
          </w:p>
        </w:tc>
      </w:tr>
      <w:tr w:rsidR="009B41DE" w:rsidRPr="002E7DF5" w14:paraId="009328C0" w14:textId="77777777" w:rsidTr="009B41DE">
        <w:trPr>
          <w:trHeight w:val="236"/>
          <w:jc w:val="center"/>
        </w:trPr>
        <w:tc>
          <w:tcPr>
            <w:tcW w:w="6837" w:type="dxa"/>
            <w:shd w:val="clear" w:color="auto" w:fill="auto"/>
            <w:noWrap/>
            <w:vAlign w:val="center"/>
          </w:tcPr>
          <w:p w14:paraId="0834B08F" w14:textId="77777777" w:rsidR="009B41DE" w:rsidRPr="002E7DF5" w:rsidRDefault="009B41DE" w:rsidP="00C23E6E">
            <w:pPr>
              <w:spacing w:after="0"/>
              <w:rPr>
                <w:rFonts w:eastAsia="Times New Roman" w:cs="Times New Roman"/>
                <w:sz w:val="18"/>
                <w:szCs w:val="18"/>
              </w:rPr>
            </w:pPr>
            <w:r w:rsidRPr="002E7DF5">
              <w:rPr>
                <w:rFonts w:eastAsia="Times New Roman" w:cs="Times New Roman"/>
                <w:sz w:val="18"/>
                <w:szCs w:val="18"/>
              </w:rPr>
              <w:t xml:space="preserve">     Предоставени тек. и </w:t>
            </w:r>
            <w:proofErr w:type="spellStart"/>
            <w:r w:rsidRPr="002E7DF5">
              <w:rPr>
                <w:rFonts w:eastAsia="Times New Roman" w:cs="Times New Roman"/>
                <w:sz w:val="18"/>
                <w:szCs w:val="18"/>
              </w:rPr>
              <w:t>кап</w:t>
            </w:r>
            <w:proofErr w:type="spellEnd"/>
            <w:r w:rsidRPr="002E7DF5">
              <w:rPr>
                <w:rFonts w:eastAsia="Times New Roman" w:cs="Times New Roman"/>
                <w:sz w:val="18"/>
                <w:szCs w:val="18"/>
              </w:rPr>
              <w:t>. трансфери за чужбина</w:t>
            </w:r>
          </w:p>
        </w:tc>
        <w:tc>
          <w:tcPr>
            <w:tcW w:w="1693" w:type="dxa"/>
            <w:shd w:val="clear" w:color="auto" w:fill="auto"/>
            <w:noWrap/>
          </w:tcPr>
          <w:p w14:paraId="68660D74" w14:textId="77777777" w:rsidR="009B41DE" w:rsidRDefault="009B41DE" w:rsidP="00C23E6E">
            <w:pPr>
              <w:spacing w:after="0"/>
              <w:ind w:hanging="110"/>
              <w:jc w:val="right"/>
              <w:rPr>
                <w:rFonts w:cs="Times New Roman"/>
                <w:bCs/>
                <w:sz w:val="18"/>
                <w:szCs w:val="18"/>
              </w:rPr>
            </w:pPr>
            <w:r>
              <w:rPr>
                <w:rFonts w:cs="Times New Roman"/>
                <w:bCs/>
                <w:sz w:val="18"/>
                <w:szCs w:val="18"/>
              </w:rPr>
              <w:t>14,2</w:t>
            </w:r>
          </w:p>
        </w:tc>
        <w:tc>
          <w:tcPr>
            <w:tcW w:w="1568" w:type="dxa"/>
            <w:shd w:val="clear" w:color="auto" w:fill="F2F2F2" w:themeFill="background1" w:themeFillShade="F2"/>
            <w:noWrap/>
          </w:tcPr>
          <w:p w14:paraId="2E1EFB20" w14:textId="77777777" w:rsidR="009B41DE" w:rsidRPr="00DF0E6B" w:rsidRDefault="009B41DE" w:rsidP="00C23E6E">
            <w:pPr>
              <w:spacing w:after="0"/>
              <w:jc w:val="right"/>
              <w:rPr>
                <w:rFonts w:eastAsia="Times New Roman" w:cs="Times New Roman"/>
                <w:bCs/>
                <w:sz w:val="18"/>
                <w:szCs w:val="18"/>
                <w:lang w:val="ru-RU"/>
              </w:rPr>
            </w:pPr>
            <w:r>
              <w:rPr>
                <w:rFonts w:eastAsia="Times New Roman" w:cs="Times New Roman"/>
                <w:bCs/>
                <w:sz w:val="18"/>
                <w:szCs w:val="18"/>
                <w:lang w:val="ru-RU"/>
              </w:rPr>
              <w:t>24,9</w:t>
            </w:r>
          </w:p>
        </w:tc>
        <w:tc>
          <w:tcPr>
            <w:tcW w:w="1424" w:type="dxa"/>
            <w:shd w:val="clear" w:color="auto" w:fill="F2F2F2" w:themeFill="background1" w:themeFillShade="F2"/>
            <w:noWrap/>
          </w:tcPr>
          <w:p w14:paraId="7594C83F" w14:textId="77777777" w:rsidR="009B41DE" w:rsidRPr="00FB45A5" w:rsidRDefault="009B41DE" w:rsidP="00C23E6E">
            <w:pPr>
              <w:spacing w:after="0"/>
              <w:jc w:val="right"/>
              <w:rPr>
                <w:rFonts w:cs="Times New Roman"/>
                <w:bCs/>
                <w:sz w:val="18"/>
                <w:szCs w:val="18"/>
              </w:rPr>
            </w:pPr>
            <w:r>
              <w:rPr>
                <w:rFonts w:cs="Times New Roman"/>
                <w:bCs/>
                <w:sz w:val="18"/>
                <w:szCs w:val="18"/>
              </w:rPr>
              <w:t>9,0</w:t>
            </w:r>
          </w:p>
        </w:tc>
        <w:tc>
          <w:tcPr>
            <w:tcW w:w="1509" w:type="dxa"/>
            <w:shd w:val="clear" w:color="auto" w:fill="F2F2F2" w:themeFill="background1" w:themeFillShade="F2"/>
            <w:noWrap/>
          </w:tcPr>
          <w:p w14:paraId="67D31FFB"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15,9</w:t>
            </w:r>
          </w:p>
        </w:tc>
        <w:tc>
          <w:tcPr>
            <w:tcW w:w="1778" w:type="dxa"/>
            <w:shd w:val="clear" w:color="auto" w:fill="F2F2F2" w:themeFill="background1" w:themeFillShade="F2"/>
            <w:noWrap/>
          </w:tcPr>
          <w:p w14:paraId="297ECD35"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176,0</w:t>
            </w:r>
            <w:r w:rsidRPr="009151CE">
              <w:rPr>
                <w:rFonts w:eastAsia="Times New Roman" w:cs="Times New Roman"/>
                <w:bCs/>
                <w:sz w:val="18"/>
                <w:szCs w:val="18"/>
              </w:rPr>
              <w:t>%</w:t>
            </w:r>
          </w:p>
        </w:tc>
      </w:tr>
      <w:tr w:rsidR="009B41DE" w:rsidRPr="002E7DF5" w14:paraId="6742F687" w14:textId="77777777" w:rsidTr="009B41DE">
        <w:trPr>
          <w:trHeight w:val="304"/>
          <w:jc w:val="center"/>
        </w:trPr>
        <w:tc>
          <w:tcPr>
            <w:tcW w:w="6837" w:type="dxa"/>
            <w:shd w:val="clear" w:color="auto" w:fill="auto"/>
            <w:noWrap/>
            <w:vAlign w:val="center"/>
            <w:hideMark/>
          </w:tcPr>
          <w:p w14:paraId="288EED99" w14:textId="77777777" w:rsidR="009B41DE" w:rsidRPr="00DF0E6B" w:rsidRDefault="009B41DE" w:rsidP="00C23E6E">
            <w:pPr>
              <w:spacing w:after="0"/>
              <w:rPr>
                <w:rFonts w:eastAsia="Times New Roman" w:cs="Times New Roman"/>
                <w:sz w:val="18"/>
                <w:szCs w:val="18"/>
                <w:lang w:val="ru-RU"/>
              </w:rPr>
            </w:pPr>
            <w:r w:rsidRPr="002E7DF5">
              <w:rPr>
                <w:rFonts w:eastAsia="Times New Roman" w:cs="Times New Roman"/>
                <w:sz w:val="18"/>
                <w:szCs w:val="18"/>
              </w:rPr>
              <w:t xml:space="preserve"> </w:t>
            </w:r>
            <w:r>
              <w:rPr>
                <w:rFonts w:eastAsia="Times New Roman" w:cs="Times New Roman"/>
                <w:sz w:val="18"/>
                <w:szCs w:val="18"/>
              </w:rPr>
              <w:t xml:space="preserve">    Р</w:t>
            </w:r>
            <w:r w:rsidRPr="003A55C1">
              <w:rPr>
                <w:rFonts w:eastAsia="Times New Roman" w:cs="Times New Roman"/>
                <w:sz w:val="18"/>
                <w:szCs w:val="18"/>
              </w:rPr>
              <w:t>езерв за непредвидени и</w:t>
            </w:r>
            <w:r>
              <w:rPr>
                <w:rFonts w:eastAsia="Times New Roman" w:cs="Times New Roman"/>
                <w:sz w:val="18"/>
                <w:szCs w:val="18"/>
              </w:rPr>
              <w:t>/или</w:t>
            </w:r>
            <w:r w:rsidRPr="003A55C1">
              <w:rPr>
                <w:rFonts w:eastAsia="Times New Roman" w:cs="Times New Roman"/>
                <w:sz w:val="18"/>
                <w:szCs w:val="18"/>
              </w:rPr>
              <w:t xml:space="preserve"> неотложни разходи</w:t>
            </w:r>
          </w:p>
        </w:tc>
        <w:tc>
          <w:tcPr>
            <w:tcW w:w="1693" w:type="dxa"/>
            <w:shd w:val="clear" w:color="auto" w:fill="auto"/>
            <w:noWrap/>
          </w:tcPr>
          <w:p w14:paraId="0E3DC1A1"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209,2</w:t>
            </w:r>
          </w:p>
        </w:tc>
        <w:tc>
          <w:tcPr>
            <w:tcW w:w="1568" w:type="dxa"/>
            <w:shd w:val="clear" w:color="auto" w:fill="F2F2F2" w:themeFill="background1" w:themeFillShade="F2"/>
            <w:noWrap/>
          </w:tcPr>
          <w:p w14:paraId="723A018F" w14:textId="77777777" w:rsidR="009B41DE" w:rsidRPr="00DF0E6B" w:rsidRDefault="009B41DE" w:rsidP="00C23E6E">
            <w:pPr>
              <w:spacing w:after="0"/>
              <w:jc w:val="right"/>
              <w:rPr>
                <w:rFonts w:eastAsia="Times New Roman" w:cs="Times New Roman"/>
                <w:bCs/>
                <w:sz w:val="18"/>
                <w:szCs w:val="18"/>
                <w:lang w:val="ru-RU"/>
              </w:rPr>
            </w:pPr>
          </w:p>
        </w:tc>
        <w:tc>
          <w:tcPr>
            <w:tcW w:w="1424" w:type="dxa"/>
            <w:shd w:val="clear" w:color="auto" w:fill="F2F2F2" w:themeFill="background1" w:themeFillShade="F2"/>
            <w:noWrap/>
          </w:tcPr>
          <w:p w14:paraId="365AB8C2" w14:textId="77777777" w:rsidR="009B41DE" w:rsidRPr="00FB45A5" w:rsidRDefault="009B41DE" w:rsidP="00C23E6E">
            <w:pPr>
              <w:spacing w:after="0"/>
              <w:jc w:val="right"/>
              <w:rPr>
                <w:rFonts w:cs="Times New Roman"/>
                <w:bCs/>
                <w:sz w:val="18"/>
                <w:szCs w:val="18"/>
              </w:rPr>
            </w:pPr>
          </w:p>
        </w:tc>
        <w:tc>
          <w:tcPr>
            <w:tcW w:w="1509" w:type="dxa"/>
            <w:shd w:val="clear" w:color="auto" w:fill="F2F2F2" w:themeFill="background1" w:themeFillShade="F2"/>
            <w:noWrap/>
          </w:tcPr>
          <w:p w14:paraId="516EB8A0" w14:textId="77777777" w:rsidR="009B41DE" w:rsidRPr="00561C95" w:rsidRDefault="009B41DE" w:rsidP="00C23E6E">
            <w:pPr>
              <w:spacing w:after="0"/>
              <w:jc w:val="right"/>
              <w:rPr>
                <w:rFonts w:eastAsia="Times New Roman" w:cs="Times New Roman"/>
                <w:bCs/>
                <w:sz w:val="18"/>
                <w:szCs w:val="18"/>
              </w:rPr>
            </w:pPr>
          </w:p>
        </w:tc>
        <w:tc>
          <w:tcPr>
            <w:tcW w:w="1778" w:type="dxa"/>
            <w:shd w:val="clear" w:color="auto" w:fill="F2F2F2" w:themeFill="background1" w:themeFillShade="F2"/>
            <w:noWrap/>
          </w:tcPr>
          <w:p w14:paraId="1FADBD46" w14:textId="77777777" w:rsidR="009B41DE" w:rsidRPr="00561C95" w:rsidRDefault="009B41DE" w:rsidP="00C23E6E">
            <w:pPr>
              <w:spacing w:after="0"/>
              <w:jc w:val="right"/>
              <w:rPr>
                <w:rFonts w:eastAsia="Times New Roman" w:cs="Times New Roman"/>
                <w:bCs/>
                <w:sz w:val="18"/>
                <w:szCs w:val="18"/>
              </w:rPr>
            </w:pPr>
          </w:p>
        </w:tc>
      </w:tr>
      <w:tr w:rsidR="009B41DE" w:rsidRPr="002E7DF5" w14:paraId="05EDB85D" w14:textId="77777777" w:rsidTr="009B41DE">
        <w:trPr>
          <w:trHeight w:val="283"/>
          <w:jc w:val="center"/>
        </w:trPr>
        <w:tc>
          <w:tcPr>
            <w:tcW w:w="6837" w:type="dxa"/>
            <w:shd w:val="clear" w:color="auto" w:fill="auto"/>
            <w:noWrap/>
            <w:vAlign w:val="center"/>
          </w:tcPr>
          <w:p w14:paraId="0EF8798E" w14:textId="77777777" w:rsidR="009B41DE" w:rsidRPr="002E7DF5" w:rsidRDefault="009B41DE" w:rsidP="00C23E6E">
            <w:pPr>
              <w:spacing w:after="0"/>
              <w:rPr>
                <w:rFonts w:eastAsia="Times New Roman" w:cs="Times New Roman"/>
                <w:sz w:val="18"/>
                <w:szCs w:val="18"/>
              </w:rPr>
            </w:pPr>
            <w:r w:rsidRPr="002E7DF5">
              <w:rPr>
                <w:rFonts w:eastAsia="Times New Roman" w:cs="Times New Roman"/>
                <w:sz w:val="18"/>
                <w:szCs w:val="18"/>
              </w:rPr>
              <w:t>Лихвени</w:t>
            </w:r>
          </w:p>
        </w:tc>
        <w:tc>
          <w:tcPr>
            <w:tcW w:w="1693" w:type="dxa"/>
            <w:shd w:val="clear" w:color="auto" w:fill="auto"/>
            <w:noWrap/>
          </w:tcPr>
          <w:p w14:paraId="6D5BEE43"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830,0</w:t>
            </w:r>
          </w:p>
        </w:tc>
        <w:tc>
          <w:tcPr>
            <w:tcW w:w="1568" w:type="dxa"/>
            <w:shd w:val="clear" w:color="auto" w:fill="F2F2F2" w:themeFill="background1" w:themeFillShade="F2"/>
            <w:noWrap/>
          </w:tcPr>
          <w:p w14:paraId="7AD06A96" w14:textId="77777777" w:rsidR="009B41DE" w:rsidRPr="00DF0E6B" w:rsidRDefault="009B41DE" w:rsidP="00C23E6E">
            <w:pPr>
              <w:spacing w:after="0"/>
              <w:jc w:val="right"/>
              <w:rPr>
                <w:rFonts w:eastAsia="Times New Roman" w:cs="Times New Roman"/>
                <w:bCs/>
                <w:sz w:val="18"/>
                <w:szCs w:val="18"/>
                <w:lang w:val="ru-RU"/>
              </w:rPr>
            </w:pPr>
            <w:r>
              <w:rPr>
                <w:rFonts w:eastAsia="Times New Roman" w:cs="Times New Roman"/>
                <w:bCs/>
                <w:sz w:val="18"/>
                <w:szCs w:val="18"/>
                <w:lang w:val="ru-RU"/>
              </w:rPr>
              <w:t>684,7</w:t>
            </w:r>
          </w:p>
        </w:tc>
        <w:tc>
          <w:tcPr>
            <w:tcW w:w="1424" w:type="dxa"/>
            <w:shd w:val="clear" w:color="auto" w:fill="F2F2F2" w:themeFill="background1" w:themeFillShade="F2"/>
            <w:noWrap/>
          </w:tcPr>
          <w:p w14:paraId="2895EC36" w14:textId="77777777" w:rsidR="009B41DE" w:rsidRPr="00FB45A5" w:rsidRDefault="009B41DE" w:rsidP="00C23E6E">
            <w:pPr>
              <w:spacing w:after="0"/>
              <w:jc w:val="right"/>
              <w:rPr>
                <w:rFonts w:cs="Times New Roman"/>
                <w:bCs/>
                <w:sz w:val="18"/>
                <w:szCs w:val="18"/>
              </w:rPr>
            </w:pPr>
            <w:r>
              <w:rPr>
                <w:rFonts w:cs="Times New Roman"/>
                <w:bCs/>
                <w:sz w:val="18"/>
                <w:szCs w:val="18"/>
              </w:rPr>
              <w:t>684,7</w:t>
            </w:r>
          </w:p>
        </w:tc>
        <w:tc>
          <w:tcPr>
            <w:tcW w:w="1509" w:type="dxa"/>
            <w:shd w:val="clear" w:color="auto" w:fill="F2F2F2" w:themeFill="background1" w:themeFillShade="F2"/>
            <w:noWrap/>
          </w:tcPr>
          <w:p w14:paraId="1A93A6DD"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0,0</w:t>
            </w:r>
          </w:p>
        </w:tc>
        <w:tc>
          <w:tcPr>
            <w:tcW w:w="1778" w:type="dxa"/>
            <w:shd w:val="clear" w:color="auto" w:fill="F2F2F2" w:themeFill="background1" w:themeFillShade="F2"/>
            <w:noWrap/>
          </w:tcPr>
          <w:p w14:paraId="2D753E8F" w14:textId="77777777" w:rsidR="009B41DE" w:rsidRPr="00561C95" w:rsidRDefault="009B41DE" w:rsidP="00C23E6E">
            <w:pPr>
              <w:spacing w:after="0"/>
              <w:jc w:val="right"/>
              <w:rPr>
                <w:rFonts w:eastAsia="Times New Roman" w:cs="Times New Roman"/>
                <w:bCs/>
                <w:sz w:val="18"/>
                <w:szCs w:val="18"/>
              </w:rPr>
            </w:pPr>
            <w:r>
              <w:rPr>
                <w:rFonts w:eastAsia="Times New Roman" w:cs="Times New Roman"/>
                <w:bCs/>
                <w:sz w:val="18"/>
                <w:szCs w:val="18"/>
              </w:rPr>
              <w:t>82,5</w:t>
            </w:r>
            <w:r w:rsidRPr="009151CE">
              <w:rPr>
                <w:rFonts w:eastAsia="Times New Roman" w:cs="Times New Roman"/>
                <w:bCs/>
                <w:sz w:val="18"/>
                <w:szCs w:val="18"/>
              </w:rPr>
              <w:t>%</w:t>
            </w:r>
          </w:p>
        </w:tc>
      </w:tr>
      <w:tr w:rsidR="009B41DE" w:rsidRPr="002E7DF5" w14:paraId="1C7034F9" w14:textId="77777777" w:rsidTr="009B41DE">
        <w:trPr>
          <w:trHeight w:val="265"/>
          <w:jc w:val="center"/>
        </w:trPr>
        <w:tc>
          <w:tcPr>
            <w:tcW w:w="6837" w:type="dxa"/>
            <w:shd w:val="clear" w:color="auto" w:fill="auto"/>
            <w:noWrap/>
            <w:vAlign w:val="center"/>
            <w:hideMark/>
          </w:tcPr>
          <w:p w14:paraId="0BC6750C" w14:textId="77777777" w:rsidR="009B41DE" w:rsidRPr="00054BEA" w:rsidRDefault="009B41DE" w:rsidP="00C23E6E">
            <w:pPr>
              <w:spacing w:after="0"/>
              <w:rPr>
                <w:rFonts w:eastAsia="Times New Roman" w:cs="Times New Roman"/>
                <w:sz w:val="18"/>
                <w:szCs w:val="18"/>
              </w:rPr>
            </w:pPr>
            <w:r w:rsidRPr="002E7DF5">
              <w:rPr>
                <w:rFonts w:eastAsia="Times New Roman" w:cs="Times New Roman"/>
                <w:sz w:val="18"/>
                <w:szCs w:val="18"/>
              </w:rPr>
              <w:t>Вноска в общия бюджет на ЕС</w:t>
            </w:r>
          </w:p>
        </w:tc>
        <w:tc>
          <w:tcPr>
            <w:tcW w:w="1693" w:type="dxa"/>
            <w:shd w:val="clear" w:color="auto" w:fill="auto"/>
            <w:noWrap/>
          </w:tcPr>
          <w:p w14:paraId="5784F5BF" w14:textId="77777777" w:rsidR="009B41DE" w:rsidRPr="0025514C" w:rsidRDefault="009B41DE" w:rsidP="00C23E6E">
            <w:pPr>
              <w:spacing w:after="0"/>
              <w:ind w:hanging="110"/>
              <w:jc w:val="right"/>
              <w:rPr>
                <w:rFonts w:cs="Times New Roman"/>
                <w:bCs/>
                <w:sz w:val="18"/>
                <w:szCs w:val="18"/>
              </w:rPr>
            </w:pPr>
            <w:r>
              <w:rPr>
                <w:rFonts w:cs="Times New Roman"/>
                <w:bCs/>
                <w:sz w:val="18"/>
                <w:szCs w:val="18"/>
              </w:rPr>
              <w:t>1 033,1</w:t>
            </w:r>
          </w:p>
        </w:tc>
        <w:tc>
          <w:tcPr>
            <w:tcW w:w="1568" w:type="dxa"/>
            <w:shd w:val="clear" w:color="auto" w:fill="F2F2F2" w:themeFill="background1" w:themeFillShade="F2"/>
            <w:noWrap/>
          </w:tcPr>
          <w:p w14:paraId="22D4768E" w14:textId="77777777" w:rsidR="009B41DE" w:rsidRPr="00067A9D" w:rsidRDefault="009B41DE" w:rsidP="00C23E6E">
            <w:pPr>
              <w:spacing w:after="0"/>
              <w:jc w:val="right"/>
              <w:rPr>
                <w:rFonts w:eastAsia="Times New Roman" w:cs="Times New Roman"/>
                <w:bCs/>
                <w:sz w:val="18"/>
                <w:szCs w:val="18"/>
              </w:rPr>
            </w:pPr>
            <w:r>
              <w:rPr>
                <w:rFonts w:eastAsia="Times New Roman" w:cs="Times New Roman"/>
                <w:bCs/>
                <w:sz w:val="18"/>
                <w:szCs w:val="18"/>
              </w:rPr>
              <w:t>752,3</w:t>
            </w:r>
          </w:p>
        </w:tc>
        <w:tc>
          <w:tcPr>
            <w:tcW w:w="1424" w:type="dxa"/>
            <w:shd w:val="clear" w:color="auto" w:fill="F2F2F2" w:themeFill="background1" w:themeFillShade="F2"/>
            <w:noWrap/>
          </w:tcPr>
          <w:p w14:paraId="4BD4FB14" w14:textId="77777777" w:rsidR="009B41DE" w:rsidRPr="00FB45A5" w:rsidRDefault="009B41DE" w:rsidP="00C23E6E">
            <w:pPr>
              <w:spacing w:after="0"/>
              <w:jc w:val="right"/>
              <w:rPr>
                <w:rFonts w:cs="Times New Roman"/>
                <w:bCs/>
                <w:sz w:val="18"/>
                <w:szCs w:val="18"/>
              </w:rPr>
            </w:pPr>
            <w:r>
              <w:rPr>
                <w:rFonts w:cs="Times New Roman"/>
                <w:bCs/>
                <w:sz w:val="18"/>
                <w:szCs w:val="18"/>
              </w:rPr>
              <w:t>752,3</w:t>
            </w:r>
          </w:p>
        </w:tc>
        <w:tc>
          <w:tcPr>
            <w:tcW w:w="1509" w:type="dxa"/>
            <w:shd w:val="clear" w:color="auto" w:fill="F2F2F2" w:themeFill="background1" w:themeFillShade="F2"/>
            <w:noWrap/>
          </w:tcPr>
          <w:p w14:paraId="44B111C5" w14:textId="77777777" w:rsidR="009B41DE" w:rsidRPr="00067A9D" w:rsidRDefault="009B41DE" w:rsidP="00C23E6E">
            <w:pPr>
              <w:spacing w:after="0"/>
              <w:jc w:val="right"/>
              <w:rPr>
                <w:rFonts w:eastAsia="Times New Roman" w:cs="Times New Roman"/>
                <w:bCs/>
                <w:sz w:val="18"/>
                <w:szCs w:val="18"/>
              </w:rPr>
            </w:pPr>
            <w:r>
              <w:rPr>
                <w:rFonts w:eastAsia="Times New Roman" w:cs="Times New Roman"/>
                <w:bCs/>
                <w:sz w:val="18"/>
                <w:szCs w:val="18"/>
              </w:rPr>
              <w:t>0,0</w:t>
            </w:r>
          </w:p>
        </w:tc>
        <w:tc>
          <w:tcPr>
            <w:tcW w:w="1778" w:type="dxa"/>
            <w:shd w:val="clear" w:color="auto" w:fill="F2F2F2" w:themeFill="background1" w:themeFillShade="F2"/>
            <w:noWrap/>
          </w:tcPr>
          <w:p w14:paraId="580394CC" w14:textId="77777777" w:rsidR="009B41DE" w:rsidRPr="00067A9D" w:rsidRDefault="009B41DE" w:rsidP="00C23E6E">
            <w:pPr>
              <w:spacing w:after="0"/>
              <w:jc w:val="right"/>
              <w:rPr>
                <w:rFonts w:eastAsia="Times New Roman" w:cs="Times New Roman"/>
                <w:bCs/>
                <w:sz w:val="18"/>
                <w:szCs w:val="18"/>
              </w:rPr>
            </w:pPr>
            <w:r>
              <w:rPr>
                <w:rFonts w:eastAsia="Times New Roman" w:cs="Times New Roman"/>
                <w:bCs/>
                <w:sz w:val="18"/>
                <w:szCs w:val="18"/>
              </w:rPr>
              <w:t>72,8</w:t>
            </w:r>
            <w:r w:rsidRPr="00067A9D">
              <w:rPr>
                <w:rFonts w:eastAsia="Times New Roman" w:cs="Times New Roman"/>
                <w:bCs/>
                <w:sz w:val="18"/>
                <w:szCs w:val="18"/>
              </w:rPr>
              <w:t>%</w:t>
            </w:r>
          </w:p>
        </w:tc>
      </w:tr>
      <w:tr w:rsidR="009B41DE" w:rsidRPr="002E7DF5" w14:paraId="578D3B0F" w14:textId="77777777" w:rsidTr="009B41DE">
        <w:trPr>
          <w:trHeight w:val="265"/>
          <w:jc w:val="center"/>
        </w:trPr>
        <w:tc>
          <w:tcPr>
            <w:tcW w:w="6837" w:type="dxa"/>
            <w:shd w:val="clear" w:color="auto" w:fill="auto"/>
            <w:vAlign w:val="center"/>
            <w:hideMark/>
          </w:tcPr>
          <w:p w14:paraId="17ACE64A" w14:textId="77777777" w:rsidR="009B41DE" w:rsidRPr="002E7DF5" w:rsidRDefault="009B41DE" w:rsidP="00C23E6E">
            <w:pPr>
              <w:spacing w:after="0"/>
              <w:rPr>
                <w:rFonts w:eastAsia="Times New Roman" w:cs="Times New Roman"/>
                <w:b/>
                <w:bCs/>
                <w:sz w:val="18"/>
                <w:szCs w:val="18"/>
                <w:lang w:val="en-US"/>
              </w:rPr>
            </w:pPr>
            <w:r w:rsidRPr="002E7DF5">
              <w:rPr>
                <w:rFonts w:eastAsia="Times New Roman" w:cs="Times New Roman"/>
                <w:b/>
                <w:bCs/>
                <w:sz w:val="18"/>
                <w:szCs w:val="18"/>
              </w:rPr>
              <w:t xml:space="preserve">ТРАНСФЕРИ </w:t>
            </w:r>
            <w:r>
              <w:rPr>
                <w:rFonts w:eastAsia="Times New Roman" w:cs="Times New Roman"/>
                <w:b/>
                <w:bCs/>
                <w:sz w:val="18"/>
                <w:szCs w:val="18"/>
              </w:rPr>
              <w:t>–</w:t>
            </w:r>
            <w:r w:rsidRPr="002E7DF5">
              <w:rPr>
                <w:rFonts w:eastAsia="Times New Roman" w:cs="Times New Roman"/>
                <w:b/>
                <w:bCs/>
                <w:sz w:val="18"/>
                <w:szCs w:val="18"/>
              </w:rPr>
              <w:t xml:space="preserve"> НЕТО</w:t>
            </w:r>
          </w:p>
        </w:tc>
        <w:tc>
          <w:tcPr>
            <w:tcW w:w="1693" w:type="dxa"/>
            <w:shd w:val="clear" w:color="auto" w:fill="auto"/>
            <w:noWrap/>
          </w:tcPr>
          <w:p w14:paraId="5F0B5057" w14:textId="77777777" w:rsidR="009B41DE" w:rsidRPr="005E581F" w:rsidRDefault="009B41DE" w:rsidP="00C23E6E">
            <w:pPr>
              <w:spacing w:after="0"/>
              <w:ind w:hanging="110"/>
              <w:jc w:val="right"/>
              <w:rPr>
                <w:rFonts w:cs="Times New Roman"/>
                <w:bCs/>
                <w:sz w:val="18"/>
                <w:szCs w:val="18"/>
                <w:lang w:val="en-US"/>
              </w:rPr>
            </w:pPr>
          </w:p>
        </w:tc>
        <w:tc>
          <w:tcPr>
            <w:tcW w:w="1568" w:type="dxa"/>
            <w:shd w:val="clear" w:color="auto" w:fill="F2F2F2" w:themeFill="background1" w:themeFillShade="F2"/>
            <w:noWrap/>
          </w:tcPr>
          <w:p w14:paraId="501600EE" w14:textId="77777777" w:rsidR="009B41DE" w:rsidRPr="00686B97" w:rsidRDefault="009B41DE" w:rsidP="00C23E6E">
            <w:pPr>
              <w:spacing w:after="0"/>
              <w:jc w:val="right"/>
              <w:rPr>
                <w:rFonts w:eastAsia="Times New Roman" w:cs="Times New Roman"/>
                <w:b/>
                <w:bCs/>
                <w:sz w:val="18"/>
                <w:szCs w:val="18"/>
              </w:rPr>
            </w:pPr>
          </w:p>
        </w:tc>
        <w:tc>
          <w:tcPr>
            <w:tcW w:w="1424" w:type="dxa"/>
            <w:shd w:val="clear" w:color="auto" w:fill="F2F2F2" w:themeFill="background1" w:themeFillShade="F2"/>
            <w:noWrap/>
          </w:tcPr>
          <w:p w14:paraId="772E96CE" w14:textId="77777777" w:rsidR="009B41DE" w:rsidRPr="00686B97" w:rsidRDefault="009B41DE" w:rsidP="00C23E6E">
            <w:pPr>
              <w:spacing w:after="0"/>
              <w:jc w:val="right"/>
              <w:rPr>
                <w:rFonts w:cs="Times New Roman"/>
                <w:b/>
                <w:bCs/>
                <w:sz w:val="18"/>
                <w:szCs w:val="18"/>
              </w:rPr>
            </w:pPr>
            <w:r>
              <w:rPr>
                <w:rFonts w:cs="Times New Roman"/>
                <w:b/>
                <w:bCs/>
                <w:sz w:val="18"/>
                <w:szCs w:val="18"/>
              </w:rPr>
              <w:t>-384,2</w:t>
            </w:r>
          </w:p>
        </w:tc>
        <w:tc>
          <w:tcPr>
            <w:tcW w:w="1509" w:type="dxa"/>
            <w:shd w:val="clear" w:color="auto" w:fill="F2F2F2" w:themeFill="background1" w:themeFillShade="F2"/>
            <w:noWrap/>
          </w:tcPr>
          <w:p w14:paraId="515C4FB3" w14:textId="77777777" w:rsidR="009B41DE" w:rsidRPr="00F870C6" w:rsidRDefault="009B41DE" w:rsidP="00C23E6E">
            <w:pPr>
              <w:spacing w:after="0"/>
              <w:jc w:val="right"/>
              <w:rPr>
                <w:rFonts w:eastAsia="Times New Roman" w:cs="Times New Roman"/>
                <w:b/>
                <w:bCs/>
                <w:sz w:val="18"/>
                <w:szCs w:val="18"/>
              </w:rPr>
            </w:pPr>
            <w:r>
              <w:rPr>
                <w:rFonts w:eastAsia="Times New Roman" w:cs="Times New Roman"/>
                <w:b/>
                <w:bCs/>
                <w:sz w:val="18"/>
                <w:szCs w:val="18"/>
              </w:rPr>
              <w:t>384,2</w:t>
            </w:r>
          </w:p>
        </w:tc>
        <w:tc>
          <w:tcPr>
            <w:tcW w:w="1778" w:type="dxa"/>
            <w:shd w:val="clear" w:color="auto" w:fill="F2F2F2" w:themeFill="background1" w:themeFillShade="F2"/>
            <w:noWrap/>
            <w:vAlign w:val="center"/>
            <w:hideMark/>
          </w:tcPr>
          <w:p w14:paraId="5D6A7166" w14:textId="77777777" w:rsidR="009B41DE" w:rsidRPr="002E7DF5" w:rsidRDefault="009B41DE" w:rsidP="00C23E6E">
            <w:pPr>
              <w:spacing w:after="0"/>
              <w:jc w:val="right"/>
              <w:rPr>
                <w:rFonts w:eastAsia="Times New Roman" w:cs="Times New Roman"/>
                <w:b/>
                <w:bCs/>
                <w:color w:val="969DAB" w:themeColor="text2" w:themeTint="99"/>
                <w:sz w:val="18"/>
                <w:szCs w:val="18"/>
                <w:lang w:val="en-US"/>
              </w:rPr>
            </w:pPr>
            <w:r w:rsidRPr="002E7DF5">
              <w:rPr>
                <w:rFonts w:eastAsia="Times New Roman" w:cs="Times New Roman"/>
                <w:b/>
                <w:bCs/>
                <w:color w:val="969DAB" w:themeColor="text2" w:themeTint="99"/>
                <w:sz w:val="18"/>
                <w:szCs w:val="18"/>
                <w:lang w:val="en-US"/>
              </w:rPr>
              <w:t> </w:t>
            </w:r>
          </w:p>
        </w:tc>
      </w:tr>
      <w:tr w:rsidR="009B41DE" w:rsidRPr="002E7DF5" w14:paraId="69EC6BE2" w14:textId="77777777" w:rsidTr="009B41DE">
        <w:trPr>
          <w:trHeight w:val="328"/>
          <w:jc w:val="center"/>
        </w:trPr>
        <w:tc>
          <w:tcPr>
            <w:tcW w:w="6837" w:type="dxa"/>
            <w:tcBorders>
              <w:bottom w:val="single" w:sz="4" w:space="0" w:color="auto"/>
            </w:tcBorders>
            <w:shd w:val="clear" w:color="auto" w:fill="auto"/>
            <w:noWrap/>
            <w:vAlign w:val="center"/>
            <w:hideMark/>
          </w:tcPr>
          <w:p w14:paraId="601F8298" w14:textId="77777777" w:rsidR="009B41DE" w:rsidRPr="002E7DF5" w:rsidRDefault="009B41DE" w:rsidP="00C23E6E">
            <w:pPr>
              <w:spacing w:after="0"/>
              <w:rPr>
                <w:rFonts w:eastAsia="Times New Roman" w:cs="Times New Roman"/>
                <w:b/>
                <w:bCs/>
                <w:sz w:val="18"/>
                <w:szCs w:val="18"/>
                <w:lang w:val="en-US"/>
              </w:rPr>
            </w:pPr>
            <w:r w:rsidRPr="002E7DF5">
              <w:rPr>
                <w:rFonts w:eastAsia="Times New Roman" w:cs="Times New Roman"/>
                <w:b/>
                <w:bCs/>
                <w:sz w:val="18"/>
                <w:szCs w:val="18"/>
              </w:rPr>
              <w:t>БЮДЖЕТНО САЛДО</w:t>
            </w:r>
          </w:p>
        </w:tc>
        <w:tc>
          <w:tcPr>
            <w:tcW w:w="1693" w:type="dxa"/>
            <w:tcBorders>
              <w:bottom w:val="single" w:sz="4" w:space="0" w:color="auto"/>
            </w:tcBorders>
            <w:shd w:val="clear" w:color="auto" w:fill="auto"/>
            <w:noWrap/>
          </w:tcPr>
          <w:p w14:paraId="33E1DA62" w14:textId="77777777" w:rsidR="009B41DE" w:rsidRPr="0025514C" w:rsidRDefault="009B41DE" w:rsidP="00C23E6E">
            <w:pPr>
              <w:spacing w:after="0"/>
              <w:ind w:hanging="110"/>
              <w:jc w:val="right"/>
              <w:rPr>
                <w:rFonts w:cs="Times New Roman"/>
                <w:b/>
                <w:bCs/>
                <w:sz w:val="18"/>
                <w:szCs w:val="18"/>
              </w:rPr>
            </w:pPr>
            <w:r>
              <w:rPr>
                <w:rFonts w:cs="Times New Roman"/>
                <w:b/>
                <w:bCs/>
                <w:sz w:val="18"/>
                <w:szCs w:val="18"/>
              </w:rPr>
              <w:t>-3 290,3</w:t>
            </w:r>
          </w:p>
        </w:tc>
        <w:tc>
          <w:tcPr>
            <w:tcW w:w="1568" w:type="dxa"/>
            <w:tcBorders>
              <w:bottom w:val="single" w:sz="4" w:space="0" w:color="auto"/>
            </w:tcBorders>
            <w:shd w:val="clear" w:color="auto" w:fill="F2F2F2" w:themeFill="background1" w:themeFillShade="F2"/>
            <w:noWrap/>
          </w:tcPr>
          <w:p w14:paraId="7A83C148" w14:textId="77777777" w:rsidR="009B41DE" w:rsidRPr="00124E4C" w:rsidRDefault="009B41DE" w:rsidP="00C23E6E">
            <w:pPr>
              <w:spacing w:after="0"/>
              <w:jc w:val="right"/>
              <w:rPr>
                <w:rFonts w:eastAsia="Times New Roman" w:cs="Times New Roman"/>
                <w:b/>
                <w:bCs/>
                <w:sz w:val="18"/>
                <w:szCs w:val="18"/>
              </w:rPr>
            </w:pPr>
            <w:r>
              <w:rPr>
                <w:rFonts w:eastAsia="Times New Roman" w:cs="Times New Roman"/>
                <w:b/>
                <w:bCs/>
                <w:sz w:val="18"/>
                <w:szCs w:val="18"/>
              </w:rPr>
              <w:t>-3 096,8</w:t>
            </w:r>
          </w:p>
        </w:tc>
        <w:tc>
          <w:tcPr>
            <w:tcW w:w="1424" w:type="dxa"/>
            <w:tcBorders>
              <w:bottom w:val="single" w:sz="4" w:space="0" w:color="auto"/>
            </w:tcBorders>
            <w:shd w:val="clear" w:color="auto" w:fill="F2F2F2" w:themeFill="background1" w:themeFillShade="F2"/>
            <w:noWrap/>
          </w:tcPr>
          <w:p w14:paraId="2B9AE5A3" w14:textId="77777777" w:rsidR="009B41DE" w:rsidRPr="009743FA" w:rsidRDefault="009B41DE" w:rsidP="00C23E6E">
            <w:pPr>
              <w:spacing w:after="0"/>
              <w:jc w:val="right"/>
              <w:rPr>
                <w:rFonts w:cs="Times New Roman"/>
                <w:b/>
                <w:bCs/>
                <w:sz w:val="18"/>
                <w:szCs w:val="18"/>
              </w:rPr>
            </w:pPr>
            <w:r>
              <w:rPr>
                <w:rFonts w:cs="Times New Roman"/>
                <w:b/>
                <w:bCs/>
                <w:sz w:val="18"/>
                <w:szCs w:val="18"/>
              </w:rPr>
              <w:t>-2 227,2</w:t>
            </w:r>
          </w:p>
        </w:tc>
        <w:tc>
          <w:tcPr>
            <w:tcW w:w="1509" w:type="dxa"/>
            <w:tcBorders>
              <w:bottom w:val="single" w:sz="4" w:space="0" w:color="auto"/>
            </w:tcBorders>
            <w:shd w:val="clear" w:color="auto" w:fill="F2F2F2" w:themeFill="background1" w:themeFillShade="F2"/>
            <w:noWrap/>
          </w:tcPr>
          <w:p w14:paraId="70686911" w14:textId="77777777" w:rsidR="009B41DE" w:rsidRPr="009F0256" w:rsidRDefault="009B41DE" w:rsidP="00C23E6E">
            <w:pPr>
              <w:spacing w:after="0"/>
              <w:jc w:val="right"/>
              <w:rPr>
                <w:rFonts w:eastAsia="Times New Roman" w:cs="Times New Roman"/>
                <w:b/>
                <w:bCs/>
                <w:sz w:val="18"/>
                <w:szCs w:val="18"/>
              </w:rPr>
            </w:pPr>
            <w:r>
              <w:rPr>
                <w:rFonts w:eastAsia="Times New Roman" w:cs="Times New Roman"/>
                <w:b/>
                <w:bCs/>
                <w:sz w:val="18"/>
                <w:szCs w:val="18"/>
              </w:rPr>
              <w:t>- 869,6</w:t>
            </w:r>
          </w:p>
        </w:tc>
        <w:tc>
          <w:tcPr>
            <w:tcW w:w="1778" w:type="dxa"/>
            <w:tcBorders>
              <w:bottom w:val="single" w:sz="4" w:space="0" w:color="auto"/>
            </w:tcBorders>
            <w:shd w:val="clear" w:color="auto" w:fill="F2F2F2" w:themeFill="background1" w:themeFillShade="F2"/>
            <w:noWrap/>
            <w:vAlign w:val="center"/>
            <w:hideMark/>
          </w:tcPr>
          <w:p w14:paraId="70939C9F" w14:textId="77777777" w:rsidR="009B41DE" w:rsidRPr="00435C98" w:rsidRDefault="009B41DE" w:rsidP="00C23E6E">
            <w:pPr>
              <w:spacing w:after="0"/>
              <w:jc w:val="right"/>
              <w:rPr>
                <w:rFonts w:eastAsia="Times New Roman" w:cs="Times New Roman"/>
                <w:b/>
                <w:bCs/>
                <w:sz w:val="18"/>
                <w:szCs w:val="18"/>
                <w:lang w:val="en-US"/>
              </w:rPr>
            </w:pPr>
            <w:r w:rsidRPr="00435C98">
              <w:rPr>
                <w:rFonts w:eastAsia="Times New Roman" w:cs="Times New Roman"/>
                <w:b/>
                <w:bCs/>
                <w:sz w:val="18"/>
                <w:szCs w:val="18"/>
                <w:lang w:val="en-US"/>
              </w:rPr>
              <w:t> </w:t>
            </w:r>
          </w:p>
        </w:tc>
      </w:tr>
    </w:tbl>
    <w:p w14:paraId="2DF39B23" w14:textId="77777777" w:rsidR="009B41DE" w:rsidRDefault="009B41DE" w:rsidP="00E35CB9">
      <w:pPr>
        <w:autoSpaceDE w:val="0"/>
        <w:autoSpaceDN w:val="0"/>
        <w:adjustRightInd w:val="0"/>
        <w:spacing w:after="60"/>
        <w:ind w:firstLine="1138"/>
        <w:jc w:val="right"/>
        <w:rPr>
          <w:rFonts w:eastAsia="Times New Roman" w:cs="Calibri"/>
          <w:bCs/>
          <w:sz w:val="18"/>
          <w:szCs w:val="18"/>
        </w:rPr>
      </w:pPr>
    </w:p>
    <w:p w14:paraId="759365FA" w14:textId="77777777" w:rsidR="009B41DE" w:rsidRPr="00A610B8" w:rsidRDefault="009B41DE" w:rsidP="00A610B8">
      <w:pPr>
        <w:spacing w:after="0"/>
        <w:rPr>
          <w:rFonts w:eastAsia="Batang" w:cs="Times New Roman"/>
          <w:sz w:val="18"/>
          <w:szCs w:val="18"/>
        </w:rPr>
      </w:pPr>
      <w:r w:rsidRPr="00A610B8">
        <w:rPr>
          <w:rFonts w:eastAsia="Batang" w:cs="Times New Roman"/>
          <w:sz w:val="18"/>
          <w:szCs w:val="18"/>
        </w:rPr>
        <w:t>*  Данните са на база на тримесечните отчети за касовото изпълнение на ПРБ</w:t>
      </w:r>
      <w:r w:rsidR="00A610B8">
        <w:rPr>
          <w:rFonts w:eastAsia="Batang" w:cs="Times New Roman"/>
          <w:sz w:val="18"/>
          <w:szCs w:val="18"/>
        </w:rPr>
        <w:t>.</w:t>
      </w:r>
    </w:p>
    <w:p w14:paraId="32BC26FA" w14:textId="77777777" w:rsidR="009B41DE" w:rsidRPr="00A610B8" w:rsidRDefault="009B41DE" w:rsidP="00A610B8">
      <w:pPr>
        <w:spacing w:after="0"/>
        <w:rPr>
          <w:rFonts w:eastAsia="Batang" w:cs="Times New Roman"/>
          <w:sz w:val="18"/>
          <w:szCs w:val="18"/>
        </w:rPr>
      </w:pPr>
      <w:r w:rsidRPr="00A610B8">
        <w:rPr>
          <w:rFonts w:eastAsia="Batang" w:cs="Times New Roman"/>
          <w:sz w:val="18"/>
          <w:szCs w:val="18"/>
        </w:rPr>
        <w:t>** В позицията „Резерв за непредвидени и/или неотложни разходи“ се отразяват само разходите по разчет, а средствата, изразходвани за сметка на резерва по отчет са отчетени по съответните разходни позиции, към които се отнасят извършените разходи.</w:t>
      </w:r>
    </w:p>
    <w:p w14:paraId="773001BC" w14:textId="77777777" w:rsidR="0029045D" w:rsidRDefault="0029045D" w:rsidP="0029045D">
      <w:pPr>
        <w:rPr>
          <w:rFonts w:eastAsia="Times New Roman" w:cs="Calibri"/>
          <w:bCs/>
          <w:sz w:val="18"/>
          <w:szCs w:val="18"/>
        </w:rPr>
      </w:pPr>
    </w:p>
    <w:p w14:paraId="07BF7CFD" w14:textId="77777777" w:rsidR="009B41DE" w:rsidRPr="0029045D" w:rsidRDefault="009B41DE" w:rsidP="0029045D">
      <w:pPr>
        <w:rPr>
          <w:rFonts w:eastAsia="Batang"/>
          <w:sz w:val="18"/>
          <w:szCs w:val="18"/>
        </w:rPr>
      </w:pPr>
    </w:p>
    <w:p w14:paraId="582ABAC5" w14:textId="77777777" w:rsidR="00B44EEB" w:rsidRPr="00AA3F66" w:rsidRDefault="00B44EEB" w:rsidP="007E2FE2">
      <w:pPr>
        <w:rPr>
          <w:rFonts w:eastAsia="Batang"/>
          <w:sz w:val="18"/>
          <w:szCs w:val="18"/>
        </w:rPr>
        <w:sectPr w:rsidR="00B44EEB" w:rsidRPr="00AA3F66" w:rsidSect="002D7CED">
          <w:footerReference w:type="even" r:id="rId32"/>
          <w:headerReference w:type="first" r:id="rId33"/>
          <w:footerReference w:type="first" r:id="rId34"/>
          <w:type w:val="continuous"/>
          <w:pgSz w:w="16838" w:h="11906" w:orient="landscape" w:code="9"/>
          <w:pgMar w:top="851" w:right="1134" w:bottom="851" w:left="1134" w:header="709" w:footer="709" w:gutter="0"/>
          <w:cols w:space="708"/>
          <w:docGrid w:linePitch="360"/>
        </w:sectPr>
      </w:pPr>
    </w:p>
    <w:p w14:paraId="7A4BEEA1" w14:textId="77777777" w:rsidR="00EE1D8D" w:rsidRPr="002B45C7" w:rsidRDefault="00EE1D8D" w:rsidP="00180E1F">
      <w:pPr>
        <w:suppressAutoHyphens/>
        <w:autoSpaceDE w:val="0"/>
        <w:autoSpaceDN w:val="0"/>
        <w:adjustRightInd w:val="0"/>
        <w:spacing w:after="120" w:line="276" w:lineRule="auto"/>
        <w:rPr>
          <w:b/>
          <w:color w:val="943634"/>
          <w:sz w:val="22"/>
        </w:rPr>
      </w:pPr>
      <w:r w:rsidRPr="002B45C7">
        <w:rPr>
          <w:b/>
          <w:color w:val="943634"/>
          <w:sz w:val="22"/>
        </w:rPr>
        <w:lastRenderedPageBreak/>
        <w:t>Изпълнение на приходите</w:t>
      </w:r>
      <w:r w:rsidR="001622AA" w:rsidRPr="002B45C7">
        <w:rPr>
          <w:b/>
          <w:color w:val="943634"/>
          <w:sz w:val="22"/>
        </w:rPr>
        <w:t>,</w:t>
      </w:r>
      <w:r w:rsidRPr="002B45C7">
        <w:rPr>
          <w:b/>
          <w:color w:val="943634"/>
          <w:sz w:val="22"/>
        </w:rPr>
        <w:t xml:space="preserve"> </w:t>
      </w:r>
      <w:r w:rsidR="001622AA" w:rsidRPr="002B45C7">
        <w:rPr>
          <w:b/>
          <w:bCs/>
          <w:color w:val="943634"/>
          <w:sz w:val="22"/>
        </w:rPr>
        <w:t xml:space="preserve">помощите и даренията </w:t>
      </w:r>
      <w:r w:rsidRPr="002B45C7">
        <w:rPr>
          <w:b/>
          <w:color w:val="943634"/>
          <w:sz w:val="22"/>
        </w:rPr>
        <w:t xml:space="preserve">по КФП </w:t>
      </w:r>
    </w:p>
    <w:p w14:paraId="4E0E993D"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Постъпилите </w:t>
      </w:r>
      <w:r w:rsidRPr="00C97608">
        <w:rPr>
          <w:rFonts w:eastAsia="Batang" w:cs="Times New Roman"/>
          <w:b/>
          <w:bCs/>
          <w:i/>
          <w:sz w:val="20"/>
          <w:szCs w:val="20"/>
        </w:rPr>
        <w:t>приходи, помощи и дарения</w:t>
      </w:r>
      <w:r w:rsidRPr="00C97608">
        <w:rPr>
          <w:rFonts w:eastAsia="Batang" w:cs="Times New Roman"/>
          <w:bCs/>
          <w:sz w:val="20"/>
          <w:szCs w:val="20"/>
        </w:rPr>
        <w:t xml:space="preserve"> към </w:t>
      </w:r>
      <w:r>
        <w:rPr>
          <w:rFonts w:eastAsia="Batang" w:cs="Times New Roman"/>
          <w:bCs/>
          <w:sz w:val="20"/>
          <w:szCs w:val="20"/>
        </w:rPr>
        <w:t>септември</w:t>
      </w:r>
      <w:r w:rsidRPr="00C97608">
        <w:rPr>
          <w:rFonts w:eastAsia="Batang" w:cs="Times New Roman"/>
          <w:bCs/>
          <w:sz w:val="20"/>
          <w:szCs w:val="20"/>
        </w:rPr>
        <w:t xml:space="preserve"> 2025 г. са в размер на </w:t>
      </w:r>
      <w:r>
        <w:rPr>
          <w:rFonts w:eastAsia="Batang" w:cs="Times New Roman"/>
          <w:bCs/>
          <w:sz w:val="20"/>
          <w:szCs w:val="20"/>
        </w:rPr>
        <w:t>30 553,6</w:t>
      </w:r>
      <w:r w:rsidRPr="00C97608">
        <w:rPr>
          <w:rFonts w:eastAsia="Batang" w:cs="Times New Roman"/>
          <w:bCs/>
          <w:sz w:val="20"/>
          <w:szCs w:val="20"/>
        </w:rPr>
        <w:t xml:space="preserve"> млн. евро, което представлява </w:t>
      </w:r>
      <w:r>
        <w:rPr>
          <w:rFonts w:eastAsia="Batang" w:cs="Times New Roman"/>
          <w:bCs/>
          <w:sz w:val="20"/>
          <w:szCs w:val="20"/>
        </w:rPr>
        <w:t>66,2</w:t>
      </w:r>
      <w:r w:rsidRPr="00C97608">
        <w:rPr>
          <w:rFonts w:eastAsia="Batang" w:cs="Times New Roman"/>
          <w:bCs/>
          <w:sz w:val="20"/>
          <w:szCs w:val="20"/>
        </w:rPr>
        <w:t>% от разчетите към ЗДБРБ за 2025 година. Постъпленията нарастват с 1</w:t>
      </w:r>
      <w:r>
        <w:rPr>
          <w:rFonts w:eastAsia="Batang" w:cs="Times New Roman"/>
          <w:bCs/>
          <w:sz w:val="20"/>
          <w:szCs w:val="20"/>
        </w:rPr>
        <w:t>4,8</w:t>
      </w:r>
      <w:r w:rsidRPr="00C97608">
        <w:rPr>
          <w:rFonts w:eastAsia="Batang" w:cs="Times New Roman"/>
          <w:bCs/>
          <w:sz w:val="20"/>
          <w:szCs w:val="20"/>
        </w:rPr>
        <w:t>% (3</w:t>
      </w:r>
      <w:r>
        <w:rPr>
          <w:rFonts w:eastAsia="Batang" w:cs="Times New Roman"/>
          <w:bCs/>
          <w:sz w:val="20"/>
          <w:szCs w:val="20"/>
        </w:rPr>
        <w:t> 949,0</w:t>
      </w:r>
      <w:r w:rsidRPr="00C97608">
        <w:rPr>
          <w:rFonts w:eastAsia="Batang" w:cs="Times New Roman"/>
          <w:bCs/>
          <w:sz w:val="20"/>
          <w:szCs w:val="20"/>
        </w:rPr>
        <w:t xml:space="preserve"> млн. евро) спрямо отчетените към </w:t>
      </w:r>
      <w:r>
        <w:rPr>
          <w:rFonts w:eastAsia="Batang" w:cs="Times New Roman"/>
          <w:bCs/>
          <w:sz w:val="20"/>
          <w:szCs w:val="20"/>
        </w:rPr>
        <w:t>септември</w:t>
      </w:r>
      <w:r w:rsidRPr="00C97608">
        <w:rPr>
          <w:rFonts w:eastAsia="Batang" w:cs="Times New Roman"/>
          <w:bCs/>
          <w:sz w:val="20"/>
          <w:szCs w:val="20"/>
        </w:rPr>
        <w:t xml:space="preserve"> 2024 година. За този ръст принос имат най-вече данъчните приходи, които нарастват c 14,</w:t>
      </w:r>
      <w:r>
        <w:rPr>
          <w:rFonts w:eastAsia="Batang" w:cs="Times New Roman"/>
          <w:bCs/>
          <w:sz w:val="20"/>
          <w:szCs w:val="20"/>
        </w:rPr>
        <w:t>5</w:t>
      </w:r>
      <w:r w:rsidRPr="00C97608">
        <w:rPr>
          <w:rFonts w:eastAsia="Batang" w:cs="Times New Roman"/>
          <w:bCs/>
          <w:sz w:val="20"/>
          <w:szCs w:val="20"/>
        </w:rPr>
        <w:t>% (</w:t>
      </w:r>
      <w:r>
        <w:rPr>
          <w:rFonts w:eastAsia="Batang" w:cs="Times New Roman"/>
          <w:bCs/>
          <w:sz w:val="20"/>
          <w:szCs w:val="20"/>
        </w:rPr>
        <w:t>3 125,2</w:t>
      </w:r>
      <w:r w:rsidRPr="00C97608">
        <w:rPr>
          <w:rFonts w:eastAsia="Batang" w:cs="Times New Roman"/>
          <w:bCs/>
          <w:sz w:val="20"/>
          <w:szCs w:val="20"/>
        </w:rPr>
        <w:t xml:space="preserve"> млн. евро). Неданъчните приходи нарастват с </w:t>
      </w:r>
      <w:r>
        <w:rPr>
          <w:rFonts w:eastAsia="Batang" w:cs="Times New Roman"/>
          <w:bCs/>
          <w:sz w:val="20"/>
          <w:szCs w:val="20"/>
        </w:rPr>
        <w:t>26,2</w:t>
      </w:r>
      <w:r w:rsidRPr="00C97608">
        <w:rPr>
          <w:rFonts w:eastAsia="Batang" w:cs="Times New Roman"/>
          <w:bCs/>
          <w:sz w:val="20"/>
          <w:szCs w:val="20"/>
        </w:rPr>
        <w:t>% (</w:t>
      </w:r>
      <w:r>
        <w:rPr>
          <w:rFonts w:eastAsia="Batang" w:cs="Times New Roman"/>
          <w:bCs/>
          <w:sz w:val="20"/>
          <w:szCs w:val="20"/>
        </w:rPr>
        <w:t>968,4</w:t>
      </w:r>
      <w:r w:rsidRPr="00C97608">
        <w:rPr>
          <w:rFonts w:eastAsia="Batang" w:cs="Times New Roman"/>
          <w:bCs/>
          <w:sz w:val="20"/>
          <w:szCs w:val="20"/>
        </w:rPr>
        <w:t xml:space="preserve"> млн. евро) спрямо отчетените за същия период на 2024 г., а постъпленията в частта на помощите и даренията са по-малко с</w:t>
      </w:r>
      <w:r>
        <w:rPr>
          <w:rFonts w:eastAsia="Batang" w:cs="Times New Roman"/>
          <w:bCs/>
          <w:sz w:val="20"/>
          <w:szCs w:val="20"/>
        </w:rPr>
        <w:t>ъс</w:t>
      </w:r>
      <w:r w:rsidRPr="00C97608">
        <w:rPr>
          <w:rFonts w:eastAsia="Batang" w:cs="Times New Roman"/>
          <w:bCs/>
          <w:sz w:val="20"/>
          <w:szCs w:val="20"/>
        </w:rPr>
        <w:t xml:space="preserve"> </w:t>
      </w:r>
      <w:r>
        <w:rPr>
          <w:rFonts w:eastAsia="Batang" w:cs="Times New Roman"/>
          <w:bCs/>
          <w:sz w:val="20"/>
          <w:szCs w:val="20"/>
        </w:rPr>
        <w:t>144,7</w:t>
      </w:r>
      <w:r w:rsidRPr="00C97608">
        <w:rPr>
          <w:rFonts w:eastAsia="Batang" w:cs="Times New Roman"/>
          <w:bCs/>
          <w:sz w:val="20"/>
          <w:szCs w:val="20"/>
        </w:rPr>
        <w:t xml:space="preserve"> млн. евро. </w:t>
      </w:r>
    </w:p>
    <w:p w14:paraId="211991A7"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
          <w:bCs/>
          <w:i/>
          <w:sz w:val="20"/>
          <w:szCs w:val="20"/>
        </w:rPr>
        <w:t>Данъчните приходи</w:t>
      </w:r>
      <w:r w:rsidRPr="00C97608">
        <w:rPr>
          <w:rFonts w:eastAsia="Batang" w:cs="Times New Roman"/>
          <w:bCs/>
          <w:sz w:val="20"/>
          <w:szCs w:val="20"/>
        </w:rPr>
        <w:t xml:space="preserve"> (вкл. приходите от осигурителни вноски) са в размер на 2</w:t>
      </w:r>
      <w:r>
        <w:rPr>
          <w:rFonts w:eastAsia="Batang" w:cs="Times New Roman"/>
          <w:bCs/>
          <w:sz w:val="20"/>
          <w:szCs w:val="20"/>
        </w:rPr>
        <w:t>4 749,1</w:t>
      </w:r>
      <w:r w:rsidRPr="00C97608">
        <w:rPr>
          <w:rFonts w:eastAsia="Batang" w:cs="Times New Roman"/>
          <w:bCs/>
          <w:sz w:val="20"/>
          <w:szCs w:val="20"/>
          <w:lang w:val="ru-RU"/>
        </w:rPr>
        <w:t xml:space="preserve"> </w:t>
      </w:r>
      <w:r w:rsidRPr="00C97608">
        <w:rPr>
          <w:rFonts w:eastAsia="Batang" w:cs="Times New Roman"/>
          <w:bCs/>
          <w:sz w:val="20"/>
          <w:szCs w:val="20"/>
        </w:rPr>
        <w:t>млн. евро, което представлява 6</w:t>
      </w:r>
      <w:r>
        <w:rPr>
          <w:rFonts w:eastAsia="Batang" w:cs="Times New Roman"/>
          <w:bCs/>
          <w:sz w:val="20"/>
          <w:szCs w:val="20"/>
        </w:rPr>
        <w:t>8,3</w:t>
      </w:r>
      <w:r w:rsidRPr="00C97608">
        <w:rPr>
          <w:rFonts w:eastAsia="Batang" w:cs="Times New Roman"/>
          <w:bCs/>
          <w:sz w:val="20"/>
          <w:szCs w:val="20"/>
        </w:rPr>
        <w:t>% от разчетените за годината и формират 81,</w:t>
      </w:r>
      <w:r>
        <w:rPr>
          <w:rFonts w:eastAsia="Batang" w:cs="Times New Roman"/>
          <w:bCs/>
          <w:sz w:val="20"/>
          <w:szCs w:val="20"/>
        </w:rPr>
        <w:t>0</w:t>
      </w:r>
      <w:r w:rsidRPr="00C97608">
        <w:rPr>
          <w:rFonts w:eastAsia="Batang" w:cs="Times New Roman"/>
          <w:bCs/>
          <w:sz w:val="20"/>
          <w:szCs w:val="20"/>
        </w:rPr>
        <w:t>% от общите постъпления по КФП за периода. Късното приемане на ЗДБРБ за</w:t>
      </w:r>
      <w:r>
        <w:rPr>
          <w:rFonts w:eastAsia="Batang" w:cs="Times New Roman"/>
          <w:bCs/>
          <w:sz w:val="20"/>
          <w:szCs w:val="20"/>
        </w:rPr>
        <w:t xml:space="preserve"> 2025 г. забави прилагането на </w:t>
      </w:r>
      <w:r w:rsidRPr="00C97608">
        <w:rPr>
          <w:rFonts w:eastAsia="Batang" w:cs="Times New Roman"/>
          <w:bCs/>
          <w:sz w:val="20"/>
          <w:szCs w:val="20"/>
        </w:rPr>
        <w:t>мерките за повишаване на събираемостта на приходите и борбата със сивата икономика, съкрати времето на тяхното прилагане през 2025 г. Очаква се положителните ефекти в приходите да се проявят през оставащите месеци до края на годината.</w:t>
      </w:r>
    </w:p>
    <w:p w14:paraId="6CF57AFF"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Постъпленията в групата на </w:t>
      </w:r>
      <w:r w:rsidRPr="00C97608">
        <w:rPr>
          <w:rFonts w:eastAsia="Batang" w:cs="Times New Roman"/>
          <w:bCs/>
          <w:i/>
          <w:sz w:val="20"/>
          <w:szCs w:val="20"/>
        </w:rPr>
        <w:t>преките данъци</w:t>
      </w:r>
      <w:r w:rsidRPr="00C97608">
        <w:rPr>
          <w:rFonts w:eastAsia="Batang" w:cs="Times New Roman"/>
          <w:bCs/>
          <w:sz w:val="20"/>
          <w:szCs w:val="20"/>
        </w:rPr>
        <w:t xml:space="preserve"> са в размер на </w:t>
      </w:r>
      <w:r>
        <w:rPr>
          <w:rFonts w:eastAsia="Batang" w:cs="Times New Roman"/>
          <w:bCs/>
          <w:sz w:val="20"/>
          <w:szCs w:val="20"/>
        </w:rPr>
        <w:t>5 192,6</w:t>
      </w:r>
      <w:r w:rsidRPr="00C97608">
        <w:rPr>
          <w:rFonts w:eastAsia="Batang" w:cs="Times New Roman"/>
          <w:bCs/>
          <w:sz w:val="20"/>
          <w:szCs w:val="20"/>
        </w:rPr>
        <w:t xml:space="preserve"> млн. евро, което представлява 6</w:t>
      </w:r>
      <w:r>
        <w:rPr>
          <w:rFonts w:eastAsia="Batang" w:cs="Times New Roman"/>
          <w:bCs/>
          <w:sz w:val="20"/>
          <w:szCs w:val="20"/>
        </w:rPr>
        <w:t>9,4</w:t>
      </w:r>
      <w:r w:rsidRPr="00C97608">
        <w:rPr>
          <w:rFonts w:eastAsia="Batang" w:cs="Times New Roman"/>
          <w:bCs/>
          <w:sz w:val="20"/>
          <w:szCs w:val="20"/>
        </w:rPr>
        <w:t xml:space="preserve">% от разчета за 2025 г. и ръст от </w:t>
      </w:r>
      <w:r w:rsidRPr="00C97608">
        <w:rPr>
          <w:rFonts w:eastAsia="Batang" w:cs="Times New Roman"/>
          <w:bCs/>
          <w:sz w:val="20"/>
          <w:szCs w:val="20"/>
          <w:lang w:val="ru-RU"/>
        </w:rPr>
        <w:t>8</w:t>
      </w:r>
      <w:r>
        <w:rPr>
          <w:rFonts w:eastAsia="Batang" w:cs="Times New Roman"/>
          <w:bCs/>
          <w:sz w:val="20"/>
          <w:szCs w:val="20"/>
          <w:lang w:val="ru-RU"/>
        </w:rPr>
        <w:t>90,3</w:t>
      </w:r>
      <w:r w:rsidRPr="00C97608">
        <w:rPr>
          <w:rFonts w:eastAsia="Batang" w:cs="Times New Roman"/>
          <w:bCs/>
          <w:sz w:val="20"/>
          <w:szCs w:val="20"/>
        </w:rPr>
        <w:t xml:space="preserve"> млн. евро спрямо отчетените към </w:t>
      </w:r>
      <w:r>
        <w:rPr>
          <w:rFonts w:eastAsia="Batang" w:cs="Times New Roman"/>
          <w:bCs/>
          <w:sz w:val="20"/>
          <w:szCs w:val="20"/>
        </w:rPr>
        <w:t>септември</w:t>
      </w:r>
      <w:r w:rsidRPr="00C97608">
        <w:rPr>
          <w:rFonts w:eastAsia="Batang" w:cs="Times New Roman"/>
          <w:bCs/>
          <w:sz w:val="20"/>
          <w:szCs w:val="20"/>
        </w:rPr>
        <w:t xml:space="preserve"> 2024 г.</w:t>
      </w:r>
    </w:p>
    <w:p w14:paraId="207C85D8"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 Постъпленията от </w:t>
      </w:r>
      <w:r w:rsidRPr="00C97608">
        <w:rPr>
          <w:rFonts w:eastAsia="Batang" w:cs="Times New Roman"/>
          <w:bCs/>
          <w:i/>
          <w:sz w:val="20"/>
          <w:szCs w:val="20"/>
        </w:rPr>
        <w:t>косвени</w:t>
      </w:r>
      <w:r w:rsidRPr="00C97608">
        <w:rPr>
          <w:rFonts w:eastAsia="Batang" w:cs="Times New Roman"/>
          <w:bCs/>
          <w:sz w:val="20"/>
          <w:szCs w:val="20"/>
        </w:rPr>
        <w:t xml:space="preserve"> </w:t>
      </w:r>
      <w:r w:rsidRPr="00C97608">
        <w:rPr>
          <w:rFonts w:eastAsia="Batang" w:cs="Times New Roman"/>
          <w:bCs/>
          <w:i/>
          <w:sz w:val="20"/>
          <w:szCs w:val="20"/>
        </w:rPr>
        <w:t>данъци</w:t>
      </w:r>
      <w:r w:rsidRPr="00C97608">
        <w:rPr>
          <w:rFonts w:eastAsia="Batang" w:cs="Times New Roman"/>
          <w:bCs/>
          <w:sz w:val="20"/>
          <w:szCs w:val="20"/>
        </w:rPr>
        <w:t xml:space="preserve"> са в размер на </w:t>
      </w:r>
      <w:r>
        <w:rPr>
          <w:rFonts w:eastAsia="Batang" w:cs="Times New Roman"/>
          <w:bCs/>
          <w:sz w:val="20"/>
          <w:szCs w:val="20"/>
        </w:rPr>
        <w:t>10 768,0</w:t>
      </w:r>
      <w:r w:rsidRPr="00C97608">
        <w:rPr>
          <w:rFonts w:eastAsia="Batang" w:cs="Times New Roman"/>
          <w:bCs/>
          <w:sz w:val="20"/>
          <w:szCs w:val="20"/>
        </w:rPr>
        <w:t xml:space="preserve"> млн. евро, което представлява </w:t>
      </w:r>
      <w:r>
        <w:rPr>
          <w:rFonts w:eastAsia="Batang" w:cs="Times New Roman"/>
          <w:bCs/>
          <w:sz w:val="20"/>
          <w:szCs w:val="20"/>
        </w:rPr>
        <w:t>63,9</w:t>
      </w:r>
      <w:r w:rsidRPr="00C97608">
        <w:rPr>
          <w:rFonts w:eastAsia="Batang" w:cs="Times New Roman"/>
          <w:bCs/>
          <w:sz w:val="20"/>
          <w:szCs w:val="20"/>
        </w:rPr>
        <w:t>% от предвидените в ЗДБРБ за 2025 г. и ръст от 1</w:t>
      </w:r>
      <w:r>
        <w:rPr>
          <w:rFonts w:eastAsia="Batang" w:cs="Times New Roman"/>
          <w:bCs/>
          <w:sz w:val="20"/>
          <w:szCs w:val="20"/>
        </w:rPr>
        <w:t> 127,4</w:t>
      </w:r>
      <w:r w:rsidRPr="00C97608">
        <w:rPr>
          <w:rFonts w:eastAsia="Batang" w:cs="Times New Roman"/>
          <w:bCs/>
          <w:sz w:val="20"/>
          <w:szCs w:val="20"/>
        </w:rPr>
        <w:t xml:space="preserve"> млн. евро, 1</w:t>
      </w:r>
      <w:r>
        <w:rPr>
          <w:rFonts w:eastAsia="Batang" w:cs="Times New Roman"/>
          <w:bCs/>
          <w:sz w:val="20"/>
          <w:szCs w:val="20"/>
        </w:rPr>
        <w:t>1,7</w:t>
      </w:r>
      <w:r w:rsidRPr="00C97608">
        <w:rPr>
          <w:rFonts w:eastAsia="Batang" w:cs="Times New Roman"/>
          <w:bCs/>
          <w:sz w:val="20"/>
          <w:szCs w:val="20"/>
        </w:rPr>
        <w:t xml:space="preserve">% спрямо отчетените към </w:t>
      </w:r>
      <w:r>
        <w:rPr>
          <w:rFonts w:eastAsia="Batang" w:cs="Times New Roman"/>
          <w:bCs/>
          <w:sz w:val="20"/>
          <w:szCs w:val="20"/>
        </w:rPr>
        <w:t>септември</w:t>
      </w:r>
      <w:r w:rsidRPr="00C97608">
        <w:rPr>
          <w:rFonts w:eastAsia="Batang" w:cs="Times New Roman"/>
          <w:bCs/>
          <w:sz w:val="20"/>
          <w:szCs w:val="20"/>
        </w:rPr>
        <w:t xml:space="preserve"> 2024 г. (основно поради ръст на приходите от ДДС). Приходите от ДДС са в размер н</w:t>
      </w:r>
      <w:r w:rsidRPr="00C97608">
        <w:rPr>
          <w:rFonts w:eastAsia="Batang" w:cs="Times New Roman"/>
          <w:bCs/>
          <w:sz w:val="20"/>
          <w:szCs w:val="20"/>
          <w:lang w:val="ru-RU"/>
        </w:rPr>
        <w:t xml:space="preserve">а </w:t>
      </w:r>
      <w:r>
        <w:rPr>
          <w:rFonts w:eastAsia="Batang" w:cs="Times New Roman"/>
          <w:bCs/>
          <w:sz w:val="20"/>
          <w:szCs w:val="20"/>
          <w:lang w:val="ru-RU"/>
        </w:rPr>
        <w:t>7 868,2</w:t>
      </w:r>
      <w:r w:rsidRPr="00C97608">
        <w:rPr>
          <w:rFonts w:eastAsia="Batang" w:cs="Times New Roman"/>
          <w:bCs/>
          <w:sz w:val="20"/>
          <w:szCs w:val="20"/>
          <w:lang w:val="ru-RU"/>
        </w:rPr>
        <w:t xml:space="preserve"> млн. евро, което представлява </w:t>
      </w:r>
      <w:r>
        <w:rPr>
          <w:rFonts w:eastAsia="Batang" w:cs="Times New Roman"/>
          <w:bCs/>
          <w:sz w:val="20"/>
          <w:szCs w:val="20"/>
          <w:lang w:val="ru-RU"/>
        </w:rPr>
        <w:t>62,0</w:t>
      </w:r>
      <w:r w:rsidRPr="00C97608">
        <w:rPr>
          <w:rFonts w:eastAsia="Batang" w:cs="Times New Roman"/>
          <w:bCs/>
          <w:sz w:val="20"/>
          <w:szCs w:val="20"/>
          <w:lang w:val="ru-RU"/>
        </w:rPr>
        <w:t xml:space="preserve">% от планираните със ЗДБРБ за 2025 година. Съпоставени с края на </w:t>
      </w:r>
      <w:r>
        <w:rPr>
          <w:rFonts w:eastAsia="Batang" w:cs="Times New Roman"/>
          <w:bCs/>
          <w:sz w:val="20"/>
          <w:szCs w:val="20"/>
          <w:lang w:val="ru-RU"/>
        </w:rPr>
        <w:t>септември</w:t>
      </w:r>
      <w:r w:rsidRPr="00C97608">
        <w:rPr>
          <w:rFonts w:eastAsia="Batang" w:cs="Times New Roman"/>
          <w:bCs/>
          <w:sz w:val="20"/>
          <w:szCs w:val="20"/>
          <w:lang w:val="ru-RU"/>
        </w:rPr>
        <w:t xml:space="preserve"> 2024 г., приходите от ДДС нарастват с </w:t>
      </w:r>
      <w:r>
        <w:rPr>
          <w:rFonts w:eastAsia="Batang" w:cs="Times New Roman"/>
          <w:bCs/>
          <w:sz w:val="20"/>
          <w:szCs w:val="20"/>
          <w:lang w:val="ru-RU"/>
        </w:rPr>
        <w:t>974,0</w:t>
      </w:r>
      <w:r w:rsidRPr="00C97608">
        <w:rPr>
          <w:rFonts w:eastAsia="Batang" w:cs="Times New Roman"/>
          <w:bCs/>
          <w:sz w:val="20"/>
          <w:szCs w:val="20"/>
          <w:lang w:val="ru-RU"/>
        </w:rPr>
        <w:t xml:space="preserve"> млн. </w:t>
      </w:r>
      <w:r w:rsidRPr="00C97608">
        <w:rPr>
          <w:rFonts w:eastAsia="Batang" w:cs="Times New Roman"/>
          <w:bCs/>
          <w:sz w:val="20"/>
          <w:szCs w:val="20"/>
        </w:rPr>
        <w:t>евро</w:t>
      </w:r>
      <w:r w:rsidRPr="00C97608">
        <w:rPr>
          <w:rFonts w:eastAsia="Batang" w:cs="Times New Roman"/>
          <w:bCs/>
          <w:sz w:val="20"/>
          <w:szCs w:val="20"/>
          <w:lang w:val="ru-RU"/>
        </w:rPr>
        <w:t xml:space="preserve"> (14,</w:t>
      </w:r>
      <w:r>
        <w:rPr>
          <w:rFonts w:eastAsia="Batang" w:cs="Times New Roman"/>
          <w:bCs/>
          <w:sz w:val="20"/>
          <w:szCs w:val="20"/>
          <w:lang w:val="ru-RU"/>
        </w:rPr>
        <w:t>1</w:t>
      </w:r>
      <w:r w:rsidRPr="00C97608">
        <w:rPr>
          <w:rFonts w:eastAsia="Batang" w:cs="Times New Roman"/>
          <w:bCs/>
          <w:sz w:val="20"/>
          <w:szCs w:val="20"/>
          <w:lang w:val="ru-RU"/>
        </w:rPr>
        <w:t xml:space="preserve"> на сто), в резултат основно на по-високите приходи от ДДС от сделки в страната и вътреобщностни придобивания (ВОП).</w:t>
      </w:r>
      <w:r w:rsidRPr="00C97608">
        <w:rPr>
          <w:rFonts w:eastAsia="Batang" w:cs="Times New Roman"/>
          <w:bCs/>
          <w:sz w:val="20"/>
          <w:szCs w:val="20"/>
        </w:rPr>
        <w:t xml:space="preserve"> Приходите от акцизи за периода са в размер на 2 </w:t>
      </w:r>
      <w:r>
        <w:rPr>
          <w:rFonts w:eastAsia="Batang" w:cs="Times New Roman"/>
          <w:bCs/>
          <w:sz w:val="20"/>
          <w:szCs w:val="20"/>
        </w:rPr>
        <w:t>725,8</w:t>
      </w:r>
      <w:r w:rsidRPr="00C97608">
        <w:rPr>
          <w:rFonts w:eastAsia="Batang" w:cs="Times New Roman"/>
          <w:bCs/>
          <w:sz w:val="20"/>
          <w:szCs w:val="20"/>
        </w:rPr>
        <w:t xml:space="preserve"> млн. евро, което е 6</w:t>
      </w:r>
      <w:r>
        <w:rPr>
          <w:rFonts w:eastAsia="Batang" w:cs="Times New Roman"/>
          <w:bCs/>
          <w:sz w:val="20"/>
          <w:szCs w:val="20"/>
        </w:rPr>
        <w:t>9,3</w:t>
      </w:r>
      <w:r w:rsidRPr="00C97608">
        <w:rPr>
          <w:rFonts w:eastAsia="Batang" w:cs="Times New Roman"/>
          <w:bCs/>
          <w:sz w:val="20"/>
          <w:szCs w:val="20"/>
        </w:rPr>
        <w:t>% от планираните със ЗДБРБ за 2025 г. Съпоставени със същия период на предходната година постъпленията от акцизи са със 12</w:t>
      </w:r>
      <w:r>
        <w:rPr>
          <w:rFonts w:eastAsia="Batang" w:cs="Times New Roman"/>
          <w:bCs/>
          <w:sz w:val="20"/>
          <w:szCs w:val="20"/>
        </w:rPr>
        <w:t>9</w:t>
      </w:r>
      <w:r w:rsidRPr="00C97608">
        <w:rPr>
          <w:rFonts w:eastAsia="Batang" w:cs="Times New Roman"/>
          <w:bCs/>
          <w:sz w:val="20"/>
          <w:szCs w:val="20"/>
        </w:rPr>
        <w:t>,0 млн. евро (5,</w:t>
      </w:r>
      <w:r>
        <w:rPr>
          <w:rFonts w:eastAsia="Batang" w:cs="Times New Roman"/>
          <w:bCs/>
          <w:sz w:val="20"/>
          <w:szCs w:val="20"/>
        </w:rPr>
        <w:t>0</w:t>
      </w:r>
      <w:r w:rsidRPr="00C97608">
        <w:rPr>
          <w:rFonts w:eastAsia="Batang" w:cs="Times New Roman"/>
          <w:bCs/>
          <w:sz w:val="20"/>
          <w:szCs w:val="20"/>
        </w:rPr>
        <w:t>%) повече. Митата са в размер на 1</w:t>
      </w:r>
      <w:r>
        <w:rPr>
          <w:rFonts w:eastAsia="Batang" w:cs="Times New Roman"/>
          <w:bCs/>
          <w:sz w:val="20"/>
          <w:szCs w:val="20"/>
        </w:rPr>
        <w:t>45,0</w:t>
      </w:r>
      <w:r w:rsidRPr="00C97608">
        <w:rPr>
          <w:rFonts w:eastAsia="Batang" w:cs="Times New Roman"/>
          <w:bCs/>
          <w:sz w:val="20"/>
          <w:szCs w:val="20"/>
        </w:rPr>
        <w:t xml:space="preserve"> млн. евро или </w:t>
      </w:r>
      <w:r>
        <w:rPr>
          <w:rFonts w:eastAsia="Batang" w:cs="Times New Roman"/>
          <w:bCs/>
          <w:sz w:val="20"/>
          <w:szCs w:val="20"/>
        </w:rPr>
        <w:t>77,3</w:t>
      </w:r>
      <w:r w:rsidRPr="00C97608">
        <w:rPr>
          <w:rFonts w:eastAsia="Batang" w:cs="Times New Roman"/>
          <w:bCs/>
          <w:sz w:val="20"/>
          <w:szCs w:val="20"/>
        </w:rPr>
        <w:t>% от планираните със ЗДБРБ за 2025 г. В сравнение със същия период на предходната година събраните мита са с 2</w:t>
      </w:r>
      <w:r>
        <w:rPr>
          <w:rFonts w:eastAsia="Batang" w:cs="Times New Roman"/>
          <w:bCs/>
          <w:sz w:val="20"/>
          <w:szCs w:val="20"/>
        </w:rPr>
        <w:t>1,4</w:t>
      </w:r>
      <w:r w:rsidRPr="00C97608">
        <w:rPr>
          <w:rFonts w:eastAsia="Batang" w:cs="Times New Roman"/>
          <w:bCs/>
          <w:sz w:val="20"/>
          <w:szCs w:val="20"/>
        </w:rPr>
        <w:t xml:space="preserve"> млн. евро (</w:t>
      </w:r>
      <w:r>
        <w:rPr>
          <w:rFonts w:eastAsia="Batang" w:cs="Times New Roman"/>
          <w:bCs/>
          <w:sz w:val="20"/>
          <w:szCs w:val="20"/>
        </w:rPr>
        <w:t>17,3</w:t>
      </w:r>
      <w:r w:rsidRPr="00C97608">
        <w:rPr>
          <w:rFonts w:eastAsia="Batang" w:cs="Times New Roman"/>
          <w:bCs/>
          <w:sz w:val="20"/>
          <w:szCs w:val="20"/>
        </w:rPr>
        <w:t>%) повече. Приходите от данък върху застрахователните премии са в размер на 2</w:t>
      </w:r>
      <w:r>
        <w:rPr>
          <w:rFonts w:eastAsia="Batang" w:cs="Times New Roman"/>
          <w:bCs/>
          <w:sz w:val="20"/>
          <w:szCs w:val="20"/>
        </w:rPr>
        <w:t>8,9</w:t>
      </w:r>
      <w:r w:rsidRPr="00C97608">
        <w:rPr>
          <w:rFonts w:eastAsia="Batang" w:cs="Times New Roman"/>
          <w:bCs/>
          <w:sz w:val="20"/>
          <w:szCs w:val="20"/>
        </w:rPr>
        <w:t xml:space="preserve"> млн. евро, при планирани за годината 38,1 млн. евро, и в сравнение със същия период на 2024 г. отчитат ръст от 3,</w:t>
      </w:r>
      <w:r>
        <w:rPr>
          <w:rFonts w:eastAsia="Batang" w:cs="Times New Roman"/>
          <w:bCs/>
          <w:sz w:val="20"/>
          <w:szCs w:val="20"/>
        </w:rPr>
        <w:t>0</w:t>
      </w:r>
      <w:r w:rsidRPr="00C97608">
        <w:rPr>
          <w:rFonts w:eastAsia="Batang" w:cs="Times New Roman"/>
          <w:bCs/>
          <w:sz w:val="20"/>
          <w:szCs w:val="20"/>
        </w:rPr>
        <w:t xml:space="preserve"> млн. евро.</w:t>
      </w:r>
    </w:p>
    <w:p w14:paraId="64277706"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Отчетените приходи от </w:t>
      </w:r>
      <w:r w:rsidRPr="00C97608">
        <w:rPr>
          <w:rFonts w:eastAsia="Batang" w:cs="Times New Roman"/>
          <w:bCs/>
          <w:i/>
          <w:sz w:val="20"/>
          <w:szCs w:val="20"/>
        </w:rPr>
        <w:t>осигурителни вноски на общественото и здравно осигуряване</w:t>
      </w:r>
      <w:r w:rsidRPr="00C97608">
        <w:rPr>
          <w:rFonts w:eastAsia="Batang" w:cs="Times New Roman"/>
          <w:bCs/>
          <w:sz w:val="20"/>
          <w:szCs w:val="20"/>
        </w:rPr>
        <w:t xml:space="preserve"> към 3</w:t>
      </w:r>
      <w:r>
        <w:rPr>
          <w:rFonts w:eastAsia="Batang" w:cs="Times New Roman"/>
          <w:bCs/>
          <w:sz w:val="20"/>
          <w:szCs w:val="20"/>
        </w:rPr>
        <w:t>0</w:t>
      </w:r>
      <w:r w:rsidRPr="00C97608">
        <w:rPr>
          <w:rFonts w:eastAsia="Batang" w:cs="Times New Roman"/>
          <w:bCs/>
          <w:sz w:val="20"/>
          <w:szCs w:val="20"/>
        </w:rPr>
        <w:t>.0</w:t>
      </w:r>
      <w:r>
        <w:rPr>
          <w:rFonts w:eastAsia="Batang" w:cs="Times New Roman"/>
          <w:bCs/>
          <w:sz w:val="20"/>
          <w:szCs w:val="20"/>
        </w:rPr>
        <w:t>9</w:t>
      </w:r>
      <w:r w:rsidRPr="00C97608">
        <w:rPr>
          <w:rFonts w:eastAsia="Batang" w:cs="Times New Roman"/>
          <w:bCs/>
          <w:sz w:val="20"/>
          <w:szCs w:val="20"/>
        </w:rPr>
        <w:t xml:space="preserve">.2025 г. са в размер на </w:t>
      </w:r>
      <w:r>
        <w:rPr>
          <w:rFonts w:eastAsia="Batang" w:cs="Times New Roman"/>
          <w:bCs/>
          <w:sz w:val="20"/>
          <w:szCs w:val="20"/>
        </w:rPr>
        <w:t>7 744,7</w:t>
      </w:r>
      <w:r w:rsidRPr="00C97608">
        <w:rPr>
          <w:rFonts w:eastAsia="Batang" w:cs="Times New Roman"/>
          <w:bCs/>
          <w:sz w:val="20"/>
          <w:szCs w:val="20"/>
        </w:rPr>
        <w:t xml:space="preserve"> млн. евро или </w:t>
      </w:r>
      <w:r>
        <w:rPr>
          <w:rFonts w:eastAsia="Batang" w:cs="Times New Roman"/>
          <w:bCs/>
          <w:sz w:val="20"/>
          <w:szCs w:val="20"/>
        </w:rPr>
        <w:t>72,3</w:t>
      </w:r>
      <w:r w:rsidRPr="00C97608">
        <w:rPr>
          <w:rFonts w:eastAsia="Batang" w:cs="Times New Roman"/>
          <w:bCs/>
          <w:sz w:val="20"/>
          <w:szCs w:val="20"/>
        </w:rPr>
        <w:t xml:space="preserve">% от разчета за 2025 г. и ръст от </w:t>
      </w:r>
      <w:r>
        <w:rPr>
          <w:rFonts w:eastAsia="Batang" w:cs="Times New Roman"/>
          <w:bCs/>
          <w:sz w:val="20"/>
          <w:szCs w:val="20"/>
        </w:rPr>
        <w:t>989</w:t>
      </w:r>
      <w:r w:rsidRPr="00C97608">
        <w:rPr>
          <w:rFonts w:eastAsia="Batang" w:cs="Times New Roman"/>
          <w:bCs/>
          <w:sz w:val="20"/>
          <w:szCs w:val="20"/>
        </w:rPr>
        <w:t>,1 млн. евро (14,</w:t>
      </w:r>
      <w:r>
        <w:rPr>
          <w:rFonts w:eastAsia="Batang" w:cs="Times New Roman"/>
          <w:bCs/>
          <w:sz w:val="20"/>
          <w:szCs w:val="20"/>
        </w:rPr>
        <w:t>6</w:t>
      </w:r>
      <w:r w:rsidRPr="00C97608">
        <w:rPr>
          <w:rFonts w:eastAsia="Batang" w:cs="Times New Roman"/>
          <w:bCs/>
          <w:sz w:val="20"/>
          <w:szCs w:val="20"/>
        </w:rPr>
        <w:t>%) спрямо отчетените за същия период на 2024 г.</w:t>
      </w:r>
    </w:p>
    <w:p w14:paraId="590E0CED"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Постъпленията от </w:t>
      </w:r>
      <w:r w:rsidRPr="00C97608">
        <w:rPr>
          <w:rFonts w:eastAsia="Batang" w:cs="Times New Roman"/>
          <w:bCs/>
          <w:i/>
          <w:sz w:val="20"/>
          <w:szCs w:val="20"/>
        </w:rPr>
        <w:t>други данъци</w:t>
      </w:r>
      <w:r w:rsidRPr="00C97608">
        <w:rPr>
          <w:rFonts w:eastAsia="Batang" w:cs="Times New Roman"/>
          <w:bCs/>
          <w:sz w:val="20"/>
          <w:szCs w:val="20"/>
        </w:rPr>
        <w:t xml:space="preserve"> (включват други данъци по ЗКПО, имуществени данъци и др.) са в размер на </w:t>
      </w:r>
      <w:r>
        <w:rPr>
          <w:rFonts w:eastAsia="Batang" w:cs="Times New Roman"/>
          <w:bCs/>
          <w:sz w:val="20"/>
          <w:szCs w:val="20"/>
        </w:rPr>
        <w:t>1 043,9</w:t>
      </w:r>
      <w:r w:rsidRPr="00C97608">
        <w:rPr>
          <w:rFonts w:eastAsia="Batang" w:cs="Times New Roman"/>
          <w:bCs/>
          <w:sz w:val="20"/>
          <w:szCs w:val="20"/>
        </w:rPr>
        <w:t xml:space="preserve"> млн. евро, което представлява 8</w:t>
      </w:r>
      <w:r>
        <w:rPr>
          <w:rFonts w:eastAsia="Batang" w:cs="Times New Roman"/>
          <w:bCs/>
          <w:sz w:val="20"/>
          <w:szCs w:val="20"/>
        </w:rPr>
        <w:t>9,5</w:t>
      </w:r>
      <w:r w:rsidRPr="00C97608">
        <w:rPr>
          <w:rFonts w:eastAsia="Batang" w:cs="Times New Roman"/>
          <w:bCs/>
          <w:sz w:val="20"/>
          <w:szCs w:val="20"/>
        </w:rPr>
        <w:t xml:space="preserve">% от годишния разчет и ръст спрямо отчетените към </w:t>
      </w:r>
      <w:r>
        <w:rPr>
          <w:rFonts w:eastAsia="Batang" w:cs="Times New Roman"/>
          <w:bCs/>
          <w:sz w:val="20"/>
          <w:szCs w:val="20"/>
        </w:rPr>
        <w:t>септември</w:t>
      </w:r>
      <w:r w:rsidRPr="00C97608">
        <w:rPr>
          <w:rFonts w:eastAsia="Batang" w:cs="Times New Roman"/>
          <w:bCs/>
          <w:sz w:val="20"/>
          <w:szCs w:val="20"/>
        </w:rPr>
        <w:t xml:space="preserve"> 2024 г. от 1</w:t>
      </w:r>
      <w:r>
        <w:rPr>
          <w:rFonts w:eastAsia="Batang" w:cs="Times New Roman"/>
          <w:bCs/>
          <w:sz w:val="20"/>
          <w:szCs w:val="20"/>
        </w:rPr>
        <w:t>18,4</w:t>
      </w:r>
      <w:r w:rsidRPr="00C97608">
        <w:rPr>
          <w:rFonts w:eastAsia="Batang" w:cs="Times New Roman"/>
          <w:bCs/>
          <w:sz w:val="20"/>
          <w:szCs w:val="20"/>
        </w:rPr>
        <w:t xml:space="preserve"> млн. евро (1</w:t>
      </w:r>
      <w:r>
        <w:rPr>
          <w:rFonts w:eastAsia="Batang" w:cs="Times New Roman"/>
          <w:bCs/>
          <w:sz w:val="20"/>
          <w:szCs w:val="20"/>
        </w:rPr>
        <w:t>2,8</w:t>
      </w:r>
      <w:r w:rsidRPr="00C97608">
        <w:rPr>
          <w:rFonts w:eastAsia="Batang" w:cs="Times New Roman"/>
          <w:bCs/>
          <w:sz w:val="20"/>
          <w:szCs w:val="20"/>
        </w:rPr>
        <w:t>%).</w:t>
      </w:r>
    </w:p>
    <w:p w14:paraId="0B12C195"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
          <w:bCs/>
          <w:i/>
          <w:sz w:val="20"/>
          <w:szCs w:val="20"/>
        </w:rPr>
        <w:t>Неданъчните постъпления</w:t>
      </w:r>
      <w:r w:rsidRPr="00C97608">
        <w:rPr>
          <w:rFonts w:eastAsia="Batang" w:cs="Times New Roman"/>
          <w:bCs/>
          <w:sz w:val="20"/>
          <w:szCs w:val="20"/>
        </w:rPr>
        <w:t xml:space="preserve"> по КФП към края на месец </w:t>
      </w:r>
      <w:r>
        <w:rPr>
          <w:rFonts w:eastAsia="Batang" w:cs="Times New Roman"/>
          <w:bCs/>
          <w:sz w:val="20"/>
          <w:szCs w:val="20"/>
        </w:rPr>
        <w:t>септември</w:t>
      </w:r>
      <w:r w:rsidRPr="00C97608">
        <w:rPr>
          <w:rFonts w:eastAsia="Batang" w:cs="Times New Roman"/>
          <w:bCs/>
          <w:sz w:val="20"/>
          <w:szCs w:val="20"/>
        </w:rPr>
        <w:t xml:space="preserve"> 2025 г. са в размер на </w:t>
      </w:r>
      <w:r>
        <w:rPr>
          <w:rFonts w:eastAsia="Batang" w:cs="Times New Roman"/>
          <w:bCs/>
          <w:sz w:val="20"/>
          <w:szCs w:val="20"/>
        </w:rPr>
        <w:t>4 660,4</w:t>
      </w:r>
      <w:r w:rsidRPr="00C97608">
        <w:rPr>
          <w:rFonts w:eastAsia="Batang" w:cs="Times New Roman"/>
          <w:bCs/>
          <w:sz w:val="20"/>
          <w:szCs w:val="20"/>
        </w:rPr>
        <w:t xml:space="preserve"> млн. евро, което представлява </w:t>
      </w:r>
      <w:r>
        <w:rPr>
          <w:rFonts w:eastAsia="Batang" w:cs="Times New Roman"/>
          <w:bCs/>
          <w:sz w:val="20"/>
          <w:szCs w:val="20"/>
        </w:rPr>
        <w:t>76,0</w:t>
      </w:r>
      <w:r w:rsidRPr="00C97608">
        <w:rPr>
          <w:rFonts w:eastAsia="Batang" w:cs="Times New Roman"/>
          <w:bCs/>
          <w:sz w:val="20"/>
          <w:szCs w:val="20"/>
        </w:rPr>
        <w:t xml:space="preserve">% от годишните разчети и ръст от </w:t>
      </w:r>
      <w:r>
        <w:rPr>
          <w:rFonts w:eastAsia="Batang" w:cs="Times New Roman"/>
          <w:bCs/>
          <w:sz w:val="20"/>
          <w:szCs w:val="20"/>
        </w:rPr>
        <w:t>968,4</w:t>
      </w:r>
      <w:r w:rsidRPr="00C97608">
        <w:rPr>
          <w:rFonts w:eastAsia="Batang" w:cs="Times New Roman"/>
          <w:bCs/>
          <w:sz w:val="20"/>
          <w:szCs w:val="20"/>
        </w:rPr>
        <w:t xml:space="preserve"> млн. евро, </w:t>
      </w:r>
      <w:r>
        <w:rPr>
          <w:rFonts w:eastAsia="Batang" w:cs="Times New Roman"/>
          <w:bCs/>
          <w:sz w:val="20"/>
          <w:szCs w:val="20"/>
        </w:rPr>
        <w:t>26,2</w:t>
      </w:r>
      <w:r w:rsidRPr="00C97608">
        <w:rPr>
          <w:rFonts w:eastAsia="Batang" w:cs="Times New Roman"/>
          <w:bCs/>
          <w:sz w:val="20"/>
          <w:szCs w:val="20"/>
        </w:rPr>
        <w:t>% спрямо същия период на 2024 г. Тези приходи се формират основно от приходи от държавни, общински и съдебни такси, приходи и доходи от собственост, приходи от концесии, приходи от продажба на квоти за емисии на парникови газове и други.</w:t>
      </w:r>
    </w:p>
    <w:p w14:paraId="699930AA" w14:textId="77777777" w:rsidR="009B41DE" w:rsidRDefault="009B41DE" w:rsidP="004D04F7">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Постъпилите </w:t>
      </w:r>
      <w:r w:rsidRPr="00C97608">
        <w:rPr>
          <w:rFonts w:eastAsia="Batang" w:cs="Times New Roman"/>
          <w:b/>
          <w:bCs/>
          <w:i/>
          <w:sz w:val="20"/>
          <w:szCs w:val="20"/>
        </w:rPr>
        <w:t>помощи и дарения</w:t>
      </w:r>
      <w:r w:rsidRPr="00C97608">
        <w:rPr>
          <w:rFonts w:eastAsia="Batang" w:cs="Times New Roman"/>
          <w:bCs/>
          <w:sz w:val="20"/>
          <w:szCs w:val="20"/>
        </w:rPr>
        <w:t xml:space="preserve"> от страната и чужбина (вкл. помощите от фондовете на ЕС) са в размер на </w:t>
      </w:r>
      <w:r>
        <w:rPr>
          <w:rFonts w:eastAsia="Batang" w:cs="Times New Roman"/>
          <w:bCs/>
          <w:sz w:val="20"/>
          <w:szCs w:val="20"/>
        </w:rPr>
        <w:t>1 144,0</w:t>
      </w:r>
      <w:r w:rsidRPr="00C97608">
        <w:rPr>
          <w:rFonts w:eastAsia="Batang" w:cs="Times New Roman"/>
          <w:bCs/>
          <w:sz w:val="20"/>
          <w:szCs w:val="20"/>
        </w:rPr>
        <w:t xml:space="preserve"> млн. евро.</w:t>
      </w:r>
    </w:p>
    <w:p w14:paraId="34ECEB29" w14:textId="77777777" w:rsidR="0026109F" w:rsidRPr="00A610B8" w:rsidRDefault="00E35CB9" w:rsidP="00A610B8">
      <w:pPr>
        <w:keepNext/>
        <w:spacing w:before="120" w:after="0"/>
        <w:ind w:left="720" w:hanging="720"/>
        <w:rPr>
          <w:rStyle w:val="CaptionChar"/>
          <w:bCs w:val="0"/>
          <w:sz w:val="20"/>
          <w:szCs w:val="20"/>
        </w:rPr>
      </w:pPr>
      <w:r w:rsidRPr="00A610B8">
        <w:rPr>
          <w:rStyle w:val="CaptionChar"/>
          <w:sz w:val="20"/>
          <w:szCs w:val="20"/>
        </w:rPr>
        <w:t xml:space="preserve">Граф.: Данъчно-осигурителни приходи по </w:t>
      </w:r>
      <w:r w:rsidR="009B41DE" w:rsidRPr="00A610B8">
        <w:rPr>
          <w:rStyle w:val="CaptionChar"/>
          <w:sz w:val="20"/>
          <w:szCs w:val="20"/>
        </w:rPr>
        <w:t>КФП към септември</w:t>
      </w:r>
      <w:r w:rsidRPr="00A610B8">
        <w:rPr>
          <w:rStyle w:val="CaptionChar"/>
          <w:sz w:val="20"/>
          <w:szCs w:val="20"/>
        </w:rPr>
        <w:t xml:space="preserve"> 2024 г. и </w:t>
      </w:r>
      <w:r w:rsidR="009B41DE" w:rsidRPr="00A610B8">
        <w:rPr>
          <w:rStyle w:val="CaptionChar"/>
          <w:sz w:val="20"/>
          <w:szCs w:val="20"/>
        </w:rPr>
        <w:t xml:space="preserve"> </w:t>
      </w:r>
      <w:r w:rsidR="00A610B8" w:rsidRPr="00A610B8">
        <w:rPr>
          <w:rStyle w:val="CaptionChar"/>
          <w:sz w:val="20"/>
          <w:szCs w:val="20"/>
        </w:rPr>
        <w:t>септември</w:t>
      </w:r>
      <w:r w:rsidR="009B41DE" w:rsidRPr="00A610B8">
        <w:rPr>
          <w:rStyle w:val="CaptionChar"/>
          <w:sz w:val="20"/>
          <w:szCs w:val="20"/>
        </w:rPr>
        <w:t xml:space="preserve"> </w:t>
      </w:r>
      <w:r w:rsidRPr="00A610B8">
        <w:rPr>
          <w:rStyle w:val="CaptionChar"/>
          <w:sz w:val="20"/>
          <w:szCs w:val="20"/>
        </w:rPr>
        <w:t>2025 г.</w:t>
      </w:r>
    </w:p>
    <w:p w14:paraId="000651F9" w14:textId="77777777" w:rsidR="009B41DE" w:rsidRDefault="009B41DE" w:rsidP="0026109F">
      <w:pPr>
        <w:autoSpaceDE w:val="0"/>
        <w:autoSpaceDN w:val="0"/>
        <w:adjustRightInd w:val="0"/>
        <w:spacing w:after="120"/>
        <w:jc w:val="center"/>
        <w:rPr>
          <w:rFonts w:eastAsia="Batang" w:cs="Times New Roman"/>
          <w:bCs/>
          <w:noProof/>
          <w:sz w:val="20"/>
          <w:szCs w:val="20"/>
        </w:rPr>
      </w:pPr>
      <w:r>
        <w:rPr>
          <w:rFonts w:eastAsia="Batang" w:cs="Times New Roman"/>
          <w:bCs/>
          <w:noProof/>
          <w:sz w:val="20"/>
          <w:szCs w:val="20"/>
        </w:rPr>
        <w:drawing>
          <wp:inline distT="0" distB="0" distL="0" distR="0" wp14:anchorId="54578DFF" wp14:editId="3DEF426F">
            <wp:extent cx="4413885" cy="2334895"/>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3885" cy="2334895"/>
                    </a:xfrm>
                    <a:prstGeom prst="rect">
                      <a:avLst/>
                    </a:prstGeom>
                    <a:noFill/>
                  </pic:spPr>
                </pic:pic>
              </a:graphicData>
            </a:graphic>
          </wp:inline>
        </w:drawing>
      </w:r>
    </w:p>
    <w:p w14:paraId="0D837B47" w14:textId="77777777" w:rsidR="009B41DE" w:rsidRDefault="009B41DE" w:rsidP="0026109F">
      <w:pPr>
        <w:autoSpaceDE w:val="0"/>
        <w:autoSpaceDN w:val="0"/>
        <w:adjustRightInd w:val="0"/>
        <w:spacing w:after="120"/>
        <w:jc w:val="center"/>
        <w:rPr>
          <w:rFonts w:eastAsia="Batang" w:cs="Times New Roman"/>
          <w:bCs/>
          <w:noProof/>
          <w:sz w:val="20"/>
          <w:szCs w:val="20"/>
        </w:rPr>
      </w:pPr>
    </w:p>
    <w:p w14:paraId="081D00A7" w14:textId="77777777" w:rsidR="009B41DE" w:rsidRDefault="009B41DE" w:rsidP="0026109F">
      <w:pPr>
        <w:autoSpaceDE w:val="0"/>
        <w:autoSpaceDN w:val="0"/>
        <w:adjustRightInd w:val="0"/>
        <w:spacing w:after="120"/>
        <w:jc w:val="center"/>
        <w:rPr>
          <w:rFonts w:eastAsia="Batang" w:cs="Times New Roman"/>
          <w:bCs/>
          <w:noProof/>
          <w:sz w:val="20"/>
          <w:szCs w:val="20"/>
        </w:rPr>
      </w:pPr>
    </w:p>
    <w:p w14:paraId="5BAECE18" w14:textId="77777777" w:rsidR="00E35CB9" w:rsidRPr="00AA3F66" w:rsidRDefault="00E35CB9" w:rsidP="00E35CB9">
      <w:pPr>
        <w:autoSpaceDE w:val="0"/>
        <w:autoSpaceDN w:val="0"/>
        <w:adjustRightInd w:val="0"/>
        <w:spacing w:before="60" w:after="0"/>
        <w:ind w:right="202" w:firstLine="5098"/>
        <w:jc w:val="right"/>
        <w:rPr>
          <w:rFonts w:eastAsia="Batang" w:cs="Times New Roman"/>
          <w:bCs/>
          <w:sz w:val="18"/>
          <w:szCs w:val="18"/>
        </w:rPr>
      </w:pPr>
      <w:r w:rsidRPr="00AA3F66">
        <w:rPr>
          <w:rFonts w:eastAsia="Batang" w:cs="Times New Roman"/>
          <w:bCs/>
          <w:sz w:val="18"/>
          <w:szCs w:val="18"/>
        </w:rPr>
        <w:lastRenderedPageBreak/>
        <w:t>Източник: МФ</w:t>
      </w:r>
    </w:p>
    <w:p w14:paraId="5C2544AE" w14:textId="77777777" w:rsidR="00E35CB9" w:rsidRDefault="00E35CB9" w:rsidP="004D04F7">
      <w:pPr>
        <w:autoSpaceDE w:val="0"/>
        <w:autoSpaceDN w:val="0"/>
        <w:adjustRightInd w:val="0"/>
        <w:spacing w:after="120"/>
        <w:rPr>
          <w:rFonts w:eastAsia="Batang" w:cs="Times New Roman"/>
          <w:bCs/>
          <w:sz w:val="20"/>
          <w:szCs w:val="20"/>
        </w:rPr>
      </w:pPr>
    </w:p>
    <w:p w14:paraId="1CC8A64C" w14:textId="77777777" w:rsidR="00E35CB9" w:rsidRDefault="00E35CB9" w:rsidP="004D04F7">
      <w:pPr>
        <w:autoSpaceDE w:val="0"/>
        <w:autoSpaceDN w:val="0"/>
        <w:adjustRightInd w:val="0"/>
        <w:spacing w:after="120"/>
        <w:rPr>
          <w:rFonts w:eastAsia="Batang" w:cs="Times New Roman"/>
          <w:bCs/>
          <w:sz w:val="20"/>
          <w:szCs w:val="20"/>
        </w:rPr>
      </w:pPr>
    </w:p>
    <w:p w14:paraId="58A07857" w14:textId="77777777" w:rsidR="003F0BD0" w:rsidRPr="002B45C7" w:rsidRDefault="003F0BD0" w:rsidP="003F0BD0">
      <w:pPr>
        <w:autoSpaceDE w:val="0"/>
        <w:autoSpaceDN w:val="0"/>
        <w:adjustRightInd w:val="0"/>
        <w:spacing w:after="120" w:line="276" w:lineRule="auto"/>
        <w:rPr>
          <w:rFonts w:eastAsia="Batang"/>
          <w:b/>
          <w:bCs/>
          <w:color w:val="943634"/>
          <w:sz w:val="22"/>
        </w:rPr>
      </w:pPr>
      <w:r w:rsidRPr="002B45C7">
        <w:rPr>
          <w:rFonts w:eastAsia="Batang"/>
          <w:b/>
          <w:bCs/>
          <w:color w:val="943634"/>
          <w:sz w:val="22"/>
        </w:rPr>
        <w:t>Изпълнение на разходите по КФП</w:t>
      </w:r>
    </w:p>
    <w:p w14:paraId="1F358D6E" w14:textId="77777777" w:rsidR="009B41DE" w:rsidRPr="00C97608" w:rsidRDefault="009B41DE" w:rsidP="009B41DE">
      <w:pPr>
        <w:spacing w:after="0"/>
        <w:rPr>
          <w:rFonts w:eastAsia="Times New Roman" w:cs="Times New Roman"/>
          <w:sz w:val="20"/>
          <w:szCs w:val="20"/>
          <w:lang w:val="ru-RU"/>
        </w:rPr>
      </w:pPr>
      <w:r w:rsidRPr="00C97608">
        <w:rPr>
          <w:rFonts w:eastAsia="Calibri" w:cs="Times New Roman"/>
          <w:b/>
          <w:sz w:val="20"/>
          <w:szCs w:val="20"/>
        </w:rPr>
        <w:t>Разходите</w:t>
      </w:r>
      <w:r w:rsidRPr="00C97608">
        <w:rPr>
          <w:rFonts w:eastAsia="Calibri" w:cs="Times New Roman"/>
          <w:sz w:val="20"/>
          <w:szCs w:val="20"/>
        </w:rPr>
        <w:t xml:space="preserve"> по КФП (вкл. вноската на Република България в бюджета на ЕС) към </w:t>
      </w:r>
      <w:r>
        <w:rPr>
          <w:rFonts w:eastAsia="Calibri" w:cs="Times New Roman"/>
          <w:sz w:val="20"/>
          <w:szCs w:val="20"/>
        </w:rPr>
        <w:t>септември</w:t>
      </w:r>
      <w:r w:rsidRPr="00C97608">
        <w:rPr>
          <w:rFonts w:eastAsia="Calibri" w:cs="Times New Roman"/>
          <w:sz w:val="20"/>
          <w:szCs w:val="20"/>
        </w:rPr>
        <w:t xml:space="preserve"> 2025 г. възлизат на </w:t>
      </w:r>
      <w:r>
        <w:rPr>
          <w:rFonts w:eastAsia="Calibri" w:cs="Times New Roman"/>
          <w:sz w:val="20"/>
          <w:szCs w:val="20"/>
        </w:rPr>
        <w:t>33 650,3</w:t>
      </w:r>
      <w:r w:rsidRPr="00C97608">
        <w:rPr>
          <w:rFonts w:eastAsia="Calibri" w:cs="Times New Roman"/>
          <w:sz w:val="20"/>
          <w:szCs w:val="20"/>
        </w:rPr>
        <w:t xml:space="preserve"> млн. евро, което е </w:t>
      </w:r>
      <w:r>
        <w:rPr>
          <w:rFonts w:eastAsia="Calibri" w:cs="Times New Roman"/>
          <w:sz w:val="20"/>
          <w:szCs w:val="20"/>
        </w:rPr>
        <w:t>68,1</w:t>
      </w:r>
      <w:r w:rsidRPr="00C97608">
        <w:rPr>
          <w:rFonts w:eastAsia="Calibri" w:cs="Times New Roman"/>
          <w:sz w:val="20"/>
          <w:szCs w:val="20"/>
        </w:rPr>
        <w:t>% от годишните разчети. За с</w:t>
      </w:r>
      <w:r>
        <w:rPr>
          <w:rFonts w:eastAsia="Calibri" w:cs="Times New Roman"/>
          <w:sz w:val="20"/>
          <w:szCs w:val="20"/>
        </w:rPr>
        <w:t xml:space="preserve">равнение, разходите по КФП към </w:t>
      </w:r>
      <w:r w:rsidRPr="00C97608">
        <w:rPr>
          <w:rFonts w:eastAsia="Calibri" w:cs="Times New Roman"/>
          <w:sz w:val="20"/>
          <w:szCs w:val="20"/>
        </w:rPr>
        <w:t xml:space="preserve">месец </w:t>
      </w:r>
      <w:r>
        <w:rPr>
          <w:rFonts w:eastAsia="Calibri" w:cs="Times New Roman"/>
          <w:sz w:val="20"/>
          <w:szCs w:val="20"/>
        </w:rPr>
        <w:t>септември</w:t>
      </w:r>
      <w:r w:rsidRPr="00C97608">
        <w:rPr>
          <w:rFonts w:eastAsia="Calibri" w:cs="Times New Roman"/>
          <w:sz w:val="20"/>
          <w:szCs w:val="20"/>
        </w:rPr>
        <w:t xml:space="preserve"> на 2024 г. бяха в размер на </w:t>
      </w:r>
      <w:r>
        <w:rPr>
          <w:rFonts w:eastAsia="Calibri" w:cs="Times New Roman"/>
          <w:sz w:val="20"/>
          <w:szCs w:val="20"/>
        </w:rPr>
        <w:t>28 052,0</w:t>
      </w:r>
      <w:r w:rsidRPr="00C97608">
        <w:rPr>
          <w:rFonts w:eastAsia="Calibri" w:cs="Times New Roman"/>
          <w:sz w:val="20"/>
          <w:szCs w:val="20"/>
        </w:rPr>
        <w:t xml:space="preserve"> млн. евро, като следва да бъде взето предвид, че през месец февруари 2024 г. има отчетена трансакция по възстановяване на разходи от сметка за чужди средства на Министерството на регионалното развитие и благоустройството обратн</w:t>
      </w:r>
      <w:r>
        <w:rPr>
          <w:rFonts w:eastAsia="Calibri" w:cs="Times New Roman"/>
          <w:sz w:val="20"/>
          <w:szCs w:val="20"/>
        </w:rPr>
        <w:t>о към бюджета на министерството</w:t>
      </w:r>
      <w:r w:rsidRPr="00C97608">
        <w:rPr>
          <w:rFonts w:eastAsia="Calibri" w:cs="Times New Roman"/>
          <w:sz w:val="20"/>
          <w:szCs w:val="20"/>
        </w:rPr>
        <w:t xml:space="preserve"> в размер на 613,6 млн. евро. При елиминирането на тази трансакция, с оглед съпоставимост, разходите към края на </w:t>
      </w:r>
      <w:r>
        <w:rPr>
          <w:rFonts w:eastAsia="Calibri" w:cs="Times New Roman"/>
          <w:sz w:val="20"/>
          <w:szCs w:val="20"/>
        </w:rPr>
        <w:t>септември</w:t>
      </w:r>
      <w:r w:rsidRPr="00C97608">
        <w:rPr>
          <w:rFonts w:eastAsia="Calibri" w:cs="Times New Roman"/>
          <w:sz w:val="20"/>
          <w:szCs w:val="20"/>
        </w:rPr>
        <w:t xml:space="preserve"> 2025 г. нарастват с 4</w:t>
      </w:r>
      <w:r>
        <w:rPr>
          <w:rFonts w:eastAsia="Calibri" w:cs="Times New Roman"/>
          <w:sz w:val="20"/>
          <w:szCs w:val="20"/>
        </w:rPr>
        <w:t> 984,8</w:t>
      </w:r>
      <w:r w:rsidRPr="00C97608">
        <w:rPr>
          <w:rFonts w:eastAsia="Calibri" w:cs="Times New Roman"/>
          <w:sz w:val="20"/>
          <w:szCs w:val="20"/>
        </w:rPr>
        <w:t xml:space="preserve"> млн. евро (17,</w:t>
      </w:r>
      <w:r>
        <w:rPr>
          <w:rFonts w:eastAsia="Calibri" w:cs="Times New Roman"/>
          <w:sz w:val="20"/>
          <w:szCs w:val="20"/>
        </w:rPr>
        <w:t>4</w:t>
      </w:r>
      <w:r w:rsidRPr="00C97608">
        <w:rPr>
          <w:rFonts w:eastAsia="Calibri" w:cs="Times New Roman"/>
          <w:sz w:val="20"/>
          <w:szCs w:val="20"/>
        </w:rPr>
        <w:t xml:space="preserve">%). Нарастване на разходите има основно в частта на социалните плащания, вкл. разходите за пенсии, както и при разходите за персонал, капиталовите разходи и други. </w:t>
      </w:r>
      <w:r w:rsidRPr="00C97608">
        <w:rPr>
          <w:rFonts w:eastAsia="Times New Roman" w:cs="Times New Roman"/>
          <w:sz w:val="20"/>
          <w:szCs w:val="20"/>
          <w:lang w:val="ru-RU"/>
        </w:rPr>
        <w:t xml:space="preserve"> </w:t>
      </w:r>
    </w:p>
    <w:p w14:paraId="647F770C" w14:textId="77777777" w:rsidR="009B41DE" w:rsidRPr="00C97608" w:rsidRDefault="009B41DE" w:rsidP="009B41DE">
      <w:pPr>
        <w:spacing w:before="120" w:after="120"/>
        <w:rPr>
          <w:rFonts w:eastAsia="Times New Roman" w:cs="Times New Roman"/>
          <w:sz w:val="20"/>
          <w:szCs w:val="20"/>
        </w:rPr>
      </w:pPr>
      <w:r w:rsidRPr="00C97608">
        <w:rPr>
          <w:rFonts w:eastAsia="Times New Roman" w:cs="Times New Roman"/>
          <w:b/>
          <w:i/>
          <w:sz w:val="20"/>
          <w:szCs w:val="20"/>
        </w:rPr>
        <w:t>Нелихвените разходи</w:t>
      </w:r>
      <w:r w:rsidRPr="00C97608">
        <w:rPr>
          <w:rFonts w:eastAsia="Times New Roman" w:cs="Times New Roman"/>
          <w:sz w:val="20"/>
          <w:szCs w:val="20"/>
        </w:rPr>
        <w:t xml:space="preserve"> към </w:t>
      </w:r>
      <w:r>
        <w:rPr>
          <w:rFonts w:eastAsia="Times New Roman" w:cs="Times New Roman"/>
          <w:sz w:val="20"/>
          <w:szCs w:val="20"/>
        </w:rPr>
        <w:t>септември</w:t>
      </w:r>
      <w:r w:rsidRPr="00C97608">
        <w:rPr>
          <w:rFonts w:eastAsia="Times New Roman" w:cs="Times New Roman"/>
          <w:sz w:val="20"/>
          <w:szCs w:val="20"/>
        </w:rPr>
        <w:t xml:space="preserve"> 2025 г. са в размер на </w:t>
      </w:r>
      <w:r>
        <w:rPr>
          <w:rFonts w:eastAsia="Times New Roman" w:cs="Times New Roman"/>
          <w:sz w:val="20"/>
          <w:szCs w:val="20"/>
        </w:rPr>
        <w:t>32 213,3</w:t>
      </w:r>
      <w:r w:rsidRPr="00C97608">
        <w:rPr>
          <w:rFonts w:eastAsia="Times New Roman" w:cs="Times New Roman"/>
          <w:sz w:val="20"/>
          <w:szCs w:val="20"/>
        </w:rPr>
        <w:t xml:space="preserve"> млн. евро, което представлява 6</w:t>
      </w:r>
      <w:r>
        <w:rPr>
          <w:rFonts w:eastAsia="Times New Roman" w:cs="Times New Roman"/>
          <w:sz w:val="20"/>
          <w:szCs w:val="20"/>
        </w:rPr>
        <w:t>7,7</w:t>
      </w:r>
      <w:r w:rsidRPr="00C97608">
        <w:rPr>
          <w:rFonts w:eastAsia="Times New Roman" w:cs="Times New Roman"/>
          <w:sz w:val="20"/>
          <w:szCs w:val="20"/>
        </w:rPr>
        <w:t>% от годишния разчет и ръст на съпоставима база от 4</w:t>
      </w:r>
      <w:r>
        <w:rPr>
          <w:rFonts w:eastAsia="Times New Roman" w:cs="Times New Roman"/>
          <w:sz w:val="20"/>
          <w:szCs w:val="20"/>
        </w:rPr>
        <w:t> 578,7</w:t>
      </w:r>
      <w:r w:rsidRPr="00C97608">
        <w:rPr>
          <w:rFonts w:eastAsia="Times New Roman" w:cs="Times New Roman"/>
          <w:sz w:val="20"/>
          <w:szCs w:val="20"/>
        </w:rPr>
        <w:t xml:space="preserve"> млн. евро (16,6%) спрямо отчетените към </w:t>
      </w:r>
      <w:r>
        <w:rPr>
          <w:rFonts w:eastAsia="Times New Roman" w:cs="Times New Roman"/>
          <w:sz w:val="20"/>
          <w:szCs w:val="20"/>
        </w:rPr>
        <w:t>септември</w:t>
      </w:r>
      <w:r w:rsidRPr="00C97608">
        <w:rPr>
          <w:rFonts w:eastAsia="Times New Roman" w:cs="Times New Roman"/>
          <w:sz w:val="20"/>
          <w:szCs w:val="20"/>
        </w:rPr>
        <w:t xml:space="preserve"> 2024 г. Текущите нелихвени разходи са в размер на 2</w:t>
      </w:r>
      <w:r>
        <w:rPr>
          <w:rFonts w:eastAsia="Times New Roman" w:cs="Times New Roman"/>
          <w:sz w:val="20"/>
          <w:szCs w:val="20"/>
        </w:rPr>
        <w:t>8 659,4</w:t>
      </w:r>
      <w:r w:rsidRPr="00C97608">
        <w:rPr>
          <w:rFonts w:eastAsia="Times New Roman" w:cs="Times New Roman"/>
          <w:sz w:val="20"/>
          <w:szCs w:val="20"/>
        </w:rPr>
        <w:t xml:space="preserve"> млн. евро. Капиталовите разходи (вкл. нетния прираст на държавния резерв) възлизат на 3 </w:t>
      </w:r>
      <w:r>
        <w:rPr>
          <w:rFonts w:eastAsia="Times New Roman" w:cs="Times New Roman"/>
          <w:sz w:val="20"/>
          <w:szCs w:val="20"/>
        </w:rPr>
        <w:t>528,9</w:t>
      </w:r>
      <w:r w:rsidRPr="00C97608">
        <w:rPr>
          <w:rFonts w:eastAsia="Times New Roman" w:cs="Times New Roman"/>
          <w:sz w:val="20"/>
          <w:szCs w:val="20"/>
        </w:rPr>
        <w:t xml:space="preserve"> млн. евро. Предоставените текущи и капиталови трансфери за чужбина са в размер на 2</w:t>
      </w:r>
      <w:r>
        <w:rPr>
          <w:rFonts w:eastAsia="Times New Roman" w:cs="Times New Roman"/>
          <w:sz w:val="20"/>
          <w:szCs w:val="20"/>
        </w:rPr>
        <w:t>4,9</w:t>
      </w:r>
      <w:r w:rsidRPr="00C97608">
        <w:rPr>
          <w:rFonts w:eastAsia="Times New Roman" w:cs="Times New Roman"/>
          <w:sz w:val="20"/>
          <w:szCs w:val="20"/>
        </w:rPr>
        <w:t xml:space="preserve"> млн. евро. </w:t>
      </w:r>
    </w:p>
    <w:p w14:paraId="0906E925" w14:textId="77777777" w:rsidR="009B41DE" w:rsidRPr="00C97608" w:rsidRDefault="009B41DE" w:rsidP="009B41DE">
      <w:pPr>
        <w:spacing w:before="120" w:after="120"/>
        <w:rPr>
          <w:rFonts w:eastAsia="Times New Roman" w:cs="Times New Roman"/>
          <w:sz w:val="20"/>
          <w:szCs w:val="20"/>
        </w:rPr>
      </w:pPr>
      <w:r w:rsidRPr="00C97608">
        <w:rPr>
          <w:rFonts w:eastAsia="Times New Roman" w:cs="Times New Roman"/>
          <w:b/>
          <w:i/>
          <w:sz w:val="20"/>
          <w:szCs w:val="20"/>
        </w:rPr>
        <w:t>Лихвените плащания</w:t>
      </w:r>
      <w:r w:rsidRPr="00C97608">
        <w:rPr>
          <w:rFonts w:eastAsia="Times New Roman" w:cs="Times New Roman"/>
          <w:sz w:val="20"/>
          <w:szCs w:val="20"/>
        </w:rPr>
        <w:t xml:space="preserve"> са в размер на </w:t>
      </w:r>
      <w:r>
        <w:rPr>
          <w:rFonts w:eastAsia="Times New Roman" w:cs="Times New Roman"/>
          <w:sz w:val="20"/>
          <w:szCs w:val="20"/>
        </w:rPr>
        <w:t>684,7</w:t>
      </w:r>
      <w:r w:rsidRPr="00C97608">
        <w:rPr>
          <w:rFonts w:eastAsia="Times New Roman" w:cs="Times New Roman"/>
          <w:sz w:val="20"/>
          <w:szCs w:val="20"/>
        </w:rPr>
        <w:t xml:space="preserve"> млн. евро (</w:t>
      </w:r>
      <w:r>
        <w:rPr>
          <w:rFonts w:eastAsia="Times New Roman" w:cs="Times New Roman"/>
          <w:sz w:val="20"/>
          <w:szCs w:val="20"/>
        </w:rPr>
        <w:t>82,5</w:t>
      </w:r>
      <w:r w:rsidRPr="00C97608">
        <w:rPr>
          <w:rFonts w:eastAsia="Times New Roman" w:cs="Times New Roman"/>
          <w:sz w:val="20"/>
          <w:szCs w:val="20"/>
        </w:rPr>
        <w:t xml:space="preserve">% от планираните за годината и ръст от </w:t>
      </w:r>
      <w:r>
        <w:rPr>
          <w:rFonts w:eastAsia="Times New Roman" w:cs="Times New Roman"/>
          <w:sz w:val="20"/>
          <w:szCs w:val="20"/>
        </w:rPr>
        <w:t>226,9</w:t>
      </w:r>
      <w:r w:rsidRPr="00C97608">
        <w:rPr>
          <w:rFonts w:eastAsia="Times New Roman" w:cs="Times New Roman"/>
          <w:sz w:val="20"/>
          <w:szCs w:val="20"/>
        </w:rPr>
        <w:t xml:space="preserve"> млн. евро спрямо същия период на 2024 г., което се дължи основно на календара по обслужването на държавния дълг).</w:t>
      </w:r>
    </w:p>
    <w:p w14:paraId="692AE57D"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
          <w:bCs/>
          <w:sz w:val="20"/>
          <w:szCs w:val="20"/>
        </w:rPr>
        <w:t>Частта от вноската на Република България в общия бюджет на ЕС</w:t>
      </w:r>
      <w:r w:rsidRPr="00C97608">
        <w:rPr>
          <w:rFonts w:eastAsia="Batang" w:cs="Times New Roman"/>
          <w:bCs/>
          <w:sz w:val="20"/>
          <w:szCs w:val="20"/>
        </w:rPr>
        <w:t>, изплатена към 3</w:t>
      </w:r>
      <w:r w:rsidRPr="00F62B43">
        <w:rPr>
          <w:rFonts w:eastAsia="Batang" w:cs="Times New Roman"/>
          <w:bCs/>
          <w:sz w:val="20"/>
          <w:szCs w:val="20"/>
          <w:lang w:val="ru-RU"/>
        </w:rPr>
        <w:t>0</w:t>
      </w:r>
      <w:r w:rsidRPr="00C97608">
        <w:rPr>
          <w:rFonts w:eastAsia="Batang" w:cs="Times New Roman"/>
          <w:bCs/>
          <w:sz w:val="20"/>
          <w:szCs w:val="20"/>
        </w:rPr>
        <w:t>.0</w:t>
      </w:r>
      <w:r w:rsidRPr="00F62B43">
        <w:rPr>
          <w:rFonts w:eastAsia="Batang" w:cs="Times New Roman"/>
          <w:bCs/>
          <w:sz w:val="20"/>
          <w:szCs w:val="20"/>
          <w:lang w:val="ru-RU"/>
        </w:rPr>
        <w:t>9</w:t>
      </w:r>
      <w:r w:rsidRPr="00C97608">
        <w:rPr>
          <w:rFonts w:eastAsia="Batang" w:cs="Times New Roman"/>
          <w:bCs/>
          <w:sz w:val="20"/>
          <w:szCs w:val="20"/>
        </w:rPr>
        <w:t xml:space="preserve">.2025 г. от централния бюджет, възлиза на </w:t>
      </w:r>
      <w:r w:rsidRPr="00F62B43">
        <w:rPr>
          <w:rFonts w:eastAsia="Batang" w:cs="Times New Roman"/>
          <w:bCs/>
          <w:sz w:val="20"/>
          <w:szCs w:val="20"/>
          <w:lang w:val="ru-RU"/>
        </w:rPr>
        <w:t>752</w:t>
      </w:r>
      <w:r>
        <w:rPr>
          <w:rFonts w:eastAsia="Batang" w:cs="Times New Roman"/>
          <w:bCs/>
          <w:sz w:val="20"/>
          <w:szCs w:val="20"/>
        </w:rPr>
        <w:t>,</w:t>
      </w:r>
      <w:r w:rsidRPr="00F62B43">
        <w:rPr>
          <w:rFonts w:eastAsia="Batang" w:cs="Times New Roman"/>
          <w:bCs/>
          <w:sz w:val="20"/>
          <w:szCs w:val="20"/>
          <w:lang w:val="ru-RU"/>
        </w:rPr>
        <w:t>3</w:t>
      </w:r>
      <w:r w:rsidRPr="00C97608">
        <w:rPr>
          <w:rFonts w:eastAsia="Batang" w:cs="Times New Roman"/>
          <w:bCs/>
          <w:sz w:val="20"/>
          <w:szCs w:val="20"/>
        </w:rPr>
        <w:t xml:space="preserve"> млн. евро, което е в изпълнение на действащото към момента законодателство в областта на собствените ресурси на ЕС.</w:t>
      </w:r>
    </w:p>
    <w:p w14:paraId="2DB2DD54" w14:textId="77777777" w:rsidR="009B41DE" w:rsidRPr="00C97608" w:rsidRDefault="009B41DE" w:rsidP="009B41DE">
      <w:pPr>
        <w:autoSpaceDE w:val="0"/>
        <w:autoSpaceDN w:val="0"/>
        <w:adjustRightInd w:val="0"/>
        <w:spacing w:after="120"/>
        <w:rPr>
          <w:rFonts w:eastAsia="Batang" w:cs="Times New Roman"/>
          <w:bCs/>
          <w:sz w:val="20"/>
          <w:szCs w:val="20"/>
        </w:rPr>
      </w:pPr>
      <w:r w:rsidRPr="00C97608">
        <w:rPr>
          <w:rFonts w:eastAsia="Batang" w:cs="Times New Roman"/>
          <w:bCs/>
          <w:sz w:val="20"/>
          <w:szCs w:val="20"/>
        </w:rPr>
        <w:t>С оглед постигане на съпоставимост на графиката по-долу за 2024 г. е елиминирано влиянието на трансакцията по чл. 71, ал.1 от Постановление № 13 на Министерския съвет от 2024 г. (възстановени разходи в размер на 613,6 млн. евро от сметката за чужди средства по бюджета на Министерството на регионалното развитие и благоустройството).</w:t>
      </w:r>
    </w:p>
    <w:p w14:paraId="41E1AF17" w14:textId="77777777" w:rsidR="009B41DE" w:rsidRDefault="009B41DE" w:rsidP="00B971BB">
      <w:pPr>
        <w:keepNext/>
        <w:spacing w:before="120" w:after="0"/>
        <w:ind w:left="720" w:hanging="720"/>
        <w:rPr>
          <w:rFonts w:eastAsia="Calibri" w:cs="Times New Roman"/>
          <w:b/>
          <w:sz w:val="20"/>
          <w:szCs w:val="20"/>
        </w:rPr>
      </w:pPr>
    </w:p>
    <w:p w14:paraId="0A06DB74" w14:textId="77777777" w:rsidR="009B41DE" w:rsidRPr="00D81C97" w:rsidRDefault="00677F63" w:rsidP="00D81C97">
      <w:pPr>
        <w:keepNext/>
        <w:spacing w:before="120" w:after="0"/>
        <w:ind w:left="720" w:hanging="720"/>
        <w:rPr>
          <w:rFonts w:eastAsia="Times New Roman"/>
          <w:sz w:val="20"/>
          <w:szCs w:val="20"/>
        </w:rPr>
      </w:pPr>
      <w:r w:rsidRPr="002B45C7">
        <w:rPr>
          <w:rStyle w:val="CaptionChar"/>
          <w:sz w:val="20"/>
          <w:szCs w:val="20"/>
        </w:rPr>
        <w:t xml:space="preserve">Граф.: Основни разходни </w:t>
      </w:r>
      <w:r>
        <w:rPr>
          <w:rStyle w:val="CaptionChar"/>
          <w:sz w:val="20"/>
          <w:szCs w:val="20"/>
        </w:rPr>
        <w:t xml:space="preserve">показатели по </w:t>
      </w:r>
      <w:r w:rsidRPr="00677F63">
        <w:rPr>
          <w:rStyle w:val="CaptionChar"/>
          <w:sz w:val="20"/>
          <w:szCs w:val="20"/>
        </w:rPr>
        <w:t xml:space="preserve">КФП </w:t>
      </w:r>
      <w:r w:rsidR="009B41DE">
        <w:rPr>
          <w:b/>
          <w:bCs/>
          <w:iCs/>
          <w:sz w:val="20"/>
          <w:szCs w:val="20"/>
        </w:rPr>
        <w:t>към септември</w:t>
      </w:r>
      <w:r w:rsidRPr="00677F63">
        <w:rPr>
          <w:b/>
          <w:bCs/>
          <w:iCs/>
          <w:sz w:val="20"/>
          <w:szCs w:val="20"/>
        </w:rPr>
        <w:t xml:space="preserve"> 2024 г. и </w:t>
      </w:r>
      <w:r w:rsidR="00A610B8">
        <w:rPr>
          <w:b/>
          <w:bCs/>
          <w:iCs/>
          <w:sz w:val="20"/>
          <w:szCs w:val="20"/>
        </w:rPr>
        <w:t xml:space="preserve">септември </w:t>
      </w:r>
      <w:r w:rsidRPr="00677F63">
        <w:rPr>
          <w:b/>
          <w:bCs/>
          <w:iCs/>
          <w:sz w:val="20"/>
          <w:szCs w:val="20"/>
        </w:rPr>
        <w:t>2025 г.</w:t>
      </w:r>
    </w:p>
    <w:p w14:paraId="441D994D" w14:textId="77777777" w:rsidR="009B41DE" w:rsidRDefault="009B41DE" w:rsidP="0026109F">
      <w:pPr>
        <w:autoSpaceDE w:val="0"/>
        <w:autoSpaceDN w:val="0"/>
        <w:adjustRightInd w:val="0"/>
        <w:spacing w:after="120"/>
        <w:jc w:val="center"/>
        <w:rPr>
          <w:rFonts w:eastAsia="Batang" w:cs="Times New Roman"/>
          <w:bCs/>
          <w:noProof/>
          <w:sz w:val="20"/>
          <w:szCs w:val="20"/>
        </w:rPr>
      </w:pPr>
      <w:r>
        <w:rPr>
          <w:rFonts w:eastAsia="Batang" w:cs="Times New Roman"/>
          <w:bCs/>
          <w:noProof/>
          <w:sz w:val="20"/>
          <w:szCs w:val="20"/>
        </w:rPr>
        <w:drawing>
          <wp:inline distT="0" distB="0" distL="0" distR="0" wp14:anchorId="1ED46B27" wp14:editId="561F6DF1">
            <wp:extent cx="4493260" cy="1999615"/>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3260" cy="1999615"/>
                    </a:xfrm>
                    <a:prstGeom prst="rect">
                      <a:avLst/>
                    </a:prstGeom>
                    <a:noFill/>
                  </pic:spPr>
                </pic:pic>
              </a:graphicData>
            </a:graphic>
          </wp:inline>
        </w:drawing>
      </w:r>
    </w:p>
    <w:p w14:paraId="3E8F0699" w14:textId="77777777" w:rsidR="00677F63" w:rsidRPr="000753BE" w:rsidRDefault="00B55406" w:rsidP="00677F63">
      <w:pPr>
        <w:spacing w:after="0"/>
        <w:rPr>
          <w:rFonts w:eastAsia="Times New Roman" w:cs="Times New Roman"/>
          <w:bCs/>
          <w:iCs/>
          <w:color w:val="000000" w:themeColor="text1"/>
          <w:sz w:val="16"/>
          <w:szCs w:val="16"/>
        </w:rPr>
      </w:pPr>
      <w:r>
        <w:rPr>
          <w:rFonts w:eastAsia="Times New Roman" w:cs="Times New Roman"/>
          <w:bCs/>
          <w:iCs/>
          <w:color w:val="000000" w:themeColor="text1"/>
          <w:sz w:val="16"/>
          <w:szCs w:val="16"/>
        </w:rPr>
        <w:t xml:space="preserve">* Вкл. </w:t>
      </w:r>
      <w:r w:rsidR="00677F63" w:rsidRPr="000753BE">
        <w:rPr>
          <w:rFonts w:eastAsia="Times New Roman" w:cs="Times New Roman"/>
          <w:bCs/>
          <w:iCs/>
          <w:color w:val="000000" w:themeColor="text1"/>
          <w:sz w:val="16"/>
          <w:szCs w:val="16"/>
        </w:rPr>
        <w:t>Предоставени текущи и капиталови трансфери за чужбина</w:t>
      </w:r>
    </w:p>
    <w:p w14:paraId="0FFCFD71" w14:textId="77777777" w:rsidR="00677F63" w:rsidRDefault="00B55406" w:rsidP="00677F63">
      <w:pPr>
        <w:spacing w:after="0"/>
        <w:rPr>
          <w:rFonts w:eastAsia="Times New Roman" w:cs="Times New Roman"/>
          <w:bCs/>
          <w:iCs/>
          <w:color w:val="000000" w:themeColor="text1"/>
          <w:sz w:val="16"/>
          <w:szCs w:val="16"/>
        </w:rPr>
      </w:pPr>
      <w:r>
        <w:rPr>
          <w:rFonts w:eastAsia="Times New Roman" w:cs="Times New Roman"/>
          <w:bCs/>
          <w:iCs/>
          <w:color w:val="000000" w:themeColor="text1"/>
          <w:sz w:val="16"/>
          <w:szCs w:val="16"/>
        </w:rPr>
        <w:t xml:space="preserve">** Вкл. </w:t>
      </w:r>
      <w:r w:rsidR="00677F63" w:rsidRPr="000753BE">
        <w:rPr>
          <w:rFonts w:eastAsia="Times New Roman" w:cs="Times New Roman"/>
          <w:bCs/>
          <w:iCs/>
          <w:color w:val="000000" w:themeColor="text1"/>
          <w:sz w:val="16"/>
          <w:szCs w:val="16"/>
        </w:rPr>
        <w:t>Нетен прираст на държавния резерв</w:t>
      </w:r>
    </w:p>
    <w:p w14:paraId="77939411" w14:textId="77777777" w:rsidR="00677F63" w:rsidRPr="00AA3F66" w:rsidRDefault="00677F63" w:rsidP="00677F63">
      <w:pPr>
        <w:autoSpaceDE w:val="0"/>
        <w:autoSpaceDN w:val="0"/>
        <w:adjustRightInd w:val="0"/>
        <w:spacing w:before="60" w:after="0"/>
        <w:ind w:right="202" w:firstLine="5098"/>
        <w:jc w:val="right"/>
        <w:rPr>
          <w:rFonts w:eastAsia="Batang" w:cs="Times New Roman"/>
          <w:bCs/>
          <w:sz w:val="18"/>
          <w:szCs w:val="18"/>
        </w:rPr>
      </w:pPr>
      <w:r w:rsidRPr="00AA3F66">
        <w:rPr>
          <w:rFonts w:eastAsia="Batang" w:cs="Times New Roman"/>
          <w:bCs/>
          <w:sz w:val="18"/>
          <w:szCs w:val="18"/>
        </w:rPr>
        <w:t>Източник: МФ</w:t>
      </w:r>
    </w:p>
    <w:p w14:paraId="73A43CF8" w14:textId="77777777" w:rsidR="00677F63" w:rsidRDefault="00677F63" w:rsidP="004D04F7">
      <w:pPr>
        <w:autoSpaceDE w:val="0"/>
        <w:autoSpaceDN w:val="0"/>
        <w:adjustRightInd w:val="0"/>
        <w:spacing w:after="120"/>
        <w:rPr>
          <w:rFonts w:eastAsia="Batang" w:cs="Times New Roman"/>
          <w:bCs/>
          <w:sz w:val="20"/>
          <w:szCs w:val="20"/>
        </w:rPr>
      </w:pPr>
    </w:p>
    <w:p w14:paraId="7EC3EC67" w14:textId="77777777" w:rsidR="00CC3FF8" w:rsidRPr="002B45C7" w:rsidRDefault="00CC3FF8" w:rsidP="00CC3FF8">
      <w:pPr>
        <w:autoSpaceDE w:val="0"/>
        <w:autoSpaceDN w:val="0"/>
        <w:adjustRightInd w:val="0"/>
        <w:spacing w:after="120" w:line="276" w:lineRule="auto"/>
        <w:jc w:val="left"/>
        <w:rPr>
          <w:rFonts w:eastAsia="Batang"/>
          <w:b/>
          <w:bCs/>
          <w:i/>
          <w:color w:val="943634"/>
          <w:sz w:val="22"/>
        </w:rPr>
      </w:pPr>
      <w:r w:rsidRPr="002B45C7">
        <w:rPr>
          <w:rFonts w:eastAsia="Batang"/>
          <w:b/>
          <w:bCs/>
          <w:i/>
          <w:color w:val="943634"/>
          <w:sz w:val="22"/>
        </w:rPr>
        <w:t>Разходи по държавния бюджет, бюджетите на социалноосигурителните фондове и бюджетите на общините</w:t>
      </w:r>
    </w:p>
    <w:p w14:paraId="3D51246D" w14:textId="77777777" w:rsidR="00CC3FF8" w:rsidRPr="002B45C7" w:rsidRDefault="00CC3FF8" w:rsidP="00CC3FF8">
      <w:pPr>
        <w:numPr>
          <w:ilvl w:val="0"/>
          <w:numId w:val="2"/>
        </w:numPr>
        <w:autoSpaceDE w:val="0"/>
        <w:autoSpaceDN w:val="0"/>
        <w:adjustRightInd w:val="0"/>
        <w:spacing w:after="120" w:line="276" w:lineRule="auto"/>
        <w:ind w:left="426" w:hanging="426"/>
        <w:rPr>
          <w:rFonts w:eastAsia="Batang"/>
          <w:b/>
          <w:bCs/>
          <w:color w:val="943634"/>
          <w:sz w:val="22"/>
        </w:rPr>
      </w:pPr>
      <w:r w:rsidRPr="002B45C7">
        <w:rPr>
          <w:rFonts w:eastAsia="Batang"/>
          <w:b/>
          <w:bCs/>
          <w:color w:val="943634"/>
          <w:sz w:val="22"/>
        </w:rPr>
        <w:t>Държавен бюджет</w:t>
      </w:r>
    </w:p>
    <w:p w14:paraId="6CEF50EC" w14:textId="77777777" w:rsidR="00E47511" w:rsidRPr="00C97608" w:rsidRDefault="00E47511" w:rsidP="00E47511">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Общият размер на </w:t>
      </w:r>
      <w:r w:rsidRPr="00C97608">
        <w:rPr>
          <w:rFonts w:eastAsia="Batang" w:cs="Times New Roman"/>
          <w:b/>
          <w:bCs/>
          <w:i/>
          <w:sz w:val="20"/>
          <w:szCs w:val="20"/>
        </w:rPr>
        <w:t>разходите по държавния бюджет</w:t>
      </w:r>
      <w:r w:rsidRPr="00C97608">
        <w:rPr>
          <w:rFonts w:eastAsia="Batang" w:cs="Times New Roman"/>
          <w:bCs/>
          <w:sz w:val="20"/>
          <w:szCs w:val="20"/>
        </w:rPr>
        <w:t xml:space="preserve"> (вкл. и трансферите за др. бюджети и вноската в бюджета на ЕС) към </w:t>
      </w:r>
      <w:r>
        <w:rPr>
          <w:rFonts w:eastAsia="Batang" w:cs="Times New Roman"/>
          <w:bCs/>
          <w:sz w:val="20"/>
          <w:szCs w:val="20"/>
        </w:rPr>
        <w:t>септември</w:t>
      </w:r>
      <w:r w:rsidRPr="00C97608">
        <w:rPr>
          <w:rFonts w:eastAsia="Batang" w:cs="Times New Roman"/>
          <w:bCs/>
          <w:sz w:val="20"/>
          <w:szCs w:val="20"/>
        </w:rPr>
        <w:t xml:space="preserve"> 2025 г. е </w:t>
      </w:r>
      <w:r w:rsidRPr="00F62B43">
        <w:rPr>
          <w:rFonts w:eastAsia="Batang" w:cs="Times New Roman"/>
          <w:bCs/>
          <w:sz w:val="20"/>
          <w:szCs w:val="20"/>
          <w:lang w:val="ru-RU"/>
        </w:rPr>
        <w:t>21</w:t>
      </w:r>
      <w:r>
        <w:rPr>
          <w:rFonts w:eastAsia="Batang" w:cs="Times New Roman"/>
          <w:bCs/>
          <w:sz w:val="20"/>
          <w:szCs w:val="20"/>
          <w:lang w:val="en-US"/>
        </w:rPr>
        <w:t> </w:t>
      </w:r>
      <w:r w:rsidRPr="00F62B43">
        <w:rPr>
          <w:rFonts w:eastAsia="Batang" w:cs="Times New Roman"/>
          <w:bCs/>
          <w:sz w:val="20"/>
          <w:szCs w:val="20"/>
          <w:lang w:val="ru-RU"/>
        </w:rPr>
        <w:t>577</w:t>
      </w:r>
      <w:r>
        <w:rPr>
          <w:rFonts w:eastAsia="Batang" w:cs="Times New Roman"/>
          <w:bCs/>
          <w:sz w:val="20"/>
          <w:szCs w:val="20"/>
        </w:rPr>
        <w:t>,</w:t>
      </w:r>
      <w:r w:rsidRPr="00F62B43">
        <w:rPr>
          <w:rFonts w:eastAsia="Batang" w:cs="Times New Roman"/>
          <w:bCs/>
          <w:sz w:val="20"/>
          <w:szCs w:val="20"/>
          <w:lang w:val="ru-RU"/>
        </w:rPr>
        <w:t>2</w:t>
      </w:r>
      <w:r w:rsidRPr="00C97608">
        <w:rPr>
          <w:rFonts w:eastAsia="Batang" w:cs="Times New Roman"/>
          <w:bCs/>
          <w:sz w:val="20"/>
          <w:szCs w:val="20"/>
        </w:rPr>
        <w:t xml:space="preserve"> млн. евро, </w:t>
      </w:r>
      <w:r>
        <w:rPr>
          <w:rFonts w:eastAsia="Batang" w:cs="Times New Roman"/>
          <w:bCs/>
          <w:sz w:val="20"/>
          <w:szCs w:val="20"/>
        </w:rPr>
        <w:t>67,9</w:t>
      </w:r>
      <w:r w:rsidRPr="00C97608">
        <w:rPr>
          <w:rFonts w:eastAsia="Batang" w:cs="Times New Roman"/>
          <w:bCs/>
          <w:sz w:val="20"/>
          <w:szCs w:val="20"/>
        </w:rPr>
        <w:t xml:space="preserve">% от разчета. </w:t>
      </w:r>
    </w:p>
    <w:p w14:paraId="34005A15" w14:textId="77777777" w:rsidR="00E47511" w:rsidRPr="00C97608" w:rsidRDefault="00E47511" w:rsidP="00E47511">
      <w:pPr>
        <w:autoSpaceDE w:val="0"/>
        <w:autoSpaceDN w:val="0"/>
        <w:adjustRightInd w:val="0"/>
        <w:spacing w:after="120"/>
        <w:rPr>
          <w:rFonts w:eastAsia="Batang" w:cs="Times New Roman"/>
          <w:bCs/>
          <w:sz w:val="20"/>
          <w:szCs w:val="20"/>
        </w:rPr>
      </w:pPr>
      <w:r w:rsidRPr="00C97608">
        <w:rPr>
          <w:rFonts w:eastAsia="Batang" w:cs="Times New Roman"/>
          <w:b/>
          <w:bCs/>
          <w:i/>
          <w:sz w:val="20"/>
          <w:szCs w:val="20"/>
        </w:rPr>
        <w:t>Нелихвените разходи по държавния бюджет</w:t>
      </w:r>
      <w:r w:rsidRPr="00C97608">
        <w:rPr>
          <w:rFonts w:eastAsia="Batang" w:cs="Times New Roman"/>
          <w:bCs/>
          <w:sz w:val="20"/>
          <w:szCs w:val="20"/>
        </w:rPr>
        <w:t xml:space="preserve"> (без т</w:t>
      </w:r>
      <w:r>
        <w:rPr>
          <w:rFonts w:eastAsia="Batang" w:cs="Times New Roman"/>
          <w:bCs/>
          <w:sz w:val="20"/>
          <w:szCs w:val="20"/>
        </w:rPr>
        <w:t>рансферите за др. бюджети) към септември</w:t>
      </w:r>
      <w:r w:rsidRPr="00C97608">
        <w:rPr>
          <w:rFonts w:eastAsia="Batang" w:cs="Times New Roman"/>
          <w:bCs/>
          <w:sz w:val="20"/>
          <w:szCs w:val="20"/>
        </w:rPr>
        <w:t xml:space="preserve"> 2025 г. са в размер на </w:t>
      </w:r>
      <w:r>
        <w:rPr>
          <w:rFonts w:eastAsia="Batang" w:cs="Times New Roman"/>
          <w:bCs/>
          <w:sz w:val="20"/>
          <w:szCs w:val="20"/>
        </w:rPr>
        <w:t>8 634,0</w:t>
      </w:r>
      <w:r w:rsidRPr="00C97608">
        <w:rPr>
          <w:rFonts w:eastAsia="Batang" w:cs="Times New Roman"/>
          <w:bCs/>
          <w:sz w:val="20"/>
          <w:szCs w:val="20"/>
        </w:rPr>
        <w:t xml:space="preserve"> млн. евро. На съпоставима база нелихвените разходи по държавния бюджет към края на </w:t>
      </w:r>
      <w:r>
        <w:rPr>
          <w:rFonts w:eastAsia="Batang" w:cs="Times New Roman"/>
          <w:bCs/>
          <w:sz w:val="20"/>
          <w:szCs w:val="20"/>
        </w:rPr>
        <w:t>септември</w:t>
      </w:r>
      <w:r w:rsidRPr="00C97608">
        <w:rPr>
          <w:rFonts w:eastAsia="Batang" w:cs="Times New Roman"/>
          <w:bCs/>
          <w:sz w:val="20"/>
          <w:szCs w:val="20"/>
        </w:rPr>
        <w:t xml:space="preserve"> 2024 г. са в размер на </w:t>
      </w:r>
      <w:r>
        <w:rPr>
          <w:rFonts w:eastAsia="Batang" w:cs="Times New Roman"/>
          <w:bCs/>
          <w:sz w:val="20"/>
          <w:szCs w:val="20"/>
        </w:rPr>
        <w:t>7 360,1</w:t>
      </w:r>
      <w:r w:rsidRPr="00C97608">
        <w:rPr>
          <w:rFonts w:eastAsia="Batang" w:cs="Times New Roman"/>
          <w:bCs/>
          <w:sz w:val="20"/>
          <w:szCs w:val="20"/>
        </w:rPr>
        <w:t xml:space="preserve"> млн. евро, като разходите към </w:t>
      </w:r>
      <w:r>
        <w:rPr>
          <w:rFonts w:eastAsia="Batang" w:cs="Times New Roman"/>
          <w:bCs/>
          <w:sz w:val="20"/>
          <w:szCs w:val="20"/>
        </w:rPr>
        <w:t>септември</w:t>
      </w:r>
      <w:r w:rsidRPr="00C97608">
        <w:rPr>
          <w:rFonts w:eastAsia="Batang" w:cs="Times New Roman"/>
          <w:bCs/>
          <w:sz w:val="20"/>
          <w:szCs w:val="20"/>
        </w:rPr>
        <w:t xml:space="preserve"> 2025 г. нарастват номинално с 1 </w:t>
      </w:r>
      <w:r>
        <w:rPr>
          <w:rFonts w:eastAsia="Batang" w:cs="Times New Roman"/>
          <w:bCs/>
          <w:sz w:val="20"/>
          <w:szCs w:val="20"/>
        </w:rPr>
        <w:t>273,9</w:t>
      </w:r>
      <w:r w:rsidRPr="00C97608">
        <w:rPr>
          <w:rFonts w:eastAsia="Batang" w:cs="Times New Roman"/>
          <w:bCs/>
          <w:sz w:val="20"/>
          <w:szCs w:val="20"/>
        </w:rPr>
        <w:t xml:space="preserve"> млн. евро (1</w:t>
      </w:r>
      <w:r>
        <w:rPr>
          <w:rFonts w:eastAsia="Batang" w:cs="Times New Roman"/>
          <w:bCs/>
          <w:sz w:val="20"/>
          <w:szCs w:val="20"/>
        </w:rPr>
        <w:t>7,3</w:t>
      </w:r>
      <w:r w:rsidRPr="00C97608">
        <w:rPr>
          <w:rFonts w:eastAsia="Batang" w:cs="Times New Roman"/>
          <w:bCs/>
          <w:sz w:val="20"/>
          <w:szCs w:val="20"/>
        </w:rPr>
        <w:t xml:space="preserve"> на сто), след елиминиране на трансакцията по чл. 71, ал.1 от Постановление № 13 на </w:t>
      </w:r>
      <w:r>
        <w:rPr>
          <w:rFonts w:eastAsia="Batang" w:cs="Times New Roman"/>
          <w:bCs/>
          <w:sz w:val="20"/>
          <w:szCs w:val="20"/>
        </w:rPr>
        <w:t>Министерския съвет от 2024 г.</w:t>
      </w:r>
    </w:p>
    <w:p w14:paraId="0C8CA449" w14:textId="77777777" w:rsidR="00E47511" w:rsidRPr="00686B97" w:rsidRDefault="00E47511" w:rsidP="00E47511">
      <w:pPr>
        <w:spacing w:after="0"/>
        <w:rPr>
          <w:rFonts w:eastAsia="Times New Roman" w:cs="Times New Roman"/>
          <w:bCs/>
          <w:sz w:val="20"/>
          <w:szCs w:val="20"/>
        </w:rPr>
      </w:pPr>
      <w:r w:rsidRPr="00C97608">
        <w:rPr>
          <w:rFonts w:eastAsia="Times New Roman" w:cs="Times New Roman"/>
          <w:bCs/>
          <w:sz w:val="20"/>
          <w:szCs w:val="20"/>
        </w:rPr>
        <w:t xml:space="preserve">Разходите за персонал (заплати и възнаграждения, други възнаграждения и плащания за персонала и осигурителни вноски) са в общ размер на 4 </w:t>
      </w:r>
      <w:r>
        <w:rPr>
          <w:rFonts w:eastAsia="Times New Roman" w:cs="Times New Roman"/>
          <w:bCs/>
          <w:sz w:val="20"/>
          <w:szCs w:val="20"/>
        </w:rPr>
        <w:t>609,9</w:t>
      </w:r>
      <w:r w:rsidRPr="00C97608">
        <w:rPr>
          <w:rFonts w:eastAsia="Times New Roman" w:cs="Times New Roman"/>
          <w:bCs/>
          <w:sz w:val="20"/>
          <w:szCs w:val="20"/>
        </w:rPr>
        <w:t xml:space="preserve"> млн. евро или </w:t>
      </w:r>
      <w:r>
        <w:rPr>
          <w:rFonts w:eastAsia="Times New Roman" w:cs="Times New Roman"/>
          <w:bCs/>
          <w:sz w:val="20"/>
          <w:szCs w:val="20"/>
        </w:rPr>
        <w:t>70,8</w:t>
      </w:r>
      <w:r w:rsidRPr="00C97608">
        <w:rPr>
          <w:rFonts w:eastAsia="Times New Roman" w:cs="Times New Roman"/>
          <w:bCs/>
          <w:sz w:val="20"/>
          <w:szCs w:val="20"/>
        </w:rPr>
        <w:t xml:space="preserve">% от планираните за 2025 г. и ръст от </w:t>
      </w:r>
      <w:r>
        <w:rPr>
          <w:rFonts w:eastAsia="Times New Roman" w:cs="Times New Roman"/>
          <w:bCs/>
          <w:sz w:val="20"/>
          <w:szCs w:val="20"/>
        </w:rPr>
        <w:t>949,9</w:t>
      </w:r>
      <w:r w:rsidRPr="00C97608">
        <w:rPr>
          <w:rFonts w:eastAsia="Times New Roman" w:cs="Times New Roman"/>
          <w:bCs/>
          <w:sz w:val="20"/>
          <w:szCs w:val="20"/>
        </w:rPr>
        <w:t xml:space="preserve"> млн. евро (2</w:t>
      </w:r>
      <w:r>
        <w:rPr>
          <w:rFonts w:eastAsia="Times New Roman" w:cs="Times New Roman"/>
          <w:bCs/>
          <w:sz w:val="20"/>
          <w:szCs w:val="20"/>
        </w:rPr>
        <w:t>6,0</w:t>
      </w:r>
      <w:r w:rsidRPr="00C97608">
        <w:rPr>
          <w:rFonts w:eastAsia="Times New Roman" w:cs="Times New Roman"/>
          <w:bCs/>
          <w:sz w:val="20"/>
          <w:szCs w:val="20"/>
        </w:rPr>
        <w:t xml:space="preserve">%) спрямо </w:t>
      </w:r>
      <w:r w:rsidRPr="00C97608">
        <w:rPr>
          <w:rFonts w:eastAsia="Times New Roman" w:cs="Times New Roman"/>
          <w:bCs/>
          <w:sz w:val="20"/>
          <w:szCs w:val="20"/>
        </w:rPr>
        <w:lastRenderedPageBreak/>
        <w:t>същия период на предходната година. Разходите за издръжка (вкл. разходи за членски внос и участие в нетърговски организации и дейности и платени данъци, такси и административни санкции) са в размер на 1</w:t>
      </w:r>
      <w:r>
        <w:rPr>
          <w:rFonts w:eastAsia="Times New Roman" w:cs="Times New Roman"/>
          <w:bCs/>
          <w:sz w:val="20"/>
          <w:szCs w:val="20"/>
        </w:rPr>
        <w:t> 239,4</w:t>
      </w:r>
      <w:r w:rsidRPr="00C97608">
        <w:rPr>
          <w:rFonts w:eastAsia="Times New Roman" w:cs="Times New Roman"/>
          <w:bCs/>
          <w:sz w:val="20"/>
          <w:szCs w:val="20"/>
        </w:rPr>
        <w:t xml:space="preserve"> млн. евро или </w:t>
      </w:r>
      <w:r>
        <w:rPr>
          <w:rFonts w:eastAsia="Times New Roman" w:cs="Times New Roman"/>
          <w:bCs/>
          <w:sz w:val="20"/>
          <w:szCs w:val="20"/>
        </w:rPr>
        <w:t>44,6</w:t>
      </w:r>
      <w:r w:rsidRPr="00C97608">
        <w:rPr>
          <w:rFonts w:eastAsia="Times New Roman" w:cs="Times New Roman"/>
          <w:bCs/>
          <w:sz w:val="20"/>
          <w:szCs w:val="20"/>
        </w:rPr>
        <w:t xml:space="preserve">% от планираните за годината. Социалните разходи (вкл. разходите за стипендии) са в размер на </w:t>
      </w:r>
      <w:r>
        <w:rPr>
          <w:rFonts w:eastAsia="Times New Roman" w:cs="Times New Roman"/>
          <w:bCs/>
          <w:sz w:val="20"/>
          <w:szCs w:val="20"/>
        </w:rPr>
        <w:t>744,1</w:t>
      </w:r>
      <w:r w:rsidRPr="00C97608">
        <w:rPr>
          <w:rFonts w:eastAsia="Times New Roman" w:cs="Times New Roman"/>
          <w:bCs/>
          <w:sz w:val="20"/>
          <w:szCs w:val="20"/>
        </w:rPr>
        <w:t xml:space="preserve"> млн. евро или </w:t>
      </w:r>
      <w:r>
        <w:rPr>
          <w:rFonts w:eastAsia="Times New Roman" w:cs="Times New Roman"/>
          <w:bCs/>
          <w:sz w:val="20"/>
          <w:szCs w:val="20"/>
        </w:rPr>
        <w:t>43,0</w:t>
      </w:r>
      <w:r w:rsidRPr="00C97608">
        <w:rPr>
          <w:rFonts w:eastAsia="Times New Roman" w:cs="Times New Roman"/>
          <w:bCs/>
          <w:sz w:val="20"/>
          <w:szCs w:val="20"/>
        </w:rPr>
        <w:t xml:space="preserve">% от предвидените за годината като нарастват с </w:t>
      </w:r>
      <w:r>
        <w:rPr>
          <w:rFonts w:eastAsia="Times New Roman" w:cs="Times New Roman"/>
          <w:bCs/>
          <w:sz w:val="20"/>
          <w:szCs w:val="20"/>
        </w:rPr>
        <w:t>94,3</w:t>
      </w:r>
      <w:r w:rsidRPr="00C97608">
        <w:rPr>
          <w:rFonts w:eastAsia="Times New Roman" w:cs="Times New Roman"/>
          <w:bCs/>
          <w:sz w:val="20"/>
          <w:szCs w:val="20"/>
        </w:rPr>
        <w:t xml:space="preserve"> млн. евро (14,</w:t>
      </w:r>
      <w:r>
        <w:rPr>
          <w:rFonts w:eastAsia="Times New Roman" w:cs="Times New Roman"/>
          <w:bCs/>
          <w:sz w:val="20"/>
          <w:szCs w:val="20"/>
        </w:rPr>
        <w:t>5</w:t>
      </w:r>
      <w:r w:rsidRPr="00C97608">
        <w:rPr>
          <w:rFonts w:eastAsia="Times New Roman" w:cs="Times New Roman"/>
          <w:bCs/>
          <w:sz w:val="20"/>
          <w:szCs w:val="20"/>
        </w:rPr>
        <w:t xml:space="preserve">%) спрямо същия период на предходната година. Част от планираните социални разходи по държавния бюджет се предоставят като трансфери за общинските бюджети. Разходите за субсидии са в размер на </w:t>
      </w:r>
      <w:r>
        <w:rPr>
          <w:rFonts w:eastAsia="Times New Roman" w:cs="Times New Roman"/>
          <w:bCs/>
          <w:sz w:val="20"/>
          <w:szCs w:val="20"/>
        </w:rPr>
        <w:t>699,4</w:t>
      </w:r>
      <w:r w:rsidRPr="00C97608">
        <w:rPr>
          <w:rFonts w:eastAsia="Times New Roman" w:cs="Times New Roman"/>
          <w:bCs/>
          <w:sz w:val="20"/>
          <w:szCs w:val="20"/>
        </w:rPr>
        <w:t xml:space="preserve"> млн. евро или </w:t>
      </w:r>
      <w:r>
        <w:rPr>
          <w:rFonts w:eastAsia="Times New Roman" w:cs="Times New Roman"/>
          <w:bCs/>
          <w:sz w:val="20"/>
          <w:szCs w:val="20"/>
        </w:rPr>
        <w:t>63,9</w:t>
      </w:r>
      <w:r w:rsidRPr="00C97608">
        <w:rPr>
          <w:rFonts w:eastAsia="Times New Roman" w:cs="Times New Roman"/>
          <w:bCs/>
          <w:sz w:val="20"/>
          <w:szCs w:val="20"/>
        </w:rPr>
        <w:t xml:space="preserve">% от планираните за годината. Към </w:t>
      </w:r>
      <w:r>
        <w:rPr>
          <w:rFonts w:eastAsia="Times New Roman" w:cs="Times New Roman"/>
          <w:bCs/>
          <w:sz w:val="20"/>
          <w:szCs w:val="20"/>
        </w:rPr>
        <w:t>септември</w:t>
      </w:r>
      <w:r w:rsidRPr="00C97608">
        <w:rPr>
          <w:rFonts w:eastAsia="Times New Roman" w:cs="Times New Roman"/>
          <w:bCs/>
          <w:sz w:val="20"/>
          <w:szCs w:val="20"/>
        </w:rPr>
        <w:t xml:space="preserve"> 2025 г. субсидиите за „БДЖ – Пътнически превози” ЕООД са в размер на </w:t>
      </w:r>
      <w:r>
        <w:rPr>
          <w:rFonts w:eastAsia="Times New Roman" w:cs="Times New Roman"/>
          <w:bCs/>
          <w:sz w:val="20"/>
          <w:szCs w:val="20"/>
        </w:rPr>
        <w:t>86,8</w:t>
      </w:r>
      <w:r w:rsidRPr="00C97608">
        <w:rPr>
          <w:rFonts w:eastAsia="Times New Roman" w:cs="Times New Roman"/>
          <w:bCs/>
          <w:sz w:val="20"/>
          <w:szCs w:val="20"/>
        </w:rPr>
        <w:t xml:space="preserve"> млн. евро, субсидиите за Национална компания „Железопътна инфраструктура” са 1</w:t>
      </w:r>
      <w:r>
        <w:rPr>
          <w:rFonts w:eastAsia="Times New Roman" w:cs="Times New Roman"/>
          <w:bCs/>
          <w:sz w:val="20"/>
          <w:szCs w:val="20"/>
        </w:rPr>
        <w:t>51,8</w:t>
      </w:r>
      <w:r w:rsidRPr="00C97608">
        <w:rPr>
          <w:rFonts w:eastAsia="Times New Roman" w:cs="Times New Roman"/>
          <w:bCs/>
          <w:sz w:val="20"/>
          <w:szCs w:val="20"/>
        </w:rPr>
        <w:t xml:space="preserve"> млн. евро и 3</w:t>
      </w:r>
      <w:r>
        <w:rPr>
          <w:rFonts w:eastAsia="Times New Roman" w:cs="Times New Roman"/>
          <w:bCs/>
          <w:sz w:val="20"/>
          <w:szCs w:val="20"/>
        </w:rPr>
        <w:t>4,9</w:t>
      </w:r>
      <w:r w:rsidRPr="00C97608">
        <w:rPr>
          <w:rFonts w:eastAsia="Times New Roman" w:cs="Times New Roman"/>
          <w:bCs/>
          <w:sz w:val="20"/>
          <w:szCs w:val="20"/>
        </w:rPr>
        <w:t xml:space="preserve"> млн. евро са за „Български пощи” ЕАД, в т. ч. </w:t>
      </w:r>
      <w:r>
        <w:rPr>
          <w:rFonts w:eastAsia="Times New Roman" w:cs="Times New Roman"/>
          <w:bCs/>
          <w:sz w:val="20"/>
          <w:szCs w:val="20"/>
        </w:rPr>
        <w:t>11,2</w:t>
      </w:r>
      <w:r w:rsidRPr="00C97608">
        <w:rPr>
          <w:rFonts w:eastAsia="Times New Roman" w:cs="Times New Roman"/>
          <w:bCs/>
          <w:sz w:val="20"/>
          <w:szCs w:val="20"/>
        </w:rPr>
        <w:t xml:space="preserve"> млн. евро за извършване на универсална пощенска услуга, 1</w:t>
      </w:r>
      <w:r>
        <w:rPr>
          <w:rFonts w:eastAsia="Times New Roman" w:cs="Times New Roman"/>
          <w:bCs/>
          <w:sz w:val="20"/>
          <w:szCs w:val="20"/>
        </w:rPr>
        <w:t>1,4</w:t>
      </w:r>
      <w:r w:rsidRPr="00C97608">
        <w:rPr>
          <w:rFonts w:eastAsia="Times New Roman" w:cs="Times New Roman"/>
          <w:bCs/>
          <w:sz w:val="20"/>
          <w:szCs w:val="20"/>
        </w:rPr>
        <w:t xml:space="preserve"> млн. евро за разпространение на периодични печатни издания - вестници и списания, </w:t>
      </w:r>
      <w:r>
        <w:rPr>
          <w:rFonts w:eastAsia="Times New Roman" w:cs="Times New Roman"/>
          <w:bCs/>
          <w:sz w:val="20"/>
          <w:szCs w:val="20"/>
        </w:rPr>
        <w:t>7,2</w:t>
      </w:r>
      <w:r w:rsidRPr="00C97608">
        <w:rPr>
          <w:rFonts w:eastAsia="Times New Roman" w:cs="Times New Roman"/>
          <w:bCs/>
          <w:sz w:val="20"/>
          <w:szCs w:val="20"/>
        </w:rPr>
        <w:t xml:space="preserve"> млн. евро за предоставяне на административни услуги и 4,9 млн. евро за обмяна на левове в евро (ПМС </w:t>
      </w:r>
      <w:r w:rsidR="00F6534A">
        <w:rPr>
          <w:rFonts w:eastAsia="Times New Roman" w:cs="Times New Roman"/>
          <w:bCs/>
          <w:sz w:val="20"/>
          <w:szCs w:val="20"/>
        </w:rPr>
        <w:t xml:space="preserve">№ </w:t>
      </w:r>
      <w:r w:rsidRPr="00C97608">
        <w:rPr>
          <w:rFonts w:eastAsia="Times New Roman" w:cs="Times New Roman"/>
          <w:bCs/>
          <w:sz w:val="20"/>
          <w:szCs w:val="20"/>
        </w:rPr>
        <w:t>66/22.05.2025 г.)</w:t>
      </w:r>
      <w:r w:rsidRPr="00536A09">
        <w:t xml:space="preserve"> </w:t>
      </w:r>
      <w:r w:rsidRPr="00536A09">
        <w:rPr>
          <w:rFonts w:eastAsia="Times New Roman" w:cs="Times New Roman"/>
          <w:bCs/>
          <w:sz w:val="20"/>
          <w:szCs w:val="20"/>
        </w:rPr>
        <w:t>и 0,</w:t>
      </w:r>
      <w:r>
        <w:rPr>
          <w:rFonts w:eastAsia="Times New Roman" w:cs="Times New Roman"/>
          <w:bCs/>
          <w:sz w:val="20"/>
          <w:szCs w:val="20"/>
        </w:rPr>
        <w:t>2</w:t>
      </w:r>
      <w:r w:rsidRPr="00536A09">
        <w:rPr>
          <w:rFonts w:eastAsia="Times New Roman" w:cs="Times New Roman"/>
          <w:bCs/>
          <w:sz w:val="20"/>
          <w:szCs w:val="20"/>
        </w:rPr>
        <w:t xml:space="preserve"> млн. </w:t>
      </w:r>
      <w:r>
        <w:rPr>
          <w:rFonts w:eastAsia="Times New Roman" w:cs="Times New Roman"/>
          <w:bCs/>
          <w:sz w:val="20"/>
          <w:szCs w:val="20"/>
        </w:rPr>
        <w:t>евро</w:t>
      </w:r>
      <w:r w:rsidRPr="00536A09">
        <w:rPr>
          <w:rFonts w:eastAsia="Times New Roman" w:cs="Times New Roman"/>
          <w:bCs/>
          <w:sz w:val="20"/>
          <w:szCs w:val="20"/>
        </w:rPr>
        <w:t xml:space="preserve"> за дейности, предвидени в Комуникационната стратегия за информация и публичност на присъединяването на България към еврозоната, чрез мрежата от пощенските станции на територията на страната (ПМС </w:t>
      </w:r>
      <w:r w:rsidR="00F6534A">
        <w:rPr>
          <w:rFonts w:eastAsia="Times New Roman" w:cs="Times New Roman"/>
          <w:bCs/>
          <w:sz w:val="20"/>
          <w:szCs w:val="20"/>
        </w:rPr>
        <w:t xml:space="preserve">№ </w:t>
      </w:r>
      <w:r w:rsidRPr="00536A09">
        <w:rPr>
          <w:rFonts w:eastAsia="Times New Roman" w:cs="Times New Roman"/>
          <w:bCs/>
          <w:sz w:val="20"/>
          <w:szCs w:val="20"/>
        </w:rPr>
        <w:t>480/21.12.2022 г.).</w:t>
      </w:r>
      <w:r w:rsidRPr="00C97608">
        <w:rPr>
          <w:rFonts w:eastAsia="Times New Roman" w:cs="Times New Roman"/>
          <w:bCs/>
          <w:sz w:val="20"/>
          <w:szCs w:val="20"/>
        </w:rPr>
        <w:t xml:space="preserve"> За отчетния период субсидиите за „България Хели Мед Сървиз“ (център за спешна медицинска помощ по въздуха) са в размер на 3,</w:t>
      </w:r>
      <w:r>
        <w:rPr>
          <w:rFonts w:eastAsia="Times New Roman" w:cs="Times New Roman"/>
          <w:bCs/>
          <w:sz w:val="20"/>
          <w:szCs w:val="20"/>
        </w:rPr>
        <w:t>6</w:t>
      </w:r>
      <w:r w:rsidRPr="00C97608">
        <w:rPr>
          <w:rFonts w:eastAsia="Times New Roman" w:cs="Times New Roman"/>
          <w:bCs/>
          <w:sz w:val="20"/>
          <w:szCs w:val="20"/>
        </w:rPr>
        <w:t xml:space="preserve"> млн. евро. Към месец </w:t>
      </w:r>
      <w:r>
        <w:rPr>
          <w:rFonts w:eastAsia="Times New Roman" w:cs="Times New Roman"/>
          <w:bCs/>
          <w:sz w:val="20"/>
          <w:szCs w:val="20"/>
        </w:rPr>
        <w:t>септември</w:t>
      </w:r>
      <w:r w:rsidRPr="00C97608">
        <w:rPr>
          <w:rFonts w:eastAsia="Times New Roman" w:cs="Times New Roman"/>
          <w:bCs/>
          <w:sz w:val="20"/>
          <w:szCs w:val="20"/>
        </w:rPr>
        <w:t xml:space="preserve"> 2025 г. ДФ „Земеделие“ e изплатил субсидии в общ размер на </w:t>
      </w:r>
      <w:r>
        <w:rPr>
          <w:rFonts w:eastAsia="Times New Roman" w:cs="Times New Roman"/>
          <w:bCs/>
          <w:sz w:val="20"/>
          <w:szCs w:val="20"/>
        </w:rPr>
        <w:t>119,5</w:t>
      </w:r>
      <w:r w:rsidRPr="00C97608">
        <w:rPr>
          <w:rFonts w:eastAsia="Times New Roman" w:cs="Times New Roman"/>
          <w:bCs/>
          <w:sz w:val="20"/>
          <w:szCs w:val="20"/>
        </w:rPr>
        <w:t xml:space="preserve"> млн. евро, от които </w:t>
      </w:r>
      <w:r>
        <w:rPr>
          <w:rFonts w:eastAsia="Times New Roman" w:cs="Times New Roman"/>
          <w:bCs/>
          <w:sz w:val="20"/>
          <w:szCs w:val="20"/>
        </w:rPr>
        <w:t>78,7</w:t>
      </w:r>
      <w:r w:rsidRPr="00C97608">
        <w:rPr>
          <w:rFonts w:eastAsia="Times New Roman" w:cs="Times New Roman"/>
          <w:bCs/>
          <w:sz w:val="20"/>
          <w:szCs w:val="20"/>
        </w:rPr>
        <w:t xml:space="preserve"> млн. евро държавна помощ; 36,2 млн. евро преходна национална помощ за тютюн и 3,9 млн. евро средства за ДДС по схеми „Училищен плод“ и „Училищно мляко</w:t>
      </w:r>
      <w:r w:rsidRPr="00686B97">
        <w:rPr>
          <w:rFonts w:eastAsia="Times New Roman" w:cs="Times New Roman"/>
          <w:bCs/>
          <w:sz w:val="20"/>
          <w:szCs w:val="20"/>
        </w:rPr>
        <w:t xml:space="preserve">“. </w:t>
      </w:r>
    </w:p>
    <w:p w14:paraId="0A873108" w14:textId="77777777" w:rsidR="00E47511" w:rsidRPr="00C97608" w:rsidRDefault="00E47511" w:rsidP="00E47511">
      <w:pPr>
        <w:autoSpaceDE w:val="0"/>
        <w:autoSpaceDN w:val="0"/>
        <w:adjustRightInd w:val="0"/>
        <w:spacing w:before="120" w:after="120"/>
        <w:rPr>
          <w:rFonts w:eastAsia="Times New Roman" w:cs="Times New Roman"/>
          <w:bCs/>
          <w:sz w:val="20"/>
          <w:szCs w:val="20"/>
        </w:rPr>
      </w:pPr>
      <w:r w:rsidRPr="00C97608">
        <w:rPr>
          <w:rFonts w:eastAsia="Times New Roman" w:cs="Times New Roman"/>
          <w:bCs/>
          <w:i/>
          <w:sz w:val="20"/>
          <w:szCs w:val="20"/>
        </w:rPr>
        <w:t>Капиталовите разходи</w:t>
      </w:r>
      <w:r w:rsidRPr="00C97608">
        <w:rPr>
          <w:rFonts w:eastAsia="Times New Roman" w:cs="Times New Roman"/>
          <w:bCs/>
          <w:sz w:val="20"/>
          <w:szCs w:val="20"/>
        </w:rPr>
        <w:t xml:space="preserve"> (вкл. нетния прираст на държавния резерв) по държавния бюджет възлизат на 1</w:t>
      </w:r>
      <w:r>
        <w:rPr>
          <w:rFonts w:eastAsia="Times New Roman" w:cs="Times New Roman"/>
          <w:bCs/>
          <w:sz w:val="20"/>
          <w:szCs w:val="20"/>
        </w:rPr>
        <w:t> 333,4</w:t>
      </w:r>
      <w:r w:rsidRPr="00C97608">
        <w:rPr>
          <w:rFonts w:eastAsia="Times New Roman" w:cs="Times New Roman"/>
          <w:bCs/>
          <w:sz w:val="20"/>
          <w:szCs w:val="20"/>
        </w:rPr>
        <w:t xml:space="preserve"> млн. евро.</w:t>
      </w:r>
    </w:p>
    <w:p w14:paraId="7F70AF55" w14:textId="77777777" w:rsidR="00E47511" w:rsidRPr="00C97608" w:rsidRDefault="00E47511" w:rsidP="00E47511">
      <w:pPr>
        <w:autoSpaceDE w:val="0"/>
        <w:autoSpaceDN w:val="0"/>
        <w:adjustRightInd w:val="0"/>
        <w:spacing w:before="120" w:after="120"/>
        <w:rPr>
          <w:rFonts w:eastAsia="Batang" w:cs="Times New Roman"/>
          <w:bCs/>
          <w:sz w:val="20"/>
          <w:szCs w:val="20"/>
        </w:rPr>
      </w:pPr>
      <w:r w:rsidRPr="00C97608">
        <w:rPr>
          <w:rFonts w:eastAsia="Batang" w:cs="Times New Roman"/>
          <w:b/>
          <w:bCs/>
          <w:i/>
          <w:sz w:val="20"/>
          <w:szCs w:val="20"/>
        </w:rPr>
        <w:t>Лихвените плащания по държавния бюджет</w:t>
      </w:r>
      <w:r w:rsidRPr="00C97608">
        <w:rPr>
          <w:rFonts w:eastAsia="Batang" w:cs="Times New Roman"/>
          <w:bCs/>
          <w:sz w:val="20"/>
          <w:szCs w:val="20"/>
        </w:rPr>
        <w:t xml:space="preserve"> към 3</w:t>
      </w:r>
      <w:r>
        <w:rPr>
          <w:rFonts w:eastAsia="Batang" w:cs="Times New Roman"/>
          <w:bCs/>
          <w:sz w:val="20"/>
          <w:szCs w:val="20"/>
        </w:rPr>
        <w:t>0</w:t>
      </w:r>
      <w:r w:rsidRPr="00C97608">
        <w:rPr>
          <w:rFonts w:eastAsia="Batang" w:cs="Times New Roman"/>
          <w:bCs/>
          <w:sz w:val="20"/>
          <w:szCs w:val="20"/>
        </w:rPr>
        <w:t>.0</w:t>
      </w:r>
      <w:r>
        <w:rPr>
          <w:rFonts w:eastAsia="Batang" w:cs="Times New Roman"/>
          <w:bCs/>
          <w:sz w:val="20"/>
          <w:szCs w:val="20"/>
        </w:rPr>
        <w:t>9</w:t>
      </w:r>
      <w:r w:rsidRPr="00C97608">
        <w:rPr>
          <w:rFonts w:eastAsia="Batang" w:cs="Times New Roman"/>
          <w:bCs/>
          <w:sz w:val="20"/>
          <w:szCs w:val="20"/>
        </w:rPr>
        <w:t xml:space="preserve">.2025 г. са в общ размер на </w:t>
      </w:r>
      <w:r>
        <w:rPr>
          <w:rFonts w:eastAsia="Batang" w:cs="Times New Roman"/>
          <w:bCs/>
          <w:sz w:val="20"/>
          <w:szCs w:val="20"/>
        </w:rPr>
        <w:t>662,9</w:t>
      </w:r>
      <w:r w:rsidRPr="00C97608">
        <w:rPr>
          <w:rFonts w:eastAsia="Batang" w:cs="Times New Roman"/>
          <w:bCs/>
          <w:sz w:val="20"/>
          <w:szCs w:val="20"/>
        </w:rPr>
        <w:t xml:space="preserve"> млн. евро или </w:t>
      </w:r>
      <w:r>
        <w:rPr>
          <w:rFonts w:eastAsia="Batang" w:cs="Times New Roman"/>
          <w:bCs/>
          <w:sz w:val="20"/>
          <w:szCs w:val="20"/>
        </w:rPr>
        <w:t>82,7</w:t>
      </w:r>
      <w:r w:rsidRPr="00C97608">
        <w:rPr>
          <w:rFonts w:eastAsia="Batang" w:cs="Times New Roman"/>
          <w:bCs/>
          <w:sz w:val="20"/>
          <w:szCs w:val="20"/>
        </w:rPr>
        <w:t>% от предвидените в годишните разчети.</w:t>
      </w:r>
    </w:p>
    <w:p w14:paraId="21034F42" w14:textId="77777777" w:rsidR="00E47511" w:rsidRPr="00C97608" w:rsidRDefault="00E47511" w:rsidP="00E47511">
      <w:pPr>
        <w:autoSpaceDE w:val="0"/>
        <w:autoSpaceDN w:val="0"/>
        <w:adjustRightInd w:val="0"/>
        <w:spacing w:after="0"/>
        <w:rPr>
          <w:rFonts w:eastAsia="Batang" w:cs="Times New Roman"/>
          <w:bCs/>
          <w:sz w:val="20"/>
          <w:szCs w:val="20"/>
        </w:rPr>
      </w:pPr>
      <w:r w:rsidRPr="00C97608">
        <w:rPr>
          <w:rFonts w:eastAsia="Batang" w:cs="Times New Roman"/>
          <w:bCs/>
          <w:sz w:val="20"/>
          <w:szCs w:val="20"/>
        </w:rPr>
        <w:t xml:space="preserve">Нетният размер на </w:t>
      </w:r>
      <w:r w:rsidRPr="00C97608">
        <w:rPr>
          <w:rFonts w:eastAsia="Batang" w:cs="Times New Roman"/>
          <w:b/>
          <w:bCs/>
          <w:i/>
          <w:sz w:val="20"/>
          <w:szCs w:val="20"/>
        </w:rPr>
        <w:t>трансферите по държавния бюджет</w:t>
      </w:r>
      <w:r w:rsidRPr="00C97608">
        <w:rPr>
          <w:rFonts w:eastAsia="Batang" w:cs="Times New Roman"/>
          <w:bCs/>
          <w:sz w:val="20"/>
          <w:szCs w:val="20"/>
        </w:rPr>
        <w:t xml:space="preserve"> към </w:t>
      </w:r>
      <w:r>
        <w:rPr>
          <w:rFonts w:eastAsia="Batang" w:cs="Times New Roman"/>
          <w:bCs/>
          <w:sz w:val="20"/>
          <w:szCs w:val="20"/>
        </w:rPr>
        <w:t>септември</w:t>
      </w:r>
      <w:r w:rsidRPr="00C97608">
        <w:rPr>
          <w:rFonts w:eastAsia="Batang" w:cs="Times New Roman"/>
          <w:bCs/>
          <w:sz w:val="20"/>
          <w:szCs w:val="20"/>
        </w:rPr>
        <w:t xml:space="preserve"> 2025 г. е </w:t>
      </w:r>
      <w:r>
        <w:rPr>
          <w:rFonts w:eastAsia="Batang" w:cs="Times New Roman"/>
          <w:bCs/>
          <w:sz w:val="20"/>
          <w:szCs w:val="20"/>
        </w:rPr>
        <w:t>11 528,0</w:t>
      </w:r>
      <w:r w:rsidRPr="00C97608">
        <w:rPr>
          <w:rFonts w:eastAsia="Batang" w:cs="Times New Roman"/>
          <w:bCs/>
          <w:sz w:val="20"/>
          <w:szCs w:val="20"/>
        </w:rPr>
        <w:t> млн. евро.</w:t>
      </w:r>
    </w:p>
    <w:p w14:paraId="170468BA" w14:textId="77777777" w:rsidR="00E47511" w:rsidRPr="002B45C7" w:rsidRDefault="00E47511" w:rsidP="00E47511">
      <w:pPr>
        <w:numPr>
          <w:ilvl w:val="0"/>
          <w:numId w:val="2"/>
        </w:numPr>
        <w:autoSpaceDE w:val="0"/>
        <w:autoSpaceDN w:val="0"/>
        <w:adjustRightInd w:val="0"/>
        <w:spacing w:after="120"/>
        <w:ind w:left="426" w:hanging="426"/>
        <w:rPr>
          <w:rFonts w:eastAsia="Batang"/>
          <w:b/>
          <w:bCs/>
          <w:color w:val="943634"/>
          <w:sz w:val="22"/>
        </w:rPr>
      </w:pPr>
      <w:r w:rsidRPr="002B45C7">
        <w:rPr>
          <w:rFonts w:eastAsia="Batang"/>
          <w:b/>
          <w:bCs/>
          <w:color w:val="943634"/>
          <w:sz w:val="22"/>
        </w:rPr>
        <w:t>Разходи по бюджетите на социалноосигурителните фондове</w:t>
      </w:r>
    </w:p>
    <w:p w14:paraId="1F326191" w14:textId="77777777" w:rsidR="00E47511" w:rsidRDefault="00E47511" w:rsidP="00E47511">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Извършените разходи по бюджетите на социалноосигурителните фондове към </w:t>
      </w:r>
      <w:r>
        <w:rPr>
          <w:rFonts w:eastAsia="Batang" w:cs="Times New Roman"/>
          <w:bCs/>
          <w:sz w:val="20"/>
          <w:szCs w:val="20"/>
        </w:rPr>
        <w:t>септември</w:t>
      </w:r>
      <w:r w:rsidRPr="00C97608">
        <w:rPr>
          <w:rFonts w:eastAsia="Batang" w:cs="Times New Roman"/>
          <w:bCs/>
          <w:sz w:val="20"/>
          <w:szCs w:val="20"/>
        </w:rPr>
        <w:t xml:space="preserve"> 2025 г. са в размер на </w:t>
      </w:r>
      <w:r w:rsidRPr="00F62B43">
        <w:rPr>
          <w:rFonts w:eastAsia="Batang" w:cs="Times New Roman"/>
          <w:bCs/>
          <w:sz w:val="20"/>
          <w:szCs w:val="20"/>
          <w:lang w:val="ru-RU"/>
        </w:rPr>
        <w:t>13</w:t>
      </w:r>
      <w:r>
        <w:rPr>
          <w:rFonts w:eastAsia="Batang" w:cs="Times New Roman"/>
          <w:bCs/>
          <w:sz w:val="20"/>
          <w:szCs w:val="20"/>
          <w:lang w:val="en-US"/>
        </w:rPr>
        <w:t> </w:t>
      </w:r>
      <w:r w:rsidRPr="00F62B43">
        <w:rPr>
          <w:rFonts w:eastAsia="Batang" w:cs="Times New Roman"/>
          <w:bCs/>
          <w:sz w:val="20"/>
          <w:szCs w:val="20"/>
          <w:lang w:val="ru-RU"/>
        </w:rPr>
        <w:t>859</w:t>
      </w:r>
      <w:r>
        <w:rPr>
          <w:rFonts w:eastAsia="Batang" w:cs="Times New Roman"/>
          <w:bCs/>
          <w:sz w:val="20"/>
          <w:szCs w:val="20"/>
          <w:lang w:val="ru-RU"/>
        </w:rPr>
        <w:t>,</w:t>
      </w:r>
      <w:r w:rsidRPr="00F62B43">
        <w:rPr>
          <w:rFonts w:eastAsia="Batang" w:cs="Times New Roman"/>
          <w:bCs/>
          <w:sz w:val="20"/>
          <w:szCs w:val="20"/>
          <w:lang w:val="ru-RU"/>
        </w:rPr>
        <w:t>4</w:t>
      </w:r>
      <w:r w:rsidRPr="00C97608">
        <w:rPr>
          <w:rFonts w:eastAsia="Batang" w:cs="Times New Roman"/>
          <w:bCs/>
          <w:sz w:val="20"/>
          <w:szCs w:val="20"/>
        </w:rPr>
        <w:t xml:space="preserve"> млн. евро (</w:t>
      </w:r>
      <w:r w:rsidRPr="00F62B43">
        <w:rPr>
          <w:rFonts w:eastAsia="Batang" w:cs="Times New Roman"/>
          <w:bCs/>
          <w:sz w:val="20"/>
          <w:szCs w:val="20"/>
          <w:lang w:val="ru-RU"/>
        </w:rPr>
        <w:t>73</w:t>
      </w:r>
      <w:r>
        <w:rPr>
          <w:rFonts w:eastAsia="Batang" w:cs="Times New Roman"/>
          <w:bCs/>
          <w:sz w:val="20"/>
          <w:szCs w:val="20"/>
          <w:lang w:val="ru-RU"/>
        </w:rPr>
        <w:t>,</w:t>
      </w:r>
      <w:r w:rsidRPr="00F62B43">
        <w:rPr>
          <w:rFonts w:eastAsia="Batang" w:cs="Times New Roman"/>
          <w:bCs/>
          <w:sz w:val="20"/>
          <w:szCs w:val="20"/>
          <w:lang w:val="ru-RU"/>
        </w:rPr>
        <w:t>3</w:t>
      </w:r>
      <w:r w:rsidRPr="00C97608">
        <w:rPr>
          <w:rFonts w:eastAsia="Batang" w:cs="Times New Roman"/>
          <w:bCs/>
          <w:sz w:val="20"/>
          <w:szCs w:val="20"/>
        </w:rPr>
        <w:t>% от разчета за годината и ръст от 1</w:t>
      </w:r>
      <w:r>
        <w:rPr>
          <w:rFonts w:eastAsia="Batang" w:cs="Times New Roman"/>
          <w:bCs/>
          <w:sz w:val="20"/>
          <w:szCs w:val="20"/>
        </w:rPr>
        <w:t> 510,9</w:t>
      </w:r>
      <w:r w:rsidRPr="00C97608">
        <w:rPr>
          <w:rFonts w:eastAsia="Batang" w:cs="Times New Roman"/>
          <w:bCs/>
          <w:sz w:val="20"/>
          <w:szCs w:val="20"/>
        </w:rPr>
        <w:t xml:space="preserve"> млн. евро, 1</w:t>
      </w:r>
      <w:r>
        <w:rPr>
          <w:rFonts w:eastAsia="Batang" w:cs="Times New Roman"/>
          <w:bCs/>
          <w:sz w:val="20"/>
          <w:szCs w:val="20"/>
        </w:rPr>
        <w:t>2,2</w:t>
      </w:r>
      <w:r w:rsidRPr="00C97608">
        <w:rPr>
          <w:rFonts w:eastAsia="Batang" w:cs="Times New Roman"/>
          <w:bCs/>
          <w:sz w:val="20"/>
          <w:szCs w:val="20"/>
        </w:rPr>
        <w:t xml:space="preserve">% спрямо същия период на 2024 г.), в т. ч. пенсии, помощи и обезщетения по КСО в размер на </w:t>
      </w:r>
      <w:r>
        <w:rPr>
          <w:rFonts w:eastAsia="Batang" w:cs="Times New Roman"/>
          <w:bCs/>
          <w:sz w:val="20"/>
          <w:szCs w:val="20"/>
        </w:rPr>
        <w:t>10 292,8</w:t>
      </w:r>
      <w:r w:rsidRPr="00C97608">
        <w:rPr>
          <w:rFonts w:eastAsia="Batang" w:cs="Times New Roman"/>
          <w:bCs/>
          <w:sz w:val="20"/>
          <w:szCs w:val="20"/>
        </w:rPr>
        <w:t xml:space="preserve"> млн. евро и здравноосигурителни плащания в размер на 3</w:t>
      </w:r>
      <w:r>
        <w:rPr>
          <w:rFonts w:eastAsia="Batang" w:cs="Times New Roman"/>
          <w:bCs/>
          <w:sz w:val="20"/>
          <w:szCs w:val="20"/>
        </w:rPr>
        <w:t> 448,0</w:t>
      </w:r>
      <w:r w:rsidRPr="00C97608">
        <w:rPr>
          <w:rFonts w:eastAsia="Batang" w:cs="Times New Roman"/>
          <w:bCs/>
          <w:sz w:val="20"/>
          <w:szCs w:val="20"/>
        </w:rPr>
        <w:t xml:space="preserve"> млн. евро.</w:t>
      </w:r>
    </w:p>
    <w:p w14:paraId="6AD5C1C7" w14:textId="77777777" w:rsidR="00E47511" w:rsidRPr="002B45C7" w:rsidRDefault="00E47511" w:rsidP="00E47511">
      <w:pPr>
        <w:numPr>
          <w:ilvl w:val="0"/>
          <w:numId w:val="2"/>
        </w:numPr>
        <w:autoSpaceDE w:val="0"/>
        <w:autoSpaceDN w:val="0"/>
        <w:adjustRightInd w:val="0"/>
        <w:spacing w:after="120"/>
        <w:ind w:left="426" w:hanging="426"/>
        <w:rPr>
          <w:rFonts w:eastAsia="Batang"/>
          <w:b/>
          <w:bCs/>
          <w:color w:val="943634"/>
          <w:sz w:val="22"/>
        </w:rPr>
      </w:pPr>
      <w:r w:rsidRPr="002B45C7">
        <w:rPr>
          <w:rFonts w:eastAsia="Batang"/>
          <w:b/>
          <w:bCs/>
          <w:color w:val="943634"/>
          <w:sz w:val="22"/>
        </w:rPr>
        <w:t>Разходи по бюджетите на общините</w:t>
      </w:r>
    </w:p>
    <w:p w14:paraId="2577E1C9" w14:textId="77777777" w:rsidR="00E47511" w:rsidRDefault="00E47511" w:rsidP="00E47511">
      <w:pPr>
        <w:autoSpaceDE w:val="0"/>
        <w:autoSpaceDN w:val="0"/>
        <w:adjustRightInd w:val="0"/>
        <w:spacing w:after="120"/>
        <w:rPr>
          <w:rFonts w:eastAsia="Batang" w:cs="Times New Roman"/>
          <w:bCs/>
          <w:sz w:val="20"/>
          <w:szCs w:val="20"/>
        </w:rPr>
      </w:pPr>
      <w:r w:rsidRPr="00C97608">
        <w:rPr>
          <w:rFonts w:eastAsia="Batang" w:cs="Times New Roman"/>
          <w:bCs/>
          <w:sz w:val="20"/>
          <w:szCs w:val="20"/>
        </w:rPr>
        <w:t xml:space="preserve">Извършените разходи по общинските бюджети, включително и за сметка на предоставените трансфери от други бюджети са в размер на </w:t>
      </w:r>
      <w:r>
        <w:rPr>
          <w:rFonts w:eastAsia="Batang" w:cs="Times New Roman"/>
          <w:bCs/>
          <w:sz w:val="20"/>
          <w:szCs w:val="20"/>
        </w:rPr>
        <w:t>5 589,0</w:t>
      </w:r>
      <w:r w:rsidRPr="00C97608">
        <w:rPr>
          <w:rFonts w:eastAsia="Batang" w:cs="Times New Roman"/>
          <w:bCs/>
          <w:sz w:val="20"/>
          <w:szCs w:val="20"/>
        </w:rPr>
        <w:t xml:space="preserve"> млн. евро или </w:t>
      </w:r>
      <w:r>
        <w:rPr>
          <w:rFonts w:eastAsia="Batang" w:cs="Times New Roman"/>
          <w:bCs/>
          <w:sz w:val="20"/>
          <w:szCs w:val="20"/>
        </w:rPr>
        <w:t>92,4</w:t>
      </w:r>
      <w:r w:rsidRPr="00C97608">
        <w:rPr>
          <w:rFonts w:eastAsia="Batang" w:cs="Times New Roman"/>
          <w:bCs/>
          <w:sz w:val="20"/>
          <w:szCs w:val="20"/>
        </w:rPr>
        <w:t>% от разчетите към ЗДБРБ за 2025 г. и ръст от 11,7% спрямо същия период на предходната година. Текущите нелихвени разходи възлизат на 4</w:t>
      </w:r>
      <w:r>
        <w:rPr>
          <w:rFonts w:eastAsia="Batang" w:cs="Times New Roman"/>
          <w:bCs/>
          <w:sz w:val="20"/>
          <w:szCs w:val="20"/>
        </w:rPr>
        <w:t> 902,4</w:t>
      </w:r>
      <w:r w:rsidRPr="00C97608">
        <w:rPr>
          <w:rFonts w:eastAsia="Batang" w:cs="Times New Roman"/>
          <w:bCs/>
          <w:sz w:val="20"/>
          <w:szCs w:val="20"/>
        </w:rPr>
        <w:t xml:space="preserve"> млн. евро (</w:t>
      </w:r>
      <w:r>
        <w:rPr>
          <w:rFonts w:eastAsia="Batang" w:cs="Times New Roman"/>
          <w:bCs/>
          <w:sz w:val="20"/>
          <w:szCs w:val="20"/>
        </w:rPr>
        <w:t>89,3</w:t>
      </w:r>
      <w:r w:rsidRPr="00C97608">
        <w:rPr>
          <w:rFonts w:eastAsia="Batang" w:cs="Times New Roman"/>
          <w:bCs/>
          <w:sz w:val="20"/>
          <w:szCs w:val="20"/>
        </w:rPr>
        <w:t xml:space="preserve">% от годишния разчет и ръст от 13,9% спрямо същия период на 2024 г.), а капиталовите разходи са в размер на </w:t>
      </w:r>
      <w:r>
        <w:rPr>
          <w:rFonts w:eastAsia="Batang" w:cs="Times New Roman"/>
          <w:bCs/>
          <w:sz w:val="20"/>
          <w:szCs w:val="20"/>
        </w:rPr>
        <w:t>665,5</w:t>
      </w:r>
      <w:r w:rsidRPr="00C97608">
        <w:rPr>
          <w:rFonts w:eastAsia="Batang" w:cs="Times New Roman"/>
          <w:bCs/>
          <w:sz w:val="20"/>
          <w:szCs w:val="20"/>
        </w:rPr>
        <w:t xml:space="preserve"> млн. евро (намаление от 2,</w:t>
      </w:r>
      <w:r>
        <w:rPr>
          <w:rFonts w:eastAsia="Batang" w:cs="Times New Roman"/>
          <w:bCs/>
          <w:sz w:val="20"/>
          <w:szCs w:val="20"/>
        </w:rPr>
        <w:t>1</w:t>
      </w:r>
      <w:r w:rsidRPr="00C97608">
        <w:rPr>
          <w:rFonts w:eastAsia="Batang" w:cs="Times New Roman"/>
          <w:bCs/>
          <w:sz w:val="20"/>
          <w:szCs w:val="20"/>
        </w:rPr>
        <w:t xml:space="preserve">% спрямо отчетените към </w:t>
      </w:r>
      <w:r>
        <w:rPr>
          <w:rFonts w:eastAsia="Batang" w:cs="Times New Roman"/>
          <w:bCs/>
          <w:sz w:val="20"/>
          <w:szCs w:val="20"/>
        </w:rPr>
        <w:t>септември</w:t>
      </w:r>
      <w:r w:rsidRPr="00C97608">
        <w:rPr>
          <w:rFonts w:eastAsia="Batang" w:cs="Times New Roman"/>
          <w:bCs/>
          <w:sz w:val="20"/>
          <w:szCs w:val="20"/>
        </w:rPr>
        <w:t xml:space="preserve"> 2024 г.). Лихвените плащания са в размер на </w:t>
      </w:r>
      <w:r>
        <w:rPr>
          <w:rFonts w:eastAsia="Batang" w:cs="Times New Roman"/>
          <w:bCs/>
          <w:sz w:val="20"/>
          <w:szCs w:val="20"/>
        </w:rPr>
        <w:t>20,5</w:t>
      </w:r>
      <w:r w:rsidRPr="00C97608">
        <w:rPr>
          <w:rFonts w:eastAsia="Batang" w:cs="Times New Roman"/>
          <w:bCs/>
          <w:sz w:val="20"/>
          <w:szCs w:val="20"/>
        </w:rPr>
        <w:t xml:space="preserve"> млн. евро или </w:t>
      </w:r>
      <w:r>
        <w:rPr>
          <w:rFonts w:eastAsia="Batang" w:cs="Times New Roman"/>
          <w:bCs/>
          <w:sz w:val="20"/>
          <w:szCs w:val="20"/>
        </w:rPr>
        <w:t>71,2</w:t>
      </w:r>
      <w:r w:rsidRPr="00C97608">
        <w:rPr>
          <w:rFonts w:eastAsia="Batang" w:cs="Times New Roman"/>
          <w:bCs/>
          <w:sz w:val="20"/>
          <w:szCs w:val="20"/>
        </w:rPr>
        <w:t xml:space="preserve">% от разчета за годината и </w:t>
      </w:r>
      <w:r>
        <w:rPr>
          <w:rFonts w:eastAsia="Batang" w:cs="Times New Roman"/>
          <w:bCs/>
          <w:sz w:val="20"/>
          <w:szCs w:val="20"/>
        </w:rPr>
        <w:t>ръст</w:t>
      </w:r>
      <w:r w:rsidRPr="00C97608">
        <w:rPr>
          <w:rFonts w:eastAsia="Batang" w:cs="Times New Roman"/>
          <w:bCs/>
          <w:sz w:val="20"/>
          <w:szCs w:val="20"/>
        </w:rPr>
        <w:t xml:space="preserve"> от 2,</w:t>
      </w:r>
      <w:r>
        <w:rPr>
          <w:rFonts w:eastAsia="Batang" w:cs="Times New Roman"/>
          <w:bCs/>
          <w:sz w:val="20"/>
          <w:szCs w:val="20"/>
        </w:rPr>
        <w:t>2</w:t>
      </w:r>
      <w:r w:rsidRPr="00C97608">
        <w:rPr>
          <w:rFonts w:eastAsia="Batang" w:cs="Times New Roman"/>
          <w:bCs/>
          <w:sz w:val="20"/>
          <w:szCs w:val="20"/>
        </w:rPr>
        <w:t xml:space="preserve">% спрямо отчетените към </w:t>
      </w:r>
      <w:r>
        <w:rPr>
          <w:rFonts w:eastAsia="Batang" w:cs="Times New Roman"/>
          <w:bCs/>
          <w:sz w:val="20"/>
          <w:szCs w:val="20"/>
        </w:rPr>
        <w:t>септември</w:t>
      </w:r>
      <w:r w:rsidRPr="00C97608">
        <w:rPr>
          <w:rFonts w:eastAsia="Batang" w:cs="Times New Roman"/>
          <w:bCs/>
          <w:sz w:val="20"/>
          <w:szCs w:val="20"/>
        </w:rPr>
        <w:t xml:space="preserve"> 2024 година.</w:t>
      </w:r>
    </w:p>
    <w:p w14:paraId="031DA47B" w14:textId="77777777" w:rsidR="00E47511" w:rsidRPr="002B45C7" w:rsidRDefault="00E47511" w:rsidP="00E47511">
      <w:pPr>
        <w:numPr>
          <w:ilvl w:val="0"/>
          <w:numId w:val="2"/>
        </w:numPr>
        <w:autoSpaceDE w:val="0"/>
        <w:autoSpaceDN w:val="0"/>
        <w:adjustRightInd w:val="0"/>
        <w:spacing w:after="120"/>
        <w:ind w:left="426" w:hanging="426"/>
        <w:rPr>
          <w:rFonts w:eastAsia="Batang"/>
          <w:b/>
          <w:bCs/>
          <w:color w:val="943634"/>
          <w:sz w:val="22"/>
        </w:rPr>
      </w:pPr>
      <w:r w:rsidRPr="002B45C7">
        <w:rPr>
          <w:rFonts w:eastAsia="Batang"/>
          <w:b/>
          <w:bCs/>
          <w:color w:val="943634"/>
          <w:sz w:val="22"/>
        </w:rPr>
        <w:t xml:space="preserve">Бюджетно салдо по консолидираната </w:t>
      </w:r>
      <w:r>
        <w:rPr>
          <w:rFonts w:eastAsia="Batang"/>
          <w:b/>
          <w:bCs/>
          <w:color w:val="943634"/>
          <w:sz w:val="22"/>
        </w:rPr>
        <w:t>фискална програма към 30.09.2025 г.</w:t>
      </w:r>
    </w:p>
    <w:p w14:paraId="233BA899" w14:textId="77777777" w:rsidR="00E47511" w:rsidRPr="00C066C1" w:rsidRDefault="00E47511" w:rsidP="00E47511">
      <w:pPr>
        <w:autoSpaceDE w:val="0"/>
        <w:autoSpaceDN w:val="0"/>
        <w:adjustRightInd w:val="0"/>
        <w:spacing w:after="120"/>
        <w:rPr>
          <w:rFonts w:eastAsia="Batang" w:cs="Times New Roman"/>
          <w:bCs/>
          <w:sz w:val="20"/>
          <w:szCs w:val="20"/>
        </w:rPr>
      </w:pPr>
      <w:r w:rsidRPr="00C066C1">
        <w:rPr>
          <w:rFonts w:eastAsia="Batang" w:cs="Times New Roman"/>
          <w:b/>
          <w:bCs/>
          <w:sz w:val="20"/>
          <w:szCs w:val="20"/>
        </w:rPr>
        <w:t>Бюджетното салдо по КФП</w:t>
      </w:r>
      <w:r w:rsidRPr="00C066C1">
        <w:rPr>
          <w:rFonts w:eastAsia="Batang" w:cs="Times New Roman"/>
          <w:bCs/>
          <w:sz w:val="20"/>
          <w:szCs w:val="20"/>
        </w:rPr>
        <w:t xml:space="preserve"> към </w:t>
      </w:r>
      <w:r>
        <w:rPr>
          <w:rFonts w:eastAsia="Batang" w:cs="Times New Roman"/>
          <w:bCs/>
          <w:sz w:val="20"/>
          <w:szCs w:val="20"/>
        </w:rPr>
        <w:t>септември</w:t>
      </w:r>
      <w:r w:rsidRPr="00C066C1">
        <w:rPr>
          <w:rFonts w:eastAsia="Batang" w:cs="Times New Roman"/>
          <w:bCs/>
          <w:sz w:val="20"/>
          <w:szCs w:val="20"/>
        </w:rPr>
        <w:t xml:space="preserve"> 2025 г. е отрицателно в р</w:t>
      </w:r>
      <w:r>
        <w:rPr>
          <w:rFonts w:eastAsia="Batang" w:cs="Times New Roman"/>
          <w:bCs/>
          <w:sz w:val="20"/>
          <w:szCs w:val="20"/>
        </w:rPr>
        <w:t>азмер на 3 096,8 млн. евро (2,7</w:t>
      </w:r>
      <w:r w:rsidRPr="00C066C1">
        <w:rPr>
          <w:rFonts w:eastAsia="Batang" w:cs="Times New Roman"/>
          <w:bCs/>
          <w:sz w:val="20"/>
          <w:szCs w:val="20"/>
        </w:rPr>
        <w:t xml:space="preserve">% от прогнозния БВП). То се формира от дефицит по националния бюджет в размер на </w:t>
      </w:r>
      <w:r>
        <w:rPr>
          <w:rFonts w:eastAsia="Batang" w:cs="Times New Roman"/>
          <w:bCs/>
          <w:sz w:val="20"/>
          <w:szCs w:val="20"/>
        </w:rPr>
        <w:t>2 227,2</w:t>
      </w:r>
      <w:r w:rsidRPr="00C066C1">
        <w:rPr>
          <w:rFonts w:eastAsia="Batang" w:cs="Times New Roman"/>
          <w:bCs/>
          <w:sz w:val="20"/>
          <w:szCs w:val="20"/>
        </w:rPr>
        <w:t xml:space="preserve"> млн. евро и дефицит по европейските средства в размер на </w:t>
      </w:r>
      <w:r>
        <w:rPr>
          <w:rFonts w:eastAsia="Batang" w:cs="Times New Roman"/>
          <w:bCs/>
          <w:sz w:val="20"/>
          <w:szCs w:val="20"/>
        </w:rPr>
        <w:t>869,6</w:t>
      </w:r>
      <w:r w:rsidRPr="00C066C1">
        <w:rPr>
          <w:rFonts w:eastAsia="Batang" w:cs="Times New Roman"/>
          <w:bCs/>
          <w:sz w:val="20"/>
          <w:szCs w:val="20"/>
        </w:rPr>
        <w:t xml:space="preserve"> млн. евро. За сравнение дефицитът по националния бюджет към </w:t>
      </w:r>
      <w:r>
        <w:rPr>
          <w:rFonts w:eastAsia="Batang" w:cs="Times New Roman"/>
          <w:bCs/>
          <w:sz w:val="20"/>
          <w:szCs w:val="20"/>
        </w:rPr>
        <w:t>септември</w:t>
      </w:r>
      <w:r w:rsidRPr="00C066C1">
        <w:rPr>
          <w:rFonts w:eastAsia="Batang" w:cs="Times New Roman"/>
          <w:bCs/>
          <w:sz w:val="20"/>
          <w:szCs w:val="20"/>
        </w:rPr>
        <w:t xml:space="preserve"> 2024 г. бе в размер на 1</w:t>
      </w:r>
      <w:r>
        <w:rPr>
          <w:rFonts w:eastAsia="Batang" w:cs="Times New Roman"/>
          <w:bCs/>
          <w:sz w:val="20"/>
          <w:szCs w:val="20"/>
        </w:rPr>
        <w:t> 643,5</w:t>
      </w:r>
      <w:r w:rsidRPr="00C066C1">
        <w:rPr>
          <w:rFonts w:eastAsia="Batang" w:cs="Times New Roman"/>
          <w:bCs/>
          <w:sz w:val="20"/>
          <w:szCs w:val="20"/>
        </w:rPr>
        <w:t xml:space="preserve"> млн. евро, а на съпоставима база след елиминиране на трансакцията по чл. 71, ал.1 от Постановление № 13 на Министерския съвет от 2024 г. дефицитът по националния бюджет за периода възлиза на </w:t>
      </w:r>
      <w:r>
        <w:rPr>
          <w:rFonts w:eastAsia="Batang" w:cs="Times New Roman"/>
          <w:bCs/>
          <w:sz w:val="20"/>
          <w:szCs w:val="20"/>
        </w:rPr>
        <w:t>2 257,1</w:t>
      </w:r>
      <w:r w:rsidRPr="00C066C1">
        <w:rPr>
          <w:rFonts w:eastAsia="Batang" w:cs="Times New Roman"/>
          <w:bCs/>
          <w:sz w:val="20"/>
          <w:szCs w:val="20"/>
        </w:rPr>
        <w:t xml:space="preserve"> млн. евро, докато салдото по европейските средства за </w:t>
      </w:r>
      <w:r>
        <w:rPr>
          <w:rFonts w:eastAsia="Batang" w:cs="Times New Roman"/>
          <w:bCs/>
          <w:sz w:val="20"/>
          <w:szCs w:val="20"/>
        </w:rPr>
        <w:t>деветмесечието</w:t>
      </w:r>
      <w:r w:rsidRPr="00C066C1">
        <w:rPr>
          <w:rFonts w:eastAsia="Batang" w:cs="Times New Roman"/>
          <w:bCs/>
          <w:sz w:val="20"/>
          <w:szCs w:val="20"/>
        </w:rPr>
        <w:t xml:space="preserve"> на 2024 г. бе положително (излишък) в размер на </w:t>
      </w:r>
      <w:r>
        <w:rPr>
          <w:rFonts w:eastAsia="Batang" w:cs="Times New Roman"/>
          <w:bCs/>
          <w:sz w:val="20"/>
          <w:szCs w:val="20"/>
        </w:rPr>
        <w:t>196,1</w:t>
      </w:r>
      <w:r w:rsidRPr="00C066C1">
        <w:rPr>
          <w:rFonts w:eastAsia="Batang" w:cs="Times New Roman"/>
          <w:bCs/>
          <w:sz w:val="20"/>
          <w:szCs w:val="20"/>
        </w:rPr>
        <w:t xml:space="preserve"> млн. евро. Тези данни показват, че влошаването на салдото по КФП за </w:t>
      </w:r>
      <w:r>
        <w:rPr>
          <w:rFonts w:eastAsia="Batang" w:cs="Times New Roman"/>
          <w:bCs/>
          <w:sz w:val="20"/>
          <w:szCs w:val="20"/>
        </w:rPr>
        <w:t>деветте</w:t>
      </w:r>
      <w:r w:rsidRPr="00C066C1">
        <w:rPr>
          <w:rFonts w:eastAsia="Batang" w:cs="Times New Roman"/>
          <w:bCs/>
          <w:sz w:val="20"/>
          <w:szCs w:val="20"/>
        </w:rPr>
        <w:t xml:space="preserve"> месеца на 2025 г. спрямо същия период на предходната година на съпоставима база се дължи основно на влошаването на салдото по европейските средства. </w:t>
      </w:r>
    </w:p>
    <w:p w14:paraId="42BFCBFA" w14:textId="77777777" w:rsidR="00E47511" w:rsidRPr="00C066C1" w:rsidRDefault="00E47511" w:rsidP="00E47511">
      <w:pPr>
        <w:autoSpaceDE w:val="0"/>
        <w:autoSpaceDN w:val="0"/>
        <w:adjustRightInd w:val="0"/>
        <w:spacing w:after="120"/>
        <w:rPr>
          <w:rFonts w:eastAsia="Batang" w:cs="Times New Roman"/>
          <w:bCs/>
          <w:sz w:val="20"/>
          <w:szCs w:val="20"/>
        </w:rPr>
      </w:pPr>
      <w:r w:rsidRPr="00C066C1">
        <w:rPr>
          <w:rFonts w:eastAsia="Batang" w:cs="Times New Roman"/>
          <w:bCs/>
          <w:sz w:val="20"/>
          <w:szCs w:val="20"/>
        </w:rPr>
        <w:t xml:space="preserve">При анализа на текущите параметри по изпълнението на бюджета към </w:t>
      </w:r>
      <w:r>
        <w:rPr>
          <w:rFonts w:eastAsia="Batang" w:cs="Times New Roman"/>
          <w:bCs/>
          <w:sz w:val="20"/>
          <w:szCs w:val="20"/>
        </w:rPr>
        <w:t>септември</w:t>
      </w:r>
      <w:r w:rsidRPr="00C066C1">
        <w:rPr>
          <w:rFonts w:eastAsia="Batang" w:cs="Times New Roman"/>
          <w:bCs/>
          <w:sz w:val="20"/>
          <w:szCs w:val="20"/>
        </w:rPr>
        <w:t xml:space="preserve"> следва също така да се има предвид, че  през четвъртото тримесечие на годината </w:t>
      </w:r>
      <w:r>
        <w:rPr>
          <w:rFonts w:eastAsia="Batang" w:cs="Times New Roman"/>
          <w:bCs/>
          <w:sz w:val="20"/>
          <w:szCs w:val="20"/>
        </w:rPr>
        <w:t>ще</w:t>
      </w:r>
      <w:r w:rsidRPr="00C066C1">
        <w:rPr>
          <w:rFonts w:eastAsia="Batang" w:cs="Times New Roman"/>
          <w:bCs/>
          <w:sz w:val="20"/>
          <w:szCs w:val="20"/>
        </w:rPr>
        <w:t xml:space="preserve"> постъпят втори и трети транш по Механизма за възстановяване и устойчивост в общ размер на </w:t>
      </w:r>
      <w:r>
        <w:rPr>
          <w:rFonts w:eastAsia="Batang" w:cs="Times New Roman"/>
          <w:bCs/>
          <w:sz w:val="20"/>
          <w:szCs w:val="20"/>
        </w:rPr>
        <w:t>около</w:t>
      </w:r>
      <w:r w:rsidRPr="00C066C1">
        <w:rPr>
          <w:rFonts w:eastAsia="Batang" w:cs="Times New Roman"/>
          <w:bCs/>
          <w:sz w:val="20"/>
          <w:szCs w:val="20"/>
        </w:rPr>
        <w:t xml:space="preserve"> 2 млрд. евро, което ще компенсира натрупания дефицит по европейските средства (в размер на </w:t>
      </w:r>
      <w:r>
        <w:rPr>
          <w:rFonts w:eastAsia="Batang" w:cs="Times New Roman"/>
          <w:bCs/>
          <w:sz w:val="20"/>
          <w:szCs w:val="20"/>
        </w:rPr>
        <w:t>близо</w:t>
      </w:r>
      <w:r w:rsidRPr="00C066C1">
        <w:rPr>
          <w:rFonts w:eastAsia="Batang" w:cs="Times New Roman"/>
          <w:bCs/>
          <w:sz w:val="20"/>
          <w:szCs w:val="20"/>
        </w:rPr>
        <w:t xml:space="preserve"> 0,9 млрд. евро), респективно текущо ще подобри салдото по КФП. </w:t>
      </w:r>
    </w:p>
    <w:p w14:paraId="530110DB" w14:textId="77777777" w:rsidR="00E47511" w:rsidRPr="00C066C1" w:rsidRDefault="00E47511" w:rsidP="00E47511">
      <w:pPr>
        <w:autoSpaceDE w:val="0"/>
        <w:autoSpaceDN w:val="0"/>
        <w:adjustRightInd w:val="0"/>
        <w:spacing w:after="120"/>
        <w:rPr>
          <w:rFonts w:eastAsia="Batang" w:cs="Times New Roman"/>
          <w:bCs/>
          <w:sz w:val="20"/>
          <w:szCs w:val="20"/>
        </w:rPr>
      </w:pPr>
      <w:r w:rsidRPr="00C066C1">
        <w:rPr>
          <w:rFonts w:eastAsia="Batang" w:cs="Times New Roman"/>
          <w:bCs/>
          <w:sz w:val="20"/>
          <w:szCs w:val="20"/>
        </w:rPr>
        <w:t xml:space="preserve">Общият размер на </w:t>
      </w:r>
      <w:r w:rsidRPr="00C066C1">
        <w:rPr>
          <w:rFonts w:eastAsia="Batang" w:cs="Times New Roman"/>
          <w:b/>
          <w:bCs/>
          <w:sz w:val="20"/>
          <w:szCs w:val="20"/>
        </w:rPr>
        <w:t>касовите постъпления от ЕС</w:t>
      </w:r>
      <w:r w:rsidRPr="00C066C1">
        <w:rPr>
          <w:rFonts w:eastAsia="Batang" w:cs="Times New Roman"/>
          <w:bCs/>
          <w:sz w:val="20"/>
          <w:szCs w:val="20"/>
        </w:rPr>
        <w:t xml:space="preserve"> (от Структурните и Кохезионния фондове, от ЕЗФРСР и ЕФР, от средства за директни плащания към земеделските производители и плащания по пазарни мерки и др.) към </w:t>
      </w:r>
      <w:r>
        <w:rPr>
          <w:rFonts w:eastAsia="Batang" w:cs="Times New Roman"/>
          <w:bCs/>
          <w:sz w:val="20"/>
          <w:szCs w:val="20"/>
        </w:rPr>
        <w:t>септември</w:t>
      </w:r>
      <w:r w:rsidRPr="00C066C1">
        <w:rPr>
          <w:rFonts w:eastAsia="Batang" w:cs="Times New Roman"/>
          <w:bCs/>
          <w:sz w:val="20"/>
          <w:szCs w:val="20"/>
        </w:rPr>
        <w:t xml:space="preserve"> 2025 г. е 1</w:t>
      </w:r>
      <w:r>
        <w:rPr>
          <w:rFonts w:eastAsia="Batang" w:cs="Times New Roman"/>
          <w:bCs/>
          <w:sz w:val="20"/>
          <w:szCs w:val="20"/>
        </w:rPr>
        <w:t> 822,6</w:t>
      </w:r>
      <w:r w:rsidRPr="00C066C1">
        <w:rPr>
          <w:rFonts w:eastAsia="Batang" w:cs="Times New Roman"/>
          <w:bCs/>
          <w:sz w:val="20"/>
          <w:szCs w:val="20"/>
        </w:rPr>
        <w:t xml:space="preserve"> млн. евро. Нетните постъпления от ЕС към 3</w:t>
      </w:r>
      <w:r>
        <w:rPr>
          <w:rFonts w:eastAsia="Batang" w:cs="Times New Roman"/>
          <w:bCs/>
          <w:sz w:val="20"/>
          <w:szCs w:val="20"/>
        </w:rPr>
        <w:t>0</w:t>
      </w:r>
      <w:r w:rsidRPr="00C066C1">
        <w:rPr>
          <w:rFonts w:eastAsia="Batang" w:cs="Times New Roman"/>
          <w:bCs/>
          <w:sz w:val="20"/>
          <w:szCs w:val="20"/>
        </w:rPr>
        <w:t>.0</w:t>
      </w:r>
      <w:r>
        <w:rPr>
          <w:rFonts w:eastAsia="Batang" w:cs="Times New Roman"/>
          <w:bCs/>
          <w:sz w:val="20"/>
          <w:szCs w:val="20"/>
        </w:rPr>
        <w:t>9</w:t>
      </w:r>
      <w:r w:rsidRPr="00C066C1">
        <w:rPr>
          <w:rFonts w:eastAsia="Batang" w:cs="Times New Roman"/>
          <w:bCs/>
          <w:sz w:val="20"/>
          <w:szCs w:val="20"/>
        </w:rPr>
        <w:t xml:space="preserve">.2025 г. (касови постъпления от ЕС, намалени с вноската в общия бюджет на ЕС) са положителни в размер на </w:t>
      </w:r>
      <w:r>
        <w:rPr>
          <w:rFonts w:eastAsia="Batang" w:cs="Times New Roman"/>
          <w:bCs/>
          <w:sz w:val="20"/>
          <w:szCs w:val="20"/>
        </w:rPr>
        <w:t>1 070,3</w:t>
      </w:r>
      <w:r w:rsidRPr="00C066C1">
        <w:rPr>
          <w:rFonts w:eastAsia="Batang" w:cs="Times New Roman"/>
          <w:bCs/>
          <w:sz w:val="20"/>
          <w:szCs w:val="20"/>
        </w:rPr>
        <w:t xml:space="preserve"> млн. евро.</w:t>
      </w:r>
    </w:p>
    <w:p w14:paraId="6AF095FF" w14:textId="77777777" w:rsidR="00E47511" w:rsidRDefault="00E47511" w:rsidP="00E47511">
      <w:pPr>
        <w:autoSpaceDE w:val="0"/>
        <w:autoSpaceDN w:val="0"/>
        <w:adjustRightInd w:val="0"/>
        <w:spacing w:after="120"/>
        <w:rPr>
          <w:rFonts w:eastAsia="Batang" w:cs="Times New Roman"/>
          <w:b/>
          <w:bCs/>
          <w:sz w:val="20"/>
          <w:szCs w:val="20"/>
        </w:rPr>
      </w:pPr>
      <w:r w:rsidRPr="00C066C1">
        <w:rPr>
          <w:rFonts w:eastAsia="Batang" w:cs="Times New Roman"/>
          <w:bCs/>
          <w:sz w:val="20"/>
          <w:szCs w:val="20"/>
        </w:rPr>
        <w:lastRenderedPageBreak/>
        <w:t xml:space="preserve">Размерът на </w:t>
      </w:r>
      <w:r w:rsidRPr="00C066C1">
        <w:rPr>
          <w:rFonts w:eastAsia="Batang" w:cs="Times New Roman"/>
          <w:b/>
          <w:bCs/>
          <w:sz w:val="20"/>
          <w:szCs w:val="20"/>
        </w:rPr>
        <w:t>фискалния резерв</w:t>
      </w:r>
      <w:r w:rsidRPr="00C066C1">
        <w:rPr>
          <w:rFonts w:eastAsia="Batang" w:cs="Times New Roman"/>
          <w:b/>
          <w:bCs/>
          <w:position w:val="2"/>
          <w:sz w:val="20"/>
          <w:szCs w:val="20"/>
          <w:vertAlign w:val="superscript"/>
        </w:rPr>
        <w:footnoteReference w:id="57"/>
      </w:r>
      <w:r>
        <w:rPr>
          <w:rFonts w:eastAsia="Batang" w:cs="Times New Roman"/>
          <w:b/>
          <w:bCs/>
          <w:position w:val="2"/>
          <w:sz w:val="20"/>
          <w:szCs w:val="20"/>
          <w:vertAlign w:val="superscript"/>
        </w:rPr>
        <w:t xml:space="preserve"> </w:t>
      </w:r>
      <w:r w:rsidRPr="00C066C1">
        <w:rPr>
          <w:rFonts w:eastAsia="Batang" w:cs="Times New Roman"/>
          <w:bCs/>
          <w:sz w:val="20"/>
          <w:szCs w:val="20"/>
        </w:rPr>
        <w:t>към 3</w:t>
      </w:r>
      <w:r>
        <w:rPr>
          <w:rFonts w:eastAsia="Batang" w:cs="Times New Roman"/>
          <w:bCs/>
          <w:sz w:val="20"/>
          <w:szCs w:val="20"/>
        </w:rPr>
        <w:t>0</w:t>
      </w:r>
      <w:r w:rsidRPr="00C066C1">
        <w:rPr>
          <w:rFonts w:eastAsia="Batang" w:cs="Times New Roman"/>
          <w:bCs/>
          <w:sz w:val="20"/>
          <w:szCs w:val="20"/>
        </w:rPr>
        <w:t>.0</w:t>
      </w:r>
      <w:r>
        <w:rPr>
          <w:rFonts w:eastAsia="Batang" w:cs="Times New Roman"/>
          <w:bCs/>
          <w:sz w:val="20"/>
          <w:szCs w:val="20"/>
        </w:rPr>
        <w:t>9</w:t>
      </w:r>
      <w:r w:rsidRPr="00C066C1">
        <w:rPr>
          <w:rFonts w:eastAsia="Batang" w:cs="Times New Roman"/>
          <w:bCs/>
          <w:sz w:val="20"/>
          <w:szCs w:val="20"/>
        </w:rPr>
        <w:t xml:space="preserve">.2025 г. е </w:t>
      </w:r>
      <w:r>
        <w:rPr>
          <w:rFonts w:eastAsia="Batang" w:cs="Times New Roman"/>
          <w:bCs/>
          <w:sz w:val="20"/>
          <w:szCs w:val="20"/>
        </w:rPr>
        <w:t>8 640,6</w:t>
      </w:r>
      <w:r w:rsidRPr="00C066C1">
        <w:rPr>
          <w:rFonts w:eastAsia="Batang" w:cs="Times New Roman"/>
          <w:bCs/>
          <w:sz w:val="20"/>
          <w:szCs w:val="20"/>
        </w:rPr>
        <w:t xml:space="preserve"> млн. евро, в т. ч. </w:t>
      </w:r>
      <w:r>
        <w:rPr>
          <w:rFonts w:eastAsia="Batang" w:cs="Times New Roman"/>
          <w:bCs/>
          <w:sz w:val="20"/>
          <w:szCs w:val="20"/>
        </w:rPr>
        <w:t>7 888,0</w:t>
      </w:r>
      <w:r w:rsidRPr="00C066C1">
        <w:rPr>
          <w:rFonts w:eastAsia="Batang" w:cs="Times New Roman"/>
          <w:bCs/>
          <w:sz w:val="20"/>
          <w:szCs w:val="20"/>
        </w:rPr>
        <w:t xml:space="preserve"> млн. евро депозити на фискалния резерв в БНБ и банки и </w:t>
      </w:r>
      <w:r>
        <w:rPr>
          <w:rFonts w:eastAsia="Batang" w:cs="Times New Roman"/>
          <w:bCs/>
          <w:sz w:val="20"/>
          <w:szCs w:val="20"/>
        </w:rPr>
        <w:t>752,6</w:t>
      </w:r>
      <w:r w:rsidRPr="00C066C1">
        <w:rPr>
          <w:rFonts w:eastAsia="Batang" w:cs="Times New Roman"/>
          <w:bCs/>
          <w:sz w:val="20"/>
          <w:szCs w:val="20"/>
        </w:rPr>
        <w:t xml:space="preserve"> млн. евро вземания от фондовете на Европейския съюз за сертифицирани разходи, аванси и други. </w:t>
      </w:r>
    </w:p>
    <w:p w14:paraId="2AB73BD1" w14:textId="77777777" w:rsidR="00E47511" w:rsidRPr="00E47511" w:rsidRDefault="00E47511" w:rsidP="00E47511">
      <w:pPr>
        <w:autoSpaceDE w:val="0"/>
        <w:autoSpaceDN w:val="0"/>
        <w:adjustRightInd w:val="0"/>
        <w:spacing w:after="120"/>
        <w:rPr>
          <w:rFonts w:eastAsia="Batang" w:cs="Times New Roman"/>
          <w:b/>
          <w:bCs/>
          <w:sz w:val="20"/>
          <w:szCs w:val="20"/>
        </w:rPr>
      </w:pPr>
    </w:p>
    <w:p w14:paraId="527E9538" w14:textId="77777777" w:rsidR="004B358D" w:rsidRDefault="00027A43" w:rsidP="00027A43">
      <w:pPr>
        <w:spacing w:line="276" w:lineRule="auto"/>
        <w:jc w:val="left"/>
        <w:rPr>
          <w:rFonts w:eastAsia="Batang" w:cs="Times New Roman"/>
          <w:b/>
          <w:bCs/>
          <w:sz w:val="20"/>
          <w:szCs w:val="20"/>
        </w:rPr>
      </w:pPr>
      <w:r>
        <w:rPr>
          <w:rFonts w:eastAsia="Batang" w:cs="Times New Roman"/>
          <w:b/>
          <w:bCs/>
          <w:sz w:val="20"/>
          <w:szCs w:val="20"/>
        </w:rPr>
        <w:br w:type="page"/>
      </w:r>
    </w:p>
    <w:p w14:paraId="5D2F6C72" w14:textId="77777777" w:rsidR="00524DE7" w:rsidRDefault="00524DE7" w:rsidP="00C76C3A">
      <w:pPr>
        <w:pStyle w:val="Heading2"/>
        <w:numPr>
          <w:ilvl w:val="1"/>
          <w:numId w:val="3"/>
        </w:numPr>
        <w:ind w:hanging="270"/>
      </w:pPr>
      <w:bookmarkStart w:id="544" w:name="_Toc216029375"/>
      <w:r>
        <w:lastRenderedPageBreak/>
        <w:t>Оценка за Изпълнението на КФП за 2025 г.</w:t>
      </w:r>
      <w:bookmarkEnd w:id="544"/>
    </w:p>
    <w:p w14:paraId="7F6028DA" w14:textId="77777777" w:rsidR="00B4306D" w:rsidRPr="00CE0CF3" w:rsidRDefault="00B4306D" w:rsidP="00B4306D">
      <w:pPr>
        <w:autoSpaceDE w:val="0"/>
        <w:autoSpaceDN w:val="0"/>
        <w:adjustRightInd w:val="0"/>
        <w:spacing w:after="120"/>
        <w:rPr>
          <w:rFonts w:eastAsia="Batang" w:cs="Times New Roman"/>
          <w:bCs/>
          <w:sz w:val="20"/>
          <w:szCs w:val="20"/>
        </w:rPr>
      </w:pPr>
      <w:r w:rsidRPr="00CE0CF3">
        <w:rPr>
          <w:rFonts w:eastAsia="Batang" w:cs="Times New Roman"/>
          <w:bCs/>
          <w:sz w:val="20"/>
          <w:szCs w:val="20"/>
        </w:rPr>
        <w:t xml:space="preserve">За </w:t>
      </w:r>
      <w:r>
        <w:rPr>
          <w:rFonts w:eastAsia="Batang" w:cs="Times New Roman"/>
          <w:bCs/>
          <w:sz w:val="20"/>
          <w:szCs w:val="20"/>
        </w:rPr>
        <w:t>деветте</w:t>
      </w:r>
      <w:r w:rsidRPr="00CE0CF3">
        <w:rPr>
          <w:rFonts w:eastAsia="Batang" w:cs="Times New Roman"/>
          <w:bCs/>
          <w:sz w:val="20"/>
          <w:szCs w:val="20"/>
        </w:rPr>
        <w:t xml:space="preserve"> месеца на 2025 г. се наблюдава нарастване на данъчно-осигурителните и неданъчните приходи, докато приходите в частта на помощите и даренията (основно грантове по програмите и фондовете на ЕС) са по-ниски спрямо същия период на предходната година. В номинално изражение приходите по КФП нарастват с 3,</w:t>
      </w:r>
      <w:r>
        <w:rPr>
          <w:rFonts w:eastAsia="Batang" w:cs="Times New Roman"/>
          <w:bCs/>
          <w:sz w:val="20"/>
          <w:szCs w:val="20"/>
        </w:rPr>
        <w:t>9</w:t>
      </w:r>
      <w:r w:rsidRPr="00CE0CF3">
        <w:rPr>
          <w:rFonts w:eastAsia="Batang" w:cs="Times New Roman"/>
          <w:bCs/>
          <w:sz w:val="20"/>
          <w:szCs w:val="20"/>
        </w:rPr>
        <w:t xml:space="preserve"> млрд. евро (1</w:t>
      </w:r>
      <w:r>
        <w:rPr>
          <w:rFonts w:eastAsia="Batang" w:cs="Times New Roman"/>
          <w:bCs/>
          <w:sz w:val="20"/>
          <w:szCs w:val="20"/>
        </w:rPr>
        <w:t>4,8</w:t>
      </w:r>
      <w:r w:rsidRPr="00CE0CF3">
        <w:rPr>
          <w:rFonts w:eastAsia="Batang" w:cs="Times New Roman"/>
          <w:bCs/>
          <w:sz w:val="20"/>
          <w:szCs w:val="20"/>
        </w:rPr>
        <w:t xml:space="preserve"> на сто) спрямо </w:t>
      </w:r>
      <w:r>
        <w:rPr>
          <w:rFonts w:eastAsia="Batang" w:cs="Times New Roman"/>
          <w:bCs/>
          <w:sz w:val="20"/>
          <w:szCs w:val="20"/>
        </w:rPr>
        <w:t>деветте</w:t>
      </w:r>
      <w:r w:rsidRPr="00CE0CF3">
        <w:rPr>
          <w:rFonts w:eastAsia="Batang" w:cs="Times New Roman"/>
          <w:bCs/>
          <w:sz w:val="20"/>
          <w:szCs w:val="20"/>
        </w:rPr>
        <w:t xml:space="preserve"> месеца на 2024 г., като основната част от този ръст се формира от данъчно-осигурителните приходи, които нарастват с </w:t>
      </w:r>
      <w:r>
        <w:rPr>
          <w:rFonts w:eastAsia="Batang" w:cs="Times New Roman"/>
          <w:bCs/>
          <w:sz w:val="20"/>
          <w:szCs w:val="20"/>
        </w:rPr>
        <w:t>3,1</w:t>
      </w:r>
      <w:r w:rsidRPr="00CE0CF3">
        <w:rPr>
          <w:rFonts w:eastAsia="Batang" w:cs="Times New Roman"/>
          <w:bCs/>
          <w:sz w:val="20"/>
          <w:szCs w:val="20"/>
        </w:rPr>
        <w:t xml:space="preserve"> млрд. евро (14,</w:t>
      </w:r>
      <w:r>
        <w:rPr>
          <w:rFonts w:eastAsia="Batang" w:cs="Times New Roman"/>
          <w:bCs/>
          <w:sz w:val="20"/>
          <w:szCs w:val="20"/>
        </w:rPr>
        <w:t>5</w:t>
      </w:r>
      <w:r w:rsidRPr="00CE0CF3">
        <w:rPr>
          <w:rFonts w:eastAsia="Batang" w:cs="Times New Roman"/>
          <w:bCs/>
          <w:sz w:val="20"/>
          <w:szCs w:val="20"/>
        </w:rPr>
        <w:t xml:space="preserve"> на сто), следвани от неданъчните приходи, които нарастват с </w:t>
      </w:r>
      <w:r>
        <w:rPr>
          <w:rFonts w:eastAsia="Batang" w:cs="Times New Roman"/>
          <w:bCs/>
          <w:sz w:val="20"/>
          <w:szCs w:val="20"/>
        </w:rPr>
        <w:t>1,0</w:t>
      </w:r>
      <w:r w:rsidRPr="00CE0CF3">
        <w:rPr>
          <w:rFonts w:eastAsia="Batang" w:cs="Times New Roman"/>
          <w:bCs/>
          <w:sz w:val="20"/>
          <w:szCs w:val="20"/>
        </w:rPr>
        <w:t xml:space="preserve"> млрд. евро (</w:t>
      </w:r>
      <w:r>
        <w:rPr>
          <w:rFonts w:eastAsia="Batang" w:cs="Times New Roman"/>
          <w:bCs/>
          <w:sz w:val="20"/>
          <w:szCs w:val="20"/>
        </w:rPr>
        <w:t>26,2</w:t>
      </w:r>
      <w:r w:rsidRPr="00CE0CF3">
        <w:rPr>
          <w:rFonts w:eastAsia="Batang" w:cs="Times New Roman"/>
          <w:bCs/>
          <w:sz w:val="20"/>
          <w:szCs w:val="20"/>
        </w:rPr>
        <w:t xml:space="preserve"> на сто). Приходите от помощи и дарения (основно грантове от ЕС) са с 0,</w:t>
      </w:r>
      <w:r>
        <w:rPr>
          <w:rFonts w:eastAsia="Batang" w:cs="Times New Roman"/>
          <w:bCs/>
          <w:sz w:val="20"/>
          <w:szCs w:val="20"/>
        </w:rPr>
        <w:t>1</w:t>
      </w:r>
      <w:r w:rsidRPr="00CE0CF3">
        <w:rPr>
          <w:rFonts w:eastAsia="Batang" w:cs="Times New Roman"/>
          <w:bCs/>
          <w:sz w:val="20"/>
          <w:szCs w:val="20"/>
        </w:rPr>
        <w:t xml:space="preserve"> млрд. евро по-ниски от отчетените за същия период на 2024 г., тъй като в началото на 2024 г. се получиха по-високи приходи от ЕК, свързани с концентрирането на разходи по европейски проекти в края на 2023 г., поради приключване на предходния програмен период (2013-2020). </w:t>
      </w:r>
    </w:p>
    <w:p w14:paraId="270C326D" w14:textId="77777777" w:rsidR="00B4306D" w:rsidRPr="00CE0CF3" w:rsidRDefault="00B4306D" w:rsidP="00B4306D">
      <w:pPr>
        <w:autoSpaceDE w:val="0"/>
        <w:autoSpaceDN w:val="0"/>
        <w:adjustRightInd w:val="0"/>
        <w:spacing w:after="120"/>
        <w:rPr>
          <w:rFonts w:eastAsia="Batang" w:cs="Times New Roman"/>
          <w:bCs/>
          <w:sz w:val="20"/>
          <w:szCs w:val="20"/>
        </w:rPr>
      </w:pPr>
      <w:r w:rsidRPr="00CE0CF3">
        <w:rPr>
          <w:rFonts w:eastAsia="Batang" w:cs="Times New Roman"/>
          <w:bCs/>
          <w:sz w:val="20"/>
          <w:szCs w:val="20"/>
        </w:rPr>
        <w:t>Съпоставено с годишните разчети текущите параметри по изпълнението на приходите очертават по-ниско от планираното изпълнение на данъчните приходи по КФП, което се дължи основно на приходите от косвени данъци. При останалите основни групи данъци и осигурителни вноски прогнозите са близки до планираните годишни цели, като при преките данъци се очаква дори преизпълнение на годишния план с около 1,8 на сто. Забавянето в приходите от косвени данъци спрямо годишния план се наблюдава основно при постъпленията от ДДС. При ДДС от внос натиск върху приходите през настоящата година оказват цените на суровините на международните пазари, в т.ч. цената на суровия петрол и цените на другите основни групи стоки, пораждащи ДДС от внос, тенденцията на отслабен щатски долар спрямо еврото и други. Техническото допускане за валутния курс USD/EUR към края на септември показва средногод</w:t>
      </w:r>
      <w:r>
        <w:rPr>
          <w:rFonts w:eastAsia="Batang" w:cs="Times New Roman"/>
          <w:bCs/>
          <w:sz w:val="20"/>
          <w:szCs w:val="20"/>
        </w:rPr>
        <w:t xml:space="preserve">ишна стойност от 1,144 USD </w:t>
      </w:r>
      <w:r w:rsidRPr="00CE0CF3">
        <w:rPr>
          <w:rFonts w:eastAsia="Batang" w:cs="Times New Roman"/>
          <w:bCs/>
          <w:sz w:val="20"/>
          <w:szCs w:val="20"/>
        </w:rPr>
        <w:t xml:space="preserve">за 1 EUR, което е поскъпване на единната европейска валута с около 6 на сто за 2025 г. Това при други равни условия води до намаление на облагаемата стойност при внос на стоките и суровините, търгувани в USD, респективно по-ниски постъпления от планираните от ДДС от внос. Влияние оказва и намалението при физическите обеми на някои от стоките, пораждащи </w:t>
      </w:r>
      <w:r w:rsidRPr="00962A2C">
        <w:rPr>
          <w:rFonts w:eastAsia="Batang" w:cs="Times New Roman"/>
          <w:bCs/>
          <w:sz w:val="20"/>
          <w:szCs w:val="20"/>
        </w:rPr>
        <w:t xml:space="preserve">ДДС. </w:t>
      </w:r>
      <w:r>
        <w:rPr>
          <w:rFonts w:eastAsia="Batang" w:cs="Times New Roman"/>
          <w:bCs/>
          <w:sz w:val="20"/>
          <w:szCs w:val="20"/>
        </w:rPr>
        <w:t>В</w:t>
      </w:r>
      <w:r w:rsidRPr="00962A2C">
        <w:rPr>
          <w:rFonts w:eastAsia="Batang" w:cs="Times New Roman"/>
          <w:bCs/>
          <w:sz w:val="20"/>
          <w:szCs w:val="20"/>
        </w:rPr>
        <w:t xml:space="preserve">лияние върху приходите от ДДС оказва и късното приемане на ЗДБРБ за 2025 г. </w:t>
      </w:r>
      <w:r w:rsidRPr="00962A2C">
        <w:rPr>
          <w:rFonts w:eastAsia="Batang" w:cs="Times New Roman"/>
          <w:bCs/>
          <w:sz w:val="20"/>
          <w:szCs w:val="20"/>
          <w:lang w:val="ru-RU"/>
        </w:rPr>
        <w:t xml:space="preserve">(27.03.2025 </w:t>
      </w:r>
      <w:r w:rsidRPr="00962A2C">
        <w:rPr>
          <w:rFonts w:eastAsia="Batang" w:cs="Times New Roman"/>
          <w:bCs/>
          <w:sz w:val="20"/>
          <w:szCs w:val="20"/>
        </w:rPr>
        <w:t>г.</w:t>
      </w:r>
      <w:r w:rsidRPr="00962A2C">
        <w:rPr>
          <w:rFonts w:eastAsia="Batang" w:cs="Times New Roman"/>
          <w:bCs/>
          <w:sz w:val="20"/>
          <w:szCs w:val="20"/>
          <w:lang w:val="ru-RU"/>
        </w:rPr>
        <w:t>)</w:t>
      </w:r>
      <w:r w:rsidRPr="00962A2C">
        <w:rPr>
          <w:rFonts w:eastAsia="Batang" w:cs="Times New Roman"/>
          <w:bCs/>
          <w:sz w:val="20"/>
          <w:szCs w:val="20"/>
        </w:rPr>
        <w:t xml:space="preserve">, поради което основните мерки в частта на повишаването на събираемостта на приходите бяха въведени в началото на месец юни. В резултат на засиления фискален контрол вследствие на разширяването на обхвата на стоките с висок фискален риск, към края на месец </w:t>
      </w:r>
      <w:r>
        <w:rPr>
          <w:rFonts w:eastAsia="Batang" w:cs="Times New Roman"/>
          <w:bCs/>
          <w:sz w:val="20"/>
          <w:szCs w:val="20"/>
        </w:rPr>
        <w:t>септември</w:t>
      </w:r>
      <w:r w:rsidRPr="00962A2C">
        <w:rPr>
          <w:rFonts w:eastAsia="Batang" w:cs="Times New Roman"/>
          <w:bCs/>
          <w:sz w:val="20"/>
          <w:szCs w:val="20"/>
        </w:rPr>
        <w:t xml:space="preserve"> приходите от ДДС от сделки в страната и ВОП отчитат ръст от 23,</w:t>
      </w:r>
      <w:r>
        <w:rPr>
          <w:rFonts w:eastAsia="Batang" w:cs="Times New Roman"/>
          <w:bCs/>
          <w:sz w:val="20"/>
          <w:szCs w:val="20"/>
        </w:rPr>
        <w:t>0</w:t>
      </w:r>
      <w:r w:rsidRPr="00962A2C">
        <w:rPr>
          <w:rFonts w:eastAsia="Batang" w:cs="Times New Roman"/>
          <w:bCs/>
          <w:sz w:val="20"/>
          <w:szCs w:val="20"/>
        </w:rPr>
        <w:t>% спрямо същия период на миналата година.</w:t>
      </w:r>
      <w:r w:rsidRPr="00CE0CF3">
        <w:rPr>
          <w:rFonts w:eastAsia="Batang" w:cs="Times New Roman"/>
          <w:bCs/>
          <w:sz w:val="20"/>
          <w:szCs w:val="20"/>
        </w:rPr>
        <w:t xml:space="preserve"> </w:t>
      </w:r>
    </w:p>
    <w:p w14:paraId="19F7438F" w14:textId="77777777" w:rsidR="00B4306D" w:rsidRDefault="00B4306D" w:rsidP="00B4306D">
      <w:pPr>
        <w:autoSpaceDE w:val="0"/>
        <w:autoSpaceDN w:val="0"/>
        <w:adjustRightInd w:val="0"/>
        <w:spacing w:after="120"/>
        <w:rPr>
          <w:rFonts w:eastAsia="Batang" w:cs="Times New Roman"/>
          <w:bCs/>
          <w:sz w:val="20"/>
          <w:szCs w:val="20"/>
        </w:rPr>
      </w:pPr>
    </w:p>
    <w:p w14:paraId="3DE7951F" w14:textId="77777777" w:rsidR="00B4306D" w:rsidRDefault="00B4306D" w:rsidP="00B4306D">
      <w:pPr>
        <w:autoSpaceDE w:val="0"/>
        <w:autoSpaceDN w:val="0"/>
        <w:adjustRightInd w:val="0"/>
        <w:spacing w:after="120"/>
        <w:rPr>
          <w:rFonts w:eastAsia="Batang" w:cs="Times New Roman"/>
          <w:bCs/>
          <w:sz w:val="20"/>
          <w:szCs w:val="20"/>
        </w:rPr>
      </w:pPr>
    </w:p>
    <w:p w14:paraId="7850ADBC" w14:textId="77777777" w:rsidR="00B4306D" w:rsidRPr="00CE0CF3" w:rsidRDefault="00B4306D" w:rsidP="00B4306D">
      <w:pPr>
        <w:autoSpaceDE w:val="0"/>
        <w:autoSpaceDN w:val="0"/>
        <w:adjustRightInd w:val="0"/>
        <w:spacing w:after="120"/>
        <w:rPr>
          <w:rFonts w:eastAsia="Batang" w:cs="Times New Roman"/>
          <w:bCs/>
          <w:sz w:val="20"/>
          <w:szCs w:val="20"/>
        </w:rPr>
      </w:pPr>
      <w:r w:rsidRPr="00CE0CF3">
        <w:rPr>
          <w:rFonts w:eastAsia="Batang" w:cs="Times New Roman"/>
          <w:bCs/>
          <w:sz w:val="20"/>
          <w:szCs w:val="20"/>
        </w:rPr>
        <w:t xml:space="preserve">Изпълнението на разчетите в частта на помощите към края на месец </w:t>
      </w:r>
      <w:r>
        <w:rPr>
          <w:rFonts w:eastAsia="Batang" w:cs="Times New Roman"/>
          <w:bCs/>
          <w:sz w:val="20"/>
          <w:szCs w:val="20"/>
        </w:rPr>
        <w:t>септември</w:t>
      </w:r>
      <w:r w:rsidRPr="00CE0CF3">
        <w:rPr>
          <w:rFonts w:eastAsia="Batang" w:cs="Times New Roman"/>
          <w:bCs/>
          <w:sz w:val="20"/>
          <w:szCs w:val="20"/>
        </w:rPr>
        <w:t xml:space="preserve"> е относително ниско, основно поради изместване в последното тримесечие на годината на постъпленията по втория, респективно третия транш по Механизма за възстановяване и устойчивост (МВУ). </w:t>
      </w:r>
    </w:p>
    <w:p w14:paraId="4A25FF94" w14:textId="77777777" w:rsidR="00B4306D" w:rsidRPr="00CE0CF3" w:rsidRDefault="00B4306D" w:rsidP="00B4306D">
      <w:pPr>
        <w:autoSpaceDE w:val="0"/>
        <w:autoSpaceDN w:val="0"/>
        <w:adjustRightInd w:val="0"/>
        <w:spacing w:after="120"/>
        <w:rPr>
          <w:rFonts w:eastAsia="Batang" w:cs="Times New Roman"/>
          <w:bCs/>
          <w:sz w:val="20"/>
          <w:szCs w:val="20"/>
        </w:rPr>
      </w:pPr>
      <w:r>
        <w:rPr>
          <w:rFonts w:eastAsia="Batang" w:cs="Times New Roman"/>
          <w:bCs/>
          <w:sz w:val="20"/>
          <w:szCs w:val="20"/>
        </w:rPr>
        <w:t>О</w:t>
      </w:r>
      <w:r w:rsidRPr="00CE0CF3">
        <w:rPr>
          <w:rFonts w:eastAsia="Batang" w:cs="Times New Roman"/>
          <w:bCs/>
          <w:sz w:val="20"/>
          <w:szCs w:val="20"/>
        </w:rPr>
        <w:t>свен усилията за повишаване на събираемостта на приходите са необходими и мерки за приоритизиране и оптимизиране на разходите с цел ограничаване на натиска върху бюджетната позиция. Анализът на параметрите на текущото изпълнение на бюджетите, част от държавния бюджет, очертава потенциални икономии в текущите и капиталови</w:t>
      </w:r>
      <w:r>
        <w:rPr>
          <w:rFonts w:eastAsia="Batang" w:cs="Times New Roman"/>
          <w:bCs/>
          <w:sz w:val="20"/>
          <w:szCs w:val="20"/>
        </w:rPr>
        <w:t>те</w:t>
      </w:r>
      <w:r w:rsidRPr="00CE0CF3">
        <w:rPr>
          <w:rFonts w:eastAsia="Batang" w:cs="Times New Roman"/>
          <w:bCs/>
          <w:sz w:val="20"/>
          <w:szCs w:val="20"/>
        </w:rPr>
        <w:t xml:space="preserve"> разходи, предвидени в разчетите по ЗДБРБ за 2025 г. В контекста на напрегнатото бюджетно изпълнение и необходимостта от предприемане на компенсиращи мерки правителството полага максимални усилия за спазване на утвърденото от Народното събрание бюджетно салдо по чл. 1, ал. 3 на ЗДБРБ за 2025 г.</w:t>
      </w:r>
    </w:p>
    <w:p w14:paraId="2ECABB64" w14:textId="77777777" w:rsidR="00B4306D" w:rsidRPr="00C4275A" w:rsidRDefault="00B4306D" w:rsidP="00B4306D">
      <w:pPr>
        <w:tabs>
          <w:tab w:val="num" w:pos="284"/>
        </w:tabs>
        <w:autoSpaceDE w:val="0"/>
        <w:autoSpaceDN w:val="0"/>
        <w:adjustRightInd w:val="0"/>
        <w:spacing w:after="120"/>
        <w:rPr>
          <w:sz w:val="20"/>
          <w:szCs w:val="20"/>
        </w:rPr>
      </w:pPr>
      <w:r w:rsidRPr="00CE0CF3">
        <w:rPr>
          <w:rFonts w:eastAsia="Batang" w:cs="Times New Roman"/>
          <w:bCs/>
          <w:sz w:val="20"/>
          <w:szCs w:val="20"/>
        </w:rPr>
        <w:t xml:space="preserve">Въпреки очерталия се натиск върху бюджетната позиция от страна на приходите прогнозите сочат, че мерките </w:t>
      </w:r>
      <w:r>
        <w:rPr>
          <w:rFonts w:eastAsia="Batang" w:cs="Times New Roman"/>
          <w:bCs/>
          <w:sz w:val="20"/>
          <w:szCs w:val="20"/>
        </w:rPr>
        <w:t>в</w:t>
      </w:r>
      <w:r w:rsidRPr="00CE0CF3">
        <w:rPr>
          <w:rFonts w:eastAsia="Batang" w:cs="Times New Roman"/>
          <w:bCs/>
          <w:sz w:val="20"/>
          <w:szCs w:val="20"/>
        </w:rPr>
        <w:t xml:space="preserve"> разходите и потенциалните икономии по бюджетите и сметките за средства от ЕС</w:t>
      </w:r>
      <w:r>
        <w:rPr>
          <w:rFonts w:eastAsia="Batang" w:cs="Times New Roman"/>
          <w:bCs/>
          <w:sz w:val="20"/>
          <w:szCs w:val="20"/>
        </w:rPr>
        <w:t xml:space="preserve"> могат да</w:t>
      </w:r>
      <w:r w:rsidRPr="00CE0CF3">
        <w:rPr>
          <w:rFonts w:eastAsia="Batang" w:cs="Times New Roman"/>
          <w:bCs/>
          <w:sz w:val="20"/>
          <w:szCs w:val="20"/>
        </w:rPr>
        <w:t xml:space="preserve"> позволят фискалната цел за годината да бъде спазена и дефицитът по КФП да остане в рамките на изискванията на фискалните правила, и по-конкретно на чл. 27, ал. 4 на ЗПФ. Основното допускане, залегнало в прогнозата е получаването на втория, респективно третия транш по МВУ до края на годината. </w:t>
      </w:r>
    </w:p>
    <w:p w14:paraId="3283B103" w14:textId="77777777" w:rsidR="00B4306D" w:rsidRDefault="00B4306D" w:rsidP="00CE0CF3">
      <w:pPr>
        <w:autoSpaceDE w:val="0"/>
        <w:autoSpaceDN w:val="0"/>
        <w:adjustRightInd w:val="0"/>
        <w:spacing w:after="120"/>
        <w:rPr>
          <w:rFonts w:eastAsia="Batang" w:cs="Times New Roman"/>
          <w:bCs/>
          <w:sz w:val="20"/>
          <w:szCs w:val="20"/>
        </w:rPr>
      </w:pPr>
    </w:p>
    <w:p w14:paraId="012A9716" w14:textId="77777777" w:rsidR="00B4306D" w:rsidRDefault="00B4306D" w:rsidP="00CE0CF3">
      <w:pPr>
        <w:autoSpaceDE w:val="0"/>
        <w:autoSpaceDN w:val="0"/>
        <w:adjustRightInd w:val="0"/>
        <w:spacing w:after="120"/>
        <w:rPr>
          <w:rFonts w:eastAsia="Batang" w:cs="Times New Roman"/>
          <w:bCs/>
          <w:sz w:val="20"/>
          <w:szCs w:val="20"/>
        </w:rPr>
      </w:pPr>
    </w:p>
    <w:p w14:paraId="59F2D60C" w14:textId="77777777" w:rsidR="00B4306D" w:rsidRDefault="00B4306D" w:rsidP="00CE0CF3">
      <w:pPr>
        <w:autoSpaceDE w:val="0"/>
        <w:autoSpaceDN w:val="0"/>
        <w:adjustRightInd w:val="0"/>
        <w:spacing w:after="120"/>
        <w:rPr>
          <w:rFonts w:eastAsia="Batang" w:cs="Times New Roman"/>
          <w:bCs/>
          <w:sz w:val="20"/>
          <w:szCs w:val="20"/>
        </w:rPr>
      </w:pPr>
    </w:p>
    <w:p w14:paraId="540A66E5" w14:textId="77777777" w:rsidR="003F0BD0" w:rsidRPr="00AA3F66" w:rsidRDefault="003F0BD0" w:rsidP="003F0BD0">
      <w:pPr>
        <w:autoSpaceDE w:val="0"/>
        <w:autoSpaceDN w:val="0"/>
        <w:adjustRightInd w:val="0"/>
        <w:spacing w:after="120"/>
        <w:rPr>
          <w:rFonts w:eastAsia="Batang" w:cs="Times New Roman"/>
          <w:bCs/>
          <w:sz w:val="20"/>
          <w:szCs w:val="20"/>
        </w:rPr>
        <w:sectPr w:rsidR="003F0BD0" w:rsidRPr="00AA3F66" w:rsidSect="002D7CED">
          <w:headerReference w:type="even" r:id="rId37"/>
          <w:headerReference w:type="default" r:id="rId38"/>
          <w:headerReference w:type="first" r:id="rId39"/>
          <w:footerReference w:type="first" r:id="rId40"/>
          <w:pgSz w:w="16838" w:h="11906" w:orient="landscape" w:code="9"/>
          <w:pgMar w:top="1418" w:right="1134" w:bottom="851" w:left="1134" w:header="709" w:footer="709" w:gutter="0"/>
          <w:cols w:num="2" w:space="708"/>
          <w:titlePg/>
          <w:docGrid w:linePitch="360"/>
        </w:sectPr>
      </w:pPr>
    </w:p>
    <w:p w14:paraId="2E1A5102" w14:textId="77777777" w:rsidR="001A5D18" w:rsidRPr="005F2AAC" w:rsidRDefault="002B149E" w:rsidP="00DE6798">
      <w:pPr>
        <w:pStyle w:val="Heading2"/>
      </w:pPr>
      <w:bookmarkStart w:id="545" w:name="_Toc464224824"/>
      <w:bookmarkStart w:id="546" w:name="_Toc464225474"/>
      <w:bookmarkStart w:id="547" w:name="_Toc464459021"/>
      <w:bookmarkStart w:id="548" w:name="_Toc464459769"/>
      <w:bookmarkStart w:id="549" w:name="_Toc464460722"/>
      <w:bookmarkStart w:id="550" w:name="_Toc464463121"/>
      <w:bookmarkStart w:id="551" w:name="_Toc464464950"/>
      <w:bookmarkStart w:id="552" w:name="_Toc464465457"/>
      <w:bookmarkStart w:id="553" w:name="_Toc464465645"/>
      <w:bookmarkStart w:id="554" w:name="_Toc464466469"/>
      <w:bookmarkStart w:id="555" w:name="_Toc464466712"/>
      <w:bookmarkStart w:id="556" w:name="_Toc464645033"/>
      <w:bookmarkStart w:id="557" w:name="_Toc465205587"/>
      <w:bookmarkStart w:id="558" w:name="_Toc216029376"/>
      <w:r w:rsidRPr="00AA3F66">
        <w:lastRenderedPageBreak/>
        <w:t xml:space="preserve">Приложение № 2: </w:t>
      </w:r>
      <w:r w:rsidR="00DD4BBB" w:rsidRPr="00AA3F66">
        <w:br/>
      </w:r>
      <w:r w:rsidRPr="00AA3F66">
        <w:t xml:space="preserve">Основни допускания по актуализираната средносрочна </w:t>
      </w:r>
      <w:r w:rsidR="00931F81" w:rsidRPr="00AA3F66">
        <w:t>б</w:t>
      </w:r>
      <w:r w:rsidR="00382492" w:rsidRPr="00AA3F66">
        <w:t xml:space="preserve">юджетна прогноза за периода </w:t>
      </w:r>
      <w:r w:rsidR="00382492" w:rsidRPr="00C07C25">
        <w:t>202</w:t>
      </w:r>
      <w:r w:rsidR="003B3137">
        <w:t>6</w:t>
      </w:r>
      <w:r w:rsidRPr="00C07C25">
        <w:t>-20</w:t>
      </w:r>
      <w:r w:rsidR="00C07C25" w:rsidRPr="00C07C25">
        <w:t>28</w:t>
      </w:r>
      <w:r w:rsidR="00AA3035" w:rsidRPr="00AA3F66">
        <w:t> г.</w:t>
      </w:r>
      <w:bookmarkStart w:id="559" w:name="_Toc464224825"/>
      <w:bookmarkStart w:id="560" w:name="_Toc464225475"/>
      <w:bookmarkStart w:id="561" w:name="_Toc464459022"/>
      <w:bookmarkStart w:id="562" w:name="_Toc464459770"/>
      <w:bookmarkStart w:id="563" w:name="_Toc464460723"/>
      <w:bookmarkStart w:id="564" w:name="_Toc464463122"/>
      <w:bookmarkStart w:id="565" w:name="_Toc464464951"/>
      <w:bookmarkStart w:id="566" w:name="_Toc464465458"/>
      <w:bookmarkStart w:id="567" w:name="_Toc464465646"/>
      <w:bookmarkStart w:id="568" w:name="_Toc464466470"/>
      <w:bookmarkStart w:id="569" w:name="_Toc464466713"/>
      <w:bookmarkStart w:id="570" w:name="_Toc464645034"/>
      <w:bookmarkStart w:id="571" w:name="_Toc465205588"/>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42A29032" w14:textId="77777777" w:rsidR="00643B7B" w:rsidRPr="00643B7B" w:rsidRDefault="00643B7B" w:rsidP="00643B7B">
      <w:pPr>
        <w:tabs>
          <w:tab w:val="left" w:pos="610"/>
          <w:tab w:val="left" w:pos="26077"/>
          <w:tab w:val="left" w:pos="27968"/>
          <w:tab w:val="left" w:pos="29859"/>
        </w:tabs>
        <w:spacing w:after="0"/>
        <w:jc w:val="left"/>
        <w:rPr>
          <w:rFonts w:eastAsia="Times New Roman" w:cs="Times New Roman"/>
          <w:b/>
          <w:bCs/>
          <w:caps/>
          <w:spacing w:val="10"/>
          <w:w w:val="90"/>
          <w:sz w:val="28"/>
          <w:szCs w:val="26"/>
        </w:rPr>
      </w:pPr>
    </w:p>
    <w:tbl>
      <w:tblPr>
        <w:tblW w:w="5000" w:type="pct"/>
        <w:tblCellMar>
          <w:left w:w="70" w:type="dxa"/>
          <w:right w:w="70" w:type="dxa"/>
        </w:tblCellMar>
        <w:tblLook w:val="04A0" w:firstRow="1" w:lastRow="0" w:firstColumn="1" w:lastColumn="0" w:noHBand="0" w:noVBand="1"/>
      </w:tblPr>
      <w:tblGrid>
        <w:gridCol w:w="540"/>
        <w:gridCol w:w="4876"/>
        <w:gridCol w:w="1550"/>
        <w:gridCol w:w="1883"/>
        <w:gridCol w:w="1907"/>
        <w:gridCol w:w="1907"/>
        <w:gridCol w:w="1907"/>
      </w:tblGrid>
      <w:tr w:rsidR="00643B7B" w:rsidRPr="00643B7B" w14:paraId="1D79261F" w14:textId="77777777" w:rsidTr="00643B7B">
        <w:trPr>
          <w:trHeight w:val="600"/>
          <w:tblHeader/>
        </w:trPr>
        <w:tc>
          <w:tcPr>
            <w:tcW w:w="176" w:type="pct"/>
            <w:tcBorders>
              <w:top w:val="single" w:sz="4" w:space="0" w:color="auto"/>
            </w:tcBorders>
            <w:shd w:val="clear" w:color="auto" w:fill="FBE4D5"/>
            <w:vAlign w:val="center"/>
            <w:hideMark/>
          </w:tcPr>
          <w:p w14:paraId="7182992A"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 </w:t>
            </w:r>
          </w:p>
        </w:tc>
        <w:tc>
          <w:tcPr>
            <w:tcW w:w="1584" w:type="pct"/>
            <w:tcBorders>
              <w:top w:val="single" w:sz="4" w:space="0" w:color="auto"/>
            </w:tcBorders>
            <w:shd w:val="clear" w:color="auto" w:fill="FBE4D5"/>
            <w:vAlign w:val="center"/>
            <w:hideMark/>
          </w:tcPr>
          <w:p w14:paraId="3A3AD9A4"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ОСНОВНИ ДОПУСКАНИЯ</w:t>
            </w:r>
          </w:p>
        </w:tc>
        <w:tc>
          <w:tcPr>
            <w:tcW w:w="544" w:type="pct"/>
            <w:tcBorders>
              <w:top w:val="single" w:sz="4" w:space="0" w:color="auto"/>
            </w:tcBorders>
            <w:shd w:val="clear" w:color="auto" w:fill="FBE4D5"/>
            <w:vAlign w:val="center"/>
            <w:hideMark/>
          </w:tcPr>
          <w:p w14:paraId="7EBC4C4E"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Мерна</w:t>
            </w:r>
            <w:r w:rsidRPr="00643B7B">
              <w:rPr>
                <w:rFonts w:eastAsia="Times New Roman" w:cs="Times New Roman"/>
                <w:b/>
                <w:bCs/>
                <w:sz w:val="22"/>
                <w:szCs w:val="20"/>
              </w:rPr>
              <w:br/>
              <w:t xml:space="preserve"> единица</w:t>
            </w:r>
          </w:p>
        </w:tc>
        <w:tc>
          <w:tcPr>
            <w:tcW w:w="674" w:type="pct"/>
            <w:tcBorders>
              <w:top w:val="single" w:sz="4" w:space="0" w:color="auto"/>
            </w:tcBorders>
            <w:shd w:val="clear" w:color="auto" w:fill="FBE4D5"/>
            <w:vAlign w:val="center"/>
            <w:hideMark/>
          </w:tcPr>
          <w:p w14:paraId="18C8437A" w14:textId="77777777" w:rsidR="00643B7B" w:rsidRPr="00643B7B" w:rsidRDefault="00643B7B" w:rsidP="00643B7B">
            <w:pPr>
              <w:spacing w:after="0"/>
              <w:jc w:val="center"/>
              <w:rPr>
                <w:rFonts w:eastAsia="Times New Roman" w:cs="Times New Roman"/>
                <w:b/>
                <w:bCs/>
                <w:i/>
                <w:iCs/>
                <w:sz w:val="22"/>
                <w:szCs w:val="20"/>
              </w:rPr>
            </w:pPr>
            <w:r w:rsidRPr="00643B7B">
              <w:rPr>
                <w:rFonts w:eastAsia="Times New Roman" w:cs="Times New Roman"/>
                <w:b/>
                <w:bCs/>
                <w:i/>
                <w:iCs/>
                <w:sz w:val="22"/>
                <w:szCs w:val="20"/>
              </w:rPr>
              <w:t>2025 г.</w:t>
            </w:r>
          </w:p>
        </w:tc>
        <w:tc>
          <w:tcPr>
            <w:tcW w:w="674" w:type="pct"/>
            <w:tcBorders>
              <w:top w:val="single" w:sz="4" w:space="0" w:color="auto"/>
            </w:tcBorders>
            <w:shd w:val="clear" w:color="auto" w:fill="FBE4D5"/>
            <w:vAlign w:val="center"/>
            <w:hideMark/>
          </w:tcPr>
          <w:p w14:paraId="55D14B9A"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2026 г.</w:t>
            </w:r>
          </w:p>
        </w:tc>
        <w:tc>
          <w:tcPr>
            <w:tcW w:w="674" w:type="pct"/>
            <w:tcBorders>
              <w:top w:val="single" w:sz="4" w:space="0" w:color="auto"/>
            </w:tcBorders>
            <w:shd w:val="clear" w:color="auto" w:fill="FBE4D5"/>
            <w:vAlign w:val="center"/>
            <w:hideMark/>
          </w:tcPr>
          <w:p w14:paraId="594E3A32"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2027 г.</w:t>
            </w:r>
          </w:p>
        </w:tc>
        <w:tc>
          <w:tcPr>
            <w:tcW w:w="674" w:type="pct"/>
            <w:tcBorders>
              <w:top w:val="single" w:sz="4" w:space="0" w:color="auto"/>
            </w:tcBorders>
            <w:shd w:val="clear" w:color="auto" w:fill="FBE4D5"/>
            <w:vAlign w:val="center"/>
            <w:hideMark/>
          </w:tcPr>
          <w:p w14:paraId="291B758B"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2028 г.</w:t>
            </w:r>
          </w:p>
        </w:tc>
      </w:tr>
      <w:tr w:rsidR="00643B7B" w:rsidRPr="00643B7B" w14:paraId="681687E5" w14:textId="77777777" w:rsidTr="00643B7B">
        <w:trPr>
          <w:trHeight w:val="300"/>
          <w:tblHeader/>
        </w:trPr>
        <w:tc>
          <w:tcPr>
            <w:tcW w:w="176" w:type="pct"/>
            <w:tcBorders>
              <w:bottom w:val="single" w:sz="4" w:space="0" w:color="auto"/>
            </w:tcBorders>
            <w:shd w:val="clear" w:color="auto" w:fill="FBE4D5"/>
            <w:vAlign w:val="center"/>
            <w:hideMark/>
          </w:tcPr>
          <w:p w14:paraId="4BB837D2"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w:t>
            </w:r>
          </w:p>
        </w:tc>
        <w:tc>
          <w:tcPr>
            <w:tcW w:w="1584" w:type="pct"/>
            <w:tcBorders>
              <w:bottom w:val="single" w:sz="4" w:space="0" w:color="auto"/>
            </w:tcBorders>
            <w:shd w:val="clear" w:color="auto" w:fill="FBE4D5"/>
            <w:vAlign w:val="center"/>
            <w:hideMark/>
          </w:tcPr>
          <w:p w14:paraId="754254D8"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А</w:t>
            </w:r>
          </w:p>
        </w:tc>
        <w:tc>
          <w:tcPr>
            <w:tcW w:w="544" w:type="pct"/>
            <w:tcBorders>
              <w:bottom w:val="single" w:sz="4" w:space="0" w:color="auto"/>
            </w:tcBorders>
            <w:shd w:val="clear" w:color="auto" w:fill="FBE4D5"/>
            <w:vAlign w:val="center"/>
            <w:hideMark/>
          </w:tcPr>
          <w:p w14:paraId="0CBDCF58"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Б</w:t>
            </w:r>
          </w:p>
        </w:tc>
        <w:tc>
          <w:tcPr>
            <w:tcW w:w="674" w:type="pct"/>
            <w:tcBorders>
              <w:bottom w:val="single" w:sz="4" w:space="0" w:color="auto"/>
            </w:tcBorders>
            <w:shd w:val="clear" w:color="auto" w:fill="FBE4D5"/>
            <w:vAlign w:val="center"/>
            <w:hideMark/>
          </w:tcPr>
          <w:p w14:paraId="68C81398" w14:textId="77777777" w:rsidR="00643B7B" w:rsidRPr="00643B7B" w:rsidRDefault="00643B7B" w:rsidP="00643B7B">
            <w:pPr>
              <w:spacing w:after="0"/>
              <w:jc w:val="center"/>
              <w:rPr>
                <w:rFonts w:eastAsia="Times New Roman" w:cs="Times New Roman"/>
                <w:b/>
                <w:bCs/>
                <w:i/>
                <w:iCs/>
                <w:sz w:val="22"/>
                <w:szCs w:val="20"/>
              </w:rPr>
            </w:pPr>
            <w:r w:rsidRPr="00643B7B">
              <w:rPr>
                <w:rFonts w:eastAsia="Times New Roman" w:cs="Times New Roman"/>
                <w:b/>
                <w:bCs/>
                <w:i/>
                <w:iCs/>
                <w:sz w:val="22"/>
                <w:szCs w:val="20"/>
              </w:rPr>
              <w:t>1</w:t>
            </w:r>
          </w:p>
        </w:tc>
        <w:tc>
          <w:tcPr>
            <w:tcW w:w="674" w:type="pct"/>
            <w:tcBorders>
              <w:bottom w:val="single" w:sz="4" w:space="0" w:color="auto"/>
            </w:tcBorders>
            <w:shd w:val="clear" w:color="auto" w:fill="FBE4D5"/>
            <w:vAlign w:val="center"/>
            <w:hideMark/>
          </w:tcPr>
          <w:p w14:paraId="5EA4AA00"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2</w:t>
            </w:r>
          </w:p>
        </w:tc>
        <w:tc>
          <w:tcPr>
            <w:tcW w:w="674" w:type="pct"/>
            <w:tcBorders>
              <w:bottom w:val="single" w:sz="4" w:space="0" w:color="auto"/>
            </w:tcBorders>
            <w:shd w:val="clear" w:color="auto" w:fill="FBE4D5"/>
            <w:vAlign w:val="center"/>
            <w:hideMark/>
          </w:tcPr>
          <w:p w14:paraId="6E1A9E89"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3</w:t>
            </w:r>
          </w:p>
        </w:tc>
        <w:tc>
          <w:tcPr>
            <w:tcW w:w="674" w:type="pct"/>
            <w:tcBorders>
              <w:bottom w:val="single" w:sz="4" w:space="0" w:color="auto"/>
            </w:tcBorders>
            <w:shd w:val="clear" w:color="auto" w:fill="FBE4D5"/>
            <w:vAlign w:val="center"/>
            <w:hideMark/>
          </w:tcPr>
          <w:p w14:paraId="0E40D420" w14:textId="77777777" w:rsidR="00643B7B" w:rsidRPr="00643B7B" w:rsidRDefault="00643B7B" w:rsidP="00643B7B">
            <w:pPr>
              <w:spacing w:after="0"/>
              <w:jc w:val="center"/>
              <w:rPr>
                <w:rFonts w:eastAsia="Times New Roman" w:cs="Times New Roman"/>
                <w:b/>
                <w:bCs/>
                <w:sz w:val="22"/>
                <w:szCs w:val="20"/>
              </w:rPr>
            </w:pPr>
            <w:r w:rsidRPr="00643B7B">
              <w:rPr>
                <w:rFonts w:eastAsia="Times New Roman" w:cs="Times New Roman"/>
                <w:b/>
                <w:bCs/>
                <w:sz w:val="22"/>
                <w:szCs w:val="20"/>
              </w:rPr>
              <w:t>4</w:t>
            </w:r>
          </w:p>
        </w:tc>
      </w:tr>
      <w:tr w:rsidR="00643B7B" w:rsidRPr="00643B7B" w14:paraId="34149AD7" w14:textId="77777777" w:rsidTr="00643B7B">
        <w:trPr>
          <w:trHeight w:val="300"/>
        </w:trPr>
        <w:tc>
          <w:tcPr>
            <w:tcW w:w="176" w:type="pct"/>
            <w:vMerge w:val="restart"/>
            <w:tcBorders>
              <w:top w:val="single" w:sz="4" w:space="0" w:color="auto"/>
            </w:tcBorders>
            <w:shd w:val="clear" w:color="auto" w:fill="auto"/>
            <w:hideMark/>
          </w:tcPr>
          <w:p w14:paraId="436845D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w:t>
            </w:r>
          </w:p>
        </w:tc>
        <w:tc>
          <w:tcPr>
            <w:tcW w:w="1584" w:type="pct"/>
            <w:tcBorders>
              <w:top w:val="single" w:sz="4" w:space="0" w:color="auto"/>
            </w:tcBorders>
            <w:shd w:val="clear" w:color="auto" w:fill="auto"/>
            <w:hideMark/>
          </w:tcPr>
          <w:p w14:paraId="124C274B"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данъчната ставка за облагане с ДДС</w:t>
            </w:r>
          </w:p>
        </w:tc>
        <w:tc>
          <w:tcPr>
            <w:tcW w:w="544" w:type="pct"/>
            <w:vMerge w:val="restart"/>
            <w:tcBorders>
              <w:top w:val="single" w:sz="4" w:space="0" w:color="auto"/>
            </w:tcBorders>
            <w:shd w:val="clear" w:color="auto" w:fill="FBE4D5"/>
            <w:vAlign w:val="center"/>
            <w:hideMark/>
          </w:tcPr>
          <w:p w14:paraId="0E8C281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tcBorders>
            <w:shd w:val="clear" w:color="auto" w:fill="auto"/>
            <w:vAlign w:val="center"/>
            <w:hideMark/>
          </w:tcPr>
          <w:p w14:paraId="31EAA48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20</w:t>
            </w:r>
          </w:p>
        </w:tc>
        <w:tc>
          <w:tcPr>
            <w:tcW w:w="674" w:type="pct"/>
            <w:tcBorders>
              <w:top w:val="single" w:sz="4" w:space="0" w:color="auto"/>
            </w:tcBorders>
            <w:shd w:val="clear" w:color="auto" w:fill="auto"/>
            <w:vAlign w:val="center"/>
            <w:hideMark/>
          </w:tcPr>
          <w:p w14:paraId="11B7261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w:t>
            </w:r>
          </w:p>
        </w:tc>
        <w:tc>
          <w:tcPr>
            <w:tcW w:w="674" w:type="pct"/>
            <w:tcBorders>
              <w:top w:val="single" w:sz="4" w:space="0" w:color="auto"/>
            </w:tcBorders>
            <w:shd w:val="clear" w:color="auto" w:fill="auto"/>
            <w:vAlign w:val="center"/>
            <w:hideMark/>
          </w:tcPr>
          <w:p w14:paraId="3A3CFFA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w:t>
            </w:r>
          </w:p>
        </w:tc>
        <w:tc>
          <w:tcPr>
            <w:tcW w:w="674" w:type="pct"/>
            <w:tcBorders>
              <w:top w:val="single" w:sz="4" w:space="0" w:color="auto"/>
            </w:tcBorders>
            <w:shd w:val="clear" w:color="auto" w:fill="auto"/>
            <w:vAlign w:val="center"/>
            <w:hideMark/>
          </w:tcPr>
          <w:p w14:paraId="51292F9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w:t>
            </w:r>
          </w:p>
        </w:tc>
      </w:tr>
      <w:tr w:rsidR="00643B7B" w:rsidRPr="00643B7B" w14:paraId="563F6B2B" w14:textId="77777777" w:rsidTr="00643B7B">
        <w:trPr>
          <w:trHeight w:val="300"/>
        </w:trPr>
        <w:tc>
          <w:tcPr>
            <w:tcW w:w="176" w:type="pct"/>
            <w:vMerge/>
            <w:vAlign w:val="center"/>
            <w:hideMark/>
          </w:tcPr>
          <w:p w14:paraId="1584E6CD"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2696FEE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09BD686B"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25B807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4B5BA2B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157EA97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37370EC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6DCAA3B5" w14:textId="77777777" w:rsidTr="00643B7B">
        <w:trPr>
          <w:trHeight w:val="510"/>
        </w:trPr>
        <w:tc>
          <w:tcPr>
            <w:tcW w:w="176" w:type="pct"/>
            <w:vMerge/>
            <w:vAlign w:val="center"/>
            <w:hideMark/>
          </w:tcPr>
          <w:p w14:paraId="59FF4043"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30513CE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Данъчна ставка за настаняване, предоставяно в хотели и подобни заведения</w:t>
            </w:r>
          </w:p>
        </w:tc>
        <w:tc>
          <w:tcPr>
            <w:tcW w:w="544" w:type="pct"/>
            <w:vMerge/>
            <w:shd w:val="clear" w:color="auto" w:fill="FBE4D5"/>
            <w:vAlign w:val="center"/>
            <w:hideMark/>
          </w:tcPr>
          <w:p w14:paraId="379A5FB5"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38566AE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9</w:t>
            </w:r>
          </w:p>
        </w:tc>
        <w:tc>
          <w:tcPr>
            <w:tcW w:w="674" w:type="pct"/>
            <w:shd w:val="clear" w:color="auto" w:fill="auto"/>
            <w:vAlign w:val="center"/>
            <w:hideMark/>
          </w:tcPr>
          <w:p w14:paraId="6650436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3036FA0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48227AB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r>
      <w:tr w:rsidR="00643B7B" w:rsidRPr="00643B7B" w14:paraId="3ACDB193" w14:textId="77777777" w:rsidTr="00643B7B">
        <w:trPr>
          <w:trHeight w:val="1020"/>
        </w:trPr>
        <w:tc>
          <w:tcPr>
            <w:tcW w:w="176" w:type="pct"/>
            <w:shd w:val="clear" w:color="auto" w:fill="auto"/>
            <w:hideMark/>
          </w:tcPr>
          <w:p w14:paraId="11F73FCE"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55578EC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Данъчна ставка за доставка на книги на физически носители или извършвана по електронен път или и двете, периодични печатни произведения – вестници и списания</w:t>
            </w:r>
          </w:p>
        </w:tc>
        <w:tc>
          <w:tcPr>
            <w:tcW w:w="544" w:type="pct"/>
            <w:vMerge/>
            <w:shd w:val="clear" w:color="auto" w:fill="FBE4D5"/>
            <w:vAlign w:val="center"/>
            <w:hideMark/>
          </w:tcPr>
          <w:p w14:paraId="1B0DA3C4"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75505B8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9</w:t>
            </w:r>
          </w:p>
        </w:tc>
        <w:tc>
          <w:tcPr>
            <w:tcW w:w="674" w:type="pct"/>
            <w:shd w:val="clear" w:color="auto" w:fill="auto"/>
            <w:vAlign w:val="center"/>
            <w:hideMark/>
          </w:tcPr>
          <w:p w14:paraId="26D38B1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1C8C4E7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4DAB2C4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r>
      <w:tr w:rsidR="00643B7B" w:rsidRPr="00643B7B" w14:paraId="6794C219" w14:textId="77777777" w:rsidTr="00643B7B">
        <w:trPr>
          <w:trHeight w:val="510"/>
        </w:trPr>
        <w:tc>
          <w:tcPr>
            <w:tcW w:w="176" w:type="pct"/>
            <w:shd w:val="clear" w:color="auto" w:fill="auto"/>
            <w:hideMark/>
          </w:tcPr>
          <w:p w14:paraId="002226D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39383F0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Данъчна ставка за доставка на храни, подходящи за бебета или за малки деца по приложение № 4 от ЗДДС</w:t>
            </w:r>
          </w:p>
        </w:tc>
        <w:tc>
          <w:tcPr>
            <w:tcW w:w="544" w:type="pct"/>
            <w:vMerge/>
            <w:shd w:val="clear" w:color="auto" w:fill="FBE4D5"/>
            <w:vAlign w:val="center"/>
            <w:hideMark/>
          </w:tcPr>
          <w:p w14:paraId="3DD5AE61"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98F9D20"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9</w:t>
            </w:r>
          </w:p>
        </w:tc>
        <w:tc>
          <w:tcPr>
            <w:tcW w:w="674" w:type="pct"/>
            <w:shd w:val="clear" w:color="auto" w:fill="auto"/>
            <w:vAlign w:val="center"/>
            <w:hideMark/>
          </w:tcPr>
          <w:p w14:paraId="258B9EF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785DD7A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4327C3F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r>
      <w:tr w:rsidR="00643B7B" w:rsidRPr="00643B7B" w14:paraId="6205BA78" w14:textId="77777777" w:rsidTr="00643B7B">
        <w:trPr>
          <w:trHeight w:val="765"/>
        </w:trPr>
        <w:tc>
          <w:tcPr>
            <w:tcW w:w="176" w:type="pct"/>
            <w:shd w:val="clear" w:color="auto" w:fill="auto"/>
            <w:hideMark/>
          </w:tcPr>
          <w:p w14:paraId="50E7393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518A9752"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Данъчна ставка за доставка на бебешки пелени и подобни бебешки хигиенни артикули по приложение № 4 от ЗДДС</w:t>
            </w:r>
          </w:p>
        </w:tc>
        <w:tc>
          <w:tcPr>
            <w:tcW w:w="544" w:type="pct"/>
            <w:vMerge/>
            <w:shd w:val="clear" w:color="auto" w:fill="FBE4D5"/>
            <w:vAlign w:val="center"/>
            <w:hideMark/>
          </w:tcPr>
          <w:p w14:paraId="4CDC024D"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2F5111D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9</w:t>
            </w:r>
          </w:p>
        </w:tc>
        <w:tc>
          <w:tcPr>
            <w:tcW w:w="674" w:type="pct"/>
            <w:shd w:val="clear" w:color="auto" w:fill="auto"/>
            <w:vAlign w:val="center"/>
            <w:hideMark/>
          </w:tcPr>
          <w:p w14:paraId="54259AE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41B556A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c>
          <w:tcPr>
            <w:tcW w:w="674" w:type="pct"/>
            <w:shd w:val="clear" w:color="auto" w:fill="auto"/>
            <w:vAlign w:val="center"/>
            <w:hideMark/>
          </w:tcPr>
          <w:p w14:paraId="64CB303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w:t>
            </w:r>
          </w:p>
        </w:tc>
      </w:tr>
      <w:tr w:rsidR="00643B7B" w:rsidRPr="00643B7B" w14:paraId="1C3CA6D7" w14:textId="77777777" w:rsidTr="00643B7B">
        <w:trPr>
          <w:trHeight w:val="510"/>
        </w:trPr>
        <w:tc>
          <w:tcPr>
            <w:tcW w:w="176" w:type="pct"/>
            <w:tcBorders>
              <w:top w:val="single" w:sz="4" w:space="0" w:color="auto"/>
            </w:tcBorders>
            <w:shd w:val="clear" w:color="auto" w:fill="auto"/>
            <w:hideMark/>
          </w:tcPr>
          <w:p w14:paraId="10CF7D8A"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w:t>
            </w:r>
          </w:p>
        </w:tc>
        <w:tc>
          <w:tcPr>
            <w:tcW w:w="1584" w:type="pct"/>
            <w:tcBorders>
              <w:top w:val="single" w:sz="4" w:space="0" w:color="auto"/>
            </w:tcBorders>
            <w:shd w:val="clear" w:color="auto" w:fill="auto"/>
            <w:hideMark/>
          </w:tcPr>
          <w:p w14:paraId="030FD8D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основната данъчна ставка на корпоративния данък</w:t>
            </w:r>
          </w:p>
        </w:tc>
        <w:tc>
          <w:tcPr>
            <w:tcW w:w="544" w:type="pct"/>
            <w:vMerge w:val="restart"/>
            <w:tcBorders>
              <w:top w:val="single" w:sz="4" w:space="0" w:color="auto"/>
            </w:tcBorders>
            <w:shd w:val="clear" w:color="auto" w:fill="FBE4D5"/>
            <w:vAlign w:val="center"/>
            <w:hideMark/>
          </w:tcPr>
          <w:p w14:paraId="11FEBBC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tcBorders>
            <w:shd w:val="clear" w:color="auto" w:fill="auto"/>
            <w:vAlign w:val="center"/>
            <w:hideMark/>
          </w:tcPr>
          <w:p w14:paraId="74766495"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10</w:t>
            </w:r>
          </w:p>
        </w:tc>
        <w:tc>
          <w:tcPr>
            <w:tcW w:w="674" w:type="pct"/>
            <w:tcBorders>
              <w:top w:val="single" w:sz="4" w:space="0" w:color="auto"/>
            </w:tcBorders>
            <w:shd w:val="clear" w:color="auto" w:fill="auto"/>
            <w:vAlign w:val="center"/>
            <w:hideMark/>
          </w:tcPr>
          <w:p w14:paraId="7CFDAE2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tcBorders>
              <w:top w:val="single" w:sz="4" w:space="0" w:color="auto"/>
            </w:tcBorders>
            <w:shd w:val="clear" w:color="auto" w:fill="auto"/>
            <w:vAlign w:val="center"/>
            <w:hideMark/>
          </w:tcPr>
          <w:p w14:paraId="2B0FCC8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tcBorders>
              <w:top w:val="single" w:sz="4" w:space="0" w:color="auto"/>
            </w:tcBorders>
            <w:shd w:val="clear" w:color="auto" w:fill="auto"/>
            <w:vAlign w:val="center"/>
            <w:hideMark/>
          </w:tcPr>
          <w:p w14:paraId="18269C0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r>
      <w:tr w:rsidR="00643B7B" w:rsidRPr="00643B7B" w14:paraId="12B5BA84" w14:textId="77777777" w:rsidTr="00643B7B">
        <w:trPr>
          <w:trHeight w:val="300"/>
        </w:trPr>
        <w:tc>
          <w:tcPr>
            <w:tcW w:w="176" w:type="pct"/>
            <w:tcBorders>
              <w:bottom w:val="single" w:sz="4" w:space="0" w:color="auto"/>
            </w:tcBorders>
            <w:shd w:val="clear" w:color="auto" w:fill="auto"/>
            <w:hideMark/>
          </w:tcPr>
          <w:p w14:paraId="5DD947F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tcBorders>
              <w:bottom w:val="single" w:sz="4" w:space="0" w:color="auto"/>
            </w:tcBorders>
            <w:shd w:val="clear" w:color="auto" w:fill="auto"/>
            <w:noWrap/>
            <w:vAlign w:val="bottom"/>
            <w:hideMark/>
          </w:tcPr>
          <w:p w14:paraId="73AAC1F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национален допълнителен данък (</w:t>
            </w:r>
            <w:proofErr w:type="spellStart"/>
            <w:r w:rsidRPr="00643B7B">
              <w:rPr>
                <w:rFonts w:eastAsia="Times New Roman" w:cs="Times New Roman"/>
                <w:sz w:val="20"/>
                <w:szCs w:val="20"/>
              </w:rPr>
              <w:t>domestic</w:t>
            </w:r>
            <w:proofErr w:type="spellEnd"/>
            <w:r w:rsidRPr="00643B7B">
              <w:rPr>
                <w:rFonts w:eastAsia="Times New Roman" w:cs="Times New Roman"/>
                <w:sz w:val="20"/>
                <w:szCs w:val="20"/>
              </w:rPr>
              <w:t xml:space="preserve"> </w:t>
            </w:r>
            <w:proofErr w:type="spellStart"/>
            <w:r w:rsidRPr="00643B7B">
              <w:rPr>
                <w:rFonts w:eastAsia="Times New Roman" w:cs="Times New Roman"/>
                <w:sz w:val="20"/>
                <w:szCs w:val="20"/>
              </w:rPr>
              <w:t>top-up</w:t>
            </w:r>
            <w:proofErr w:type="spellEnd"/>
            <w:r w:rsidRPr="00643B7B">
              <w:rPr>
                <w:rFonts w:eastAsia="Times New Roman" w:cs="Times New Roman"/>
                <w:sz w:val="20"/>
                <w:szCs w:val="20"/>
              </w:rPr>
              <w:t xml:space="preserve"> </w:t>
            </w:r>
            <w:proofErr w:type="spellStart"/>
            <w:r w:rsidRPr="00643B7B">
              <w:rPr>
                <w:rFonts w:eastAsia="Times New Roman" w:cs="Times New Roman"/>
                <w:sz w:val="20"/>
                <w:szCs w:val="20"/>
              </w:rPr>
              <w:t>tax</w:t>
            </w:r>
            <w:proofErr w:type="spellEnd"/>
            <w:r w:rsidRPr="00643B7B">
              <w:rPr>
                <w:rFonts w:eastAsia="Times New Roman" w:cs="Times New Roman"/>
                <w:sz w:val="20"/>
                <w:szCs w:val="20"/>
              </w:rPr>
              <w:t>)</w:t>
            </w:r>
          </w:p>
        </w:tc>
        <w:tc>
          <w:tcPr>
            <w:tcW w:w="544" w:type="pct"/>
            <w:vMerge/>
            <w:tcBorders>
              <w:bottom w:val="single" w:sz="4" w:space="0" w:color="auto"/>
            </w:tcBorders>
            <w:shd w:val="clear" w:color="auto" w:fill="FBE4D5"/>
            <w:vAlign w:val="center"/>
            <w:hideMark/>
          </w:tcPr>
          <w:p w14:paraId="78E02EDE"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4B72EA84"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w:t>
            </w:r>
          </w:p>
        </w:tc>
        <w:tc>
          <w:tcPr>
            <w:tcW w:w="674" w:type="pct"/>
            <w:tcBorders>
              <w:bottom w:val="single" w:sz="4" w:space="0" w:color="auto"/>
            </w:tcBorders>
            <w:shd w:val="clear" w:color="auto" w:fill="auto"/>
            <w:vAlign w:val="center"/>
            <w:hideMark/>
          </w:tcPr>
          <w:p w14:paraId="129BAB2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790127B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3C5E8F8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r>
      <w:tr w:rsidR="00643B7B" w:rsidRPr="00643B7B" w14:paraId="7085B7DB" w14:textId="77777777" w:rsidTr="00643B7B">
        <w:trPr>
          <w:trHeight w:val="510"/>
        </w:trPr>
        <w:tc>
          <w:tcPr>
            <w:tcW w:w="176" w:type="pct"/>
            <w:vMerge w:val="restart"/>
            <w:tcBorders>
              <w:top w:val="single" w:sz="4" w:space="0" w:color="auto"/>
            </w:tcBorders>
            <w:shd w:val="clear" w:color="auto" w:fill="auto"/>
            <w:hideMark/>
          </w:tcPr>
          <w:p w14:paraId="60C1067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w:t>
            </w:r>
          </w:p>
        </w:tc>
        <w:tc>
          <w:tcPr>
            <w:tcW w:w="1584" w:type="pct"/>
            <w:tcBorders>
              <w:top w:val="single" w:sz="4" w:space="0" w:color="auto"/>
            </w:tcBorders>
            <w:shd w:val="clear" w:color="auto" w:fill="auto"/>
            <w:hideMark/>
          </w:tcPr>
          <w:p w14:paraId="6821B2A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Данък върху доходите на физическите лица, основна ставка</w:t>
            </w:r>
          </w:p>
        </w:tc>
        <w:tc>
          <w:tcPr>
            <w:tcW w:w="544" w:type="pct"/>
            <w:vMerge w:val="restart"/>
            <w:tcBorders>
              <w:top w:val="single" w:sz="4" w:space="0" w:color="auto"/>
            </w:tcBorders>
            <w:shd w:val="clear" w:color="auto" w:fill="FBE4D5"/>
            <w:vAlign w:val="center"/>
            <w:hideMark/>
          </w:tcPr>
          <w:p w14:paraId="6FCFD66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tcBorders>
            <w:shd w:val="clear" w:color="auto" w:fill="auto"/>
            <w:vAlign w:val="center"/>
            <w:hideMark/>
          </w:tcPr>
          <w:p w14:paraId="13614BE5"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10</w:t>
            </w:r>
          </w:p>
        </w:tc>
        <w:tc>
          <w:tcPr>
            <w:tcW w:w="674" w:type="pct"/>
            <w:tcBorders>
              <w:top w:val="single" w:sz="4" w:space="0" w:color="auto"/>
            </w:tcBorders>
            <w:shd w:val="clear" w:color="auto" w:fill="auto"/>
            <w:vAlign w:val="center"/>
            <w:hideMark/>
          </w:tcPr>
          <w:p w14:paraId="16A94A4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tcBorders>
              <w:top w:val="single" w:sz="4" w:space="0" w:color="auto"/>
            </w:tcBorders>
            <w:shd w:val="clear" w:color="auto" w:fill="auto"/>
            <w:vAlign w:val="center"/>
            <w:hideMark/>
          </w:tcPr>
          <w:p w14:paraId="7792BD6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tcBorders>
              <w:top w:val="single" w:sz="4" w:space="0" w:color="auto"/>
            </w:tcBorders>
            <w:shd w:val="clear" w:color="auto" w:fill="auto"/>
            <w:vAlign w:val="center"/>
            <w:hideMark/>
          </w:tcPr>
          <w:p w14:paraId="5379538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r>
      <w:tr w:rsidR="00643B7B" w:rsidRPr="00643B7B" w14:paraId="752975C8" w14:textId="77777777" w:rsidTr="00643B7B">
        <w:trPr>
          <w:trHeight w:val="300"/>
        </w:trPr>
        <w:tc>
          <w:tcPr>
            <w:tcW w:w="176" w:type="pct"/>
            <w:vMerge/>
            <w:vAlign w:val="center"/>
            <w:hideMark/>
          </w:tcPr>
          <w:p w14:paraId="54EB42A5"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606897F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 </w:t>
            </w:r>
          </w:p>
        </w:tc>
        <w:tc>
          <w:tcPr>
            <w:tcW w:w="544" w:type="pct"/>
            <w:vMerge/>
            <w:shd w:val="clear" w:color="auto" w:fill="FBE4D5"/>
            <w:vAlign w:val="center"/>
            <w:hideMark/>
          </w:tcPr>
          <w:p w14:paraId="279AF1BE"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7E38C80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635EDC1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492DF12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0289A27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46716318" w14:textId="77777777" w:rsidTr="00643B7B">
        <w:trPr>
          <w:trHeight w:val="510"/>
        </w:trPr>
        <w:tc>
          <w:tcPr>
            <w:tcW w:w="176" w:type="pct"/>
            <w:vMerge/>
            <w:tcBorders>
              <w:bottom w:val="single" w:sz="4" w:space="0" w:color="auto"/>
            </w:tcBorders>
            <w:vAlign w:val="center"/>
            <w:hideMark/>
          </w:tcPr>
          <w:p w14:paraId="5298645B" w14:textId="77777777" w:rsidR="00643B7B" w:rsidRPr="00643B7B" w:rsidRDefault="00643B7B" w:rsidP="00643B7B">
            <w:pPr>
              <w:spacing w:after="0"/>
              <w:jc w:val="left"/>
              <w:rPr>
                <w:rFonts w:eastAsia="Times New Roman" w:cs="Times New Roman"/>
                <w:b/>
                <w:bCs/>
                <w:sz w:val="20"/>
                <w:szCs w:val="20"/>
              </w:rPr>
            </w:pPr>
          </w:p>
        </w:tc>
        <w:tc>
          <w:tcPr>
            <w:tcW w:w="1584" w:type="pct"/>
            <w:tcBorders>
              <w:bottom w:val="single" w:sz="4" w:space="0" w:color="auto"/>
            </w:tcBorders>
            <w:shd w:val="clear" w:color="auto" w:fill="auto"/>
            <w:hideMark/>
          </w:tcPr>
          <w:p w14:paraId="3B4EDAC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Данъчна ставка за данъка върху доходите от стопанска дейност на едноличните търговци</w:t>
            </w:r>
          </w:p>
        </w:tc>
        <w:tc>
          <w:tcPr>
            <w:tcW w:w="544" w:type="pct"/>
            <w:vMerge/>
            <w:tcBorders>
              <w:bottom w:val="single" w:sz="4" w:space="0" w:color="auto"/>
            </w:tcBorders>
            <w:shd w:val="clear" w:color="auto" w:fill="FBE4D5"/>
            <w:vAlign w:val="center"/>
            <w:hideMark/>
          </w:tcPr>
          <w:p w14:paraId="5B2C4827"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4CD8F907"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w:t>
            </w:r>
          </w:p>
        </w:tc>
        <w:tc>
          <w:tcPr>
            <w:tcW w:w="674" w:type="pct"/>
            <w:tcBorders>
              <w:bottom w:val="single" w:sz="4" w:space="0" w:color="auto"/>
            </w:tcBorders>
            <w:shd w:val="clear" w:color="auto" w:fill="auto"/>
            <w:vAlign w:val="center"/>
            <w:hideMark/>
          </w:tcPr>
          <w:p w14:paraId="3AD65AD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4C68712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c>
          <w:tcPr>
            <w:tcW w:w="674" w:type="pct"/>
            <w:tcBorders>
              <w:bottom w:val="single" w:sz="4" w:space="0" w:color="auto"/>
            </w:tcBorders>
            <w:shd w:val="clear" w:color="auto" w:fill="auto"/>
            <w:vAlign w:val="center"/>
            <w:hideMark/>
          </w:tcPr>
          <w:p w14:paraId="5DCAC19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r>
      <w:tr w:rsidR="00643B7B" w:rsidRPr="00643B7B" w14:paraId="0F9D3572" w14:textId="77777777" w:rsidTr="00643B7B">
        <w:trPr>
          <w:trHeight w:val="300"/>
        </w:trPr>
        <w:tc>
          <w:tcPr>
            <w:tcW w:w="176" w:type="pct"/>
            <w:tcBorders>
              <w:top w:val="single" w:sz="4" w:space="0" w:color="auto"/>
            </w:tcBorders>
            <w:shd w:val="clear" w:color="auto" w:fill="auto"/>
            <w:hideMark/>
          </w:tcPr>
          <w:p w14:paraId="06F3742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4.</w:t>
            </w:r>
          </w:p>
        </w:tc>
        <w:tc>
          <w:tcPr>
            <w:tcW w:w="1584" w:type="pct"/>
            <w:tcBorders>
              <w:top w:val="single" w:sz="4" w:space="0" w:color="auto"/>
            </w:tcBorders>
            <w:shd w:val="clear" w:color="auto" w:fill="auto"/>
            <w:hideMark/>
          </w:tcPr>
          <w:p w14:paraId="44BAB263"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Данъци, удържани при източника</w:t>
            </w:r>
          </w:p>
        </w:tc>
        <w:tc>
          <w:tcPr>
            <w:tcW w:w="544" w:type="pct"/>
            <w:tcBorders>
              <w:top w:val="single" w:sz="4" w:space="0" w:color="auto"/>
            </w:tcBorders>
            <w:shd w:val="clear" w:color="auto" w:fill="FBE4D5"/>
            <w:vAlign w:val="center"/>
            <w:hideMark/>
          </w:tcPr>
          <w:p w14:paraId="495A53B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294B2FF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447CA47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7CBE8C3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35155CF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5213B876" w14:textId="77777777" w:rsidTr="00643B7B">
        <w:trPr>
          <w:trHeight w:val="300"/>
        </w:trPr>
        <w:tc>
          <w:tcPr>
            <w:tcW w:w="176" w:type="pct"/>
            <w:tcBorders>
              <w:bottom w:val="single" w:sz="4" w:space="0" w:color="auto"/>
            </w:tcBorders>
            <w:shd w:val="clear" w:color="auto" w:fill="auto"/>
            <w:hideMark/>
          </w:tcPr>
          <w:p w14:paraId="1D182098"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tcBorders>
              <w:bottom w:val="single" w:sz="4" w:space="0" w:color="auto"/>
            </w:tcBorders>
            <w:shd w:val="clear" w:color="auto" w:fill="auto"/>
            <w:hideMark/>
          </w:tcPr>
          <w:p w14:paraId="41A73A5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tcBorders>
              <w:bottom w:val="single" w:sz="4" w:space="0" w:color="auto"/>
            </w:tcBorders>
            <w:shd w:val="clear" w:color="auto" w:fill="FBE4D5"/>
            <w:vAlign w:val="center"/>
            <w:hideMark/>
          </w:tcPr>
          <w:p w14:paraId="4774F9C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bottom w:val="single" w:sz="4" w:space="0" w:color="auto"/>
            </w:tcBorders>
            <w:shd w:val="clear" w:color="auto" w:fill="auto"/>
            <w:vAlign w:val="center"/>
            <w:hideMark/>
          </w:tcPr>
          <w:p w14:paraId="6D9E7A7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bottom w:val="single" w:sz="4" w:space="0" w:color="auto"/>
            </w:tcBorders>
            <w:shd w:val="clear" w:color="auto" w:fill="auto"/>
            <w:vAlign w:val="center"/>
            <w:hideMark/>
          </w:tcPr>
          <w:p w14:paraId="73CE06A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bottom w:val="single" w:sz="4" w:space="0" w:color="auto"/>
            </w:tcBorders>
            <w:shd w:val="clear" w:color="auto" w:fill="auto"/>
            <w:vAlign w:val="center"/>
            <w:hideMark/>
          </w:tcPr>
          <w:p w14:paraId="41E1BDE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bottom w:val="single" w:sz="4" w:space="0" w:color="auto"/>
            </w:tcBorders>
            <w:shd w:val="clear" w:color="auto" w:fill="auto"/>
            <w:vAlign w:val="center"/>
            <w:hideMark/>
          </w:tcPr>
          <w:p w14:paraId="0C3E6E2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67F2F66D" w14:textId="77777777" w:rsidTr="00643B7B">
        <w:trPr>
          <w:trHeight w:val="510"/>
        </w:trPr>
        <w:tc>
          <w:tcPr>
            <w:tcW w:w="176" w:type="pct"/>
            <w:tcBorders>
              <w:top w:val="single" w:sz="4" w:space="0" w:color="auto"/>
            </w:tcBorders>
            <w:shd w:val="clear" w:color="auto" w:fill="auto"/>
            <w:hideMark/>
          </w:tcPr>
          <w:p w14:paraId="599863DA"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lastRenderedPageBreak/>
              <w:t>4.1.</w:t>
            </w:r>
          </w:p>
        </w:tc>
        <w:tc>
          <w:tcPr>
            <w:tcW w:w="1584" w:type="pct"/>
            <w:tcBorders>
              <w:top w:val="single" w:sz="4" w:space="0" w:color="auto"/>
            </w:tcBorders>
            <w:shd w:val="clear" w:color="auto" w:fill="auto"/>
            <w:hideMark/>
          </w:tcPr>
          <w:p w14:paraId="463B8BF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Данък, удържан при доходи от дивидентите и ликвидационните дялове</w:t>
            </w:r>
          </w:p>
        </w:tc>
        <w:tc>
          <w:tcPr>
            <w:tcW w:w="544" w:type="pct"/>
            <w:vMerge w:val="restart"/>
            <w:tcBorders>
              <w:top w:val="single" w:sz="4" w:space="0" w:color="auto"/>
            </w:tcBorders>
            <w:shd w:val="clear" w:color="auto" w:fill="FBE4D5"/>
            <w:vAlign w:val="center"/>
            <w:hideMark/>
          </w:tcPr>
          <w:p w14:paraId="75767B6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tcBorders>
            <w:shd w:val="clear" w:color="auto" w:fill="auto"/>
            <w:vAlign w:val="center"/>
            <w:hideMark/>
          </w:tcPr>
          <w:p w14:paraId="5D68AFA6"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w:t>
            </w:r>
          </w:p>
        </w:tc>
        <w:tc>
          <w:tcPr>
            <w:tcW w:w="674" w:type="pct"/>
            <w:tcBorders>
              <w:top w:val="single" w:sz="4" w:space="0" w:color="auto"/>
            </w:tcBorders>
            <w:shd w:val="clear" w:color="auto" w:fill="auto"/>
            <w:vAlign w:val="center"/>
            <w:hideMark/>
          </w:tcPr>
          <w:p w14:paraId="14276B1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w:t>
            </w:r>
          </w:p>
        </w:tc>
        <w:tc>
          <w:tcPr>
            <w:tcW w:w="674" w:type="pct"/>
            <w:tcBorders>
              <w:top w:val="single" w:sz="4" w:space="0" w:color="auto"/>
            </w:tcBorders>
            <w:shd w:val="clear" w:color="auto" w:fill="auto"/>
            <w:vAlign w:val="center"/>
            <w:hideMark/>
          </w:tcPr>
          <w:p w14:paraId="4745226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w:t>
            </w:r>
          </w:p>
        </w:tc>
        <w:tc>
          <w:tcPr>
            <w:tcW w:w="674" w:type="pct"/>
            <w:tcBorders>
              <w:top w:val="single" w:sz="4" w:space="0" w:color="auto"/>
            </w:tcBorders>
            <w:shd w:val="clear" w:color="auto" w:fill="auto"/>
            <w:vAlign w:val="center"/>
            <w:hideMark/>
          </w:tcPr>
          <w:p w14:paraId="4244E43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w:t>
            </w:r>
          </w:p>
        </w:tc>
      </w:tr>
      <w:tr w:rsidR="00643B7B" w:rsidRPr="00643B7B" w14:paraId="72685D90" w14:textId="77777777" w:rsidTr="00643B7B">
        <w:trPr>
          <w:trHeight w:val="300"/>
        </w:trPr>
        <w:tc>
          <w:tcPr>
            <w:tcW w:w="176" w:type="pct"/>
            <w:shd w:val="clear" w:color="auto" w:fill="auto"/>
            <w:hideMark/>
          </w:tcPr>
          <w:p w14:paraId="6EE4B08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565416D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 </w:t>
            </w:r>
          </w:p>
        </w:tc>
        <w:tc>
          <w:tcPr>
            <w:tcW w:w="544" w:type="pct"/>
            <w:vMerge/>
            <w:shd w:val="clear" w:color="auto" w:fill="FBE4D5"/>
            <w:vAlign w:val="center"/>
            <w:hideMark/>
          </w:tcPr>
          <w:p w14:paraId="72FCDECA"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69FBDD6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7E6A63C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5281D60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59FDA32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06133915" w14:textId="77777777" w:rsidTr="00643B7B">
        <w:trPr>
          <w:trHeight w:val="1785"/>
        </w:trPr>
        <w:tc>
          <w:tcPr>
            <w:tcW w:w="176" w:type="pct"/>
            <w:tcBorders>
              <w:bottom w:val="single" w:sz="4" w:space="0" w:color="auto"/>
            </w:tcBorders>
            <w:shd w:val="clear" w:color="auto" w:fill="auto"/>
            <w:hideMark/>
          </w:tcPr>
          <w:p w14:paraId="28DA5413"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tcBorders>
              <w:bottom w:val="single" w:sz="4" w:space="0" w:color="auto"/>
            </w:tcBorders>
            <w:shd w:val="clear" w:color="auto" w:fill="auto"/>
            <w:hideMark/>
          </w:tcPr>
          <w:p w14:paraId="5AD832F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от дивидентите и ликвидационните дялове, разпределени в полза на чуждестранно юридическо лице, което е местно лице за данъчни цели на държава – членка на Европейския съюз, или на друга държава – страна по Споразумението за Европейското икономическо пространство и другите лица по чл. 194, ал. 3 от ЗКПО</w:t>
            </w:r>
          </w:p>
        </w:tc>
        <w:tc>
          <w:tcPr>
            <w:tcW w:w="544" w:type="pct"/>
            <w:vMerge/>
            <w:tcBorders>
              <w:bottom w:val="single" w:sz="4" w:space="0" w:color="auto"/>
            </w:tcBorders>
            <w:shd w:val="clear" w:color="auto" w:fill="FBE4D5"/>
            <w:vAlign w:val="center"/>
            <w:hideMark/>
          </w:tcPr>
          <w:p w14:paraId="33292F2A"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4E031F85"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w:t>
            </w:r>
          </w:p>
        </w:tc>
        <w:tc>
          <w:tcPr>
            <w:tcW w:w="674" w:type="pct"/>
            <w:tcBorders>
              <w:bottom w:val="single" w:sz="4" w:space="0" w:color="auto"/>
            </w:tcBorders>
            <w:shd w:val="clear" w:color="auto" w:fill="auto"/>
            <w:vAlign w:val="center"/>
            <w:hideMark/>
          </w:tcPr>
          <w:p w14:paraId="68DD132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0435615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0EE5199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r>
      <w:tr w:rsidR="00643B7B" w:rsidRPr="00643B7B" w14:paraId="40FAA514" w14:textId="77777777" w:rsidTr="00643B7B">
        <w:trPr>
          <w:trHeight w:val="510"/>
        </w:trPr>
        <w:tc>
          <w:tcPr>
            <w:tcW w:w="176" w:type="pct"/>
            <w:tcBorders>
              <w:top w:val="single" w:sz="4" w:space="0" w:color="auto"/>
            </w:tcBorders>
            <w:shd w:val="clear" w:color="auto" w:fill="auto"/>
            <w:hideMark/>
          </w:tcPr>
          <w:p w14:paraId="2A8186D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4.2.</w:t>
            </w:r>
          </w:p>
        </w:tc>
        <w:tc>
          <w:tcPr>
            <w:tcW w:w="1584" w:type="pct"/>
            <w:tcBorders>
              <w:top w:val="single" w:sz="4" w:space="0" w:color="auto"/>
            </w:tcBorders>
            <w:shd w:val="clear" w:color="auto" w:fill="auto"/>
            <w:hideMark/>
          </w:tcPr>
          <w:p w14:paraId="461EA00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Данък върху доходите на чуждестранни юридически лица</w:t>
            </w:r>
          </w:p>
        </w:tc>
        <w:tc>
          <w:tcPr>
            <w:tcW w:w="544" w:type="pct"/>
            <w:vMerge w:val="restart"/>
            <w:tcBorders>
              <w:top w:val="single" w:sz="4" w:space="0" w:color="auto"/>
            </w:tcBorders>
            <w:shd w:val="clear" w:color="auto" w:fill="FBE4D5"/>
            <w:vAlign w:val="center"/>
            <w:hideMark/>
          </w:tcPr>
          <w:p w14:paraId="1FEDEFA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vMerge w:val="restart"/>
            <w:tcBorders>
              <w:top w:val="single" w:sz="4" w:space="0" w:color="auto"/>
            </w:tcBorders>
            <w:shd w:val="clear" w:color="auto" w:fill="auto"/>
            <w:vAlign w:val="center"/>
            <w:hideMark/>
          </w:tcPr>
          <w:p w14:paraId="0610B677"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10</w:t>
            </w:r>
          </w:p>
        </w:tc>
        <w:tc>
          <w:tcPr>
            <w:tcW w:w="674" w:type="pct"/>
            <w:vMerge w:val="restart"/>
            <w:tcBorders>
              <w:top w:val="single" w:sz="4" w:space="0" w:color="auto"/>
            </w:tcBorders>
            <w:shd w:val="clear" w:color="auto" w:fill="auto"/>
            <w:vAlign w:val="center"/>
            <w:hideMark/>
          </w:tcPr>
          <w:p w14:paraId="4A3494F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vMerge w:val="restart"/>
            <w:tcBorders>
              <w:top w:val="single" w:sz="4" w:space="0" w:color="auto"/>
            </w:tcBorders>
            <w:shd w:val="clear" w:color="auto" w:fill="auto"/>
            <w:vAlign w:val="center"/>
            <w:hideMark/>
          </w:tcPr>
          <w:p w14:paraId="5E42FE1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vMerge w:val="restart"/>
            <w:tcBorders>
              <w:top w:val="single" w:sz="4" w:space="0" w:color="auto"/>
            </w:tcBorders>
            <w:shd w:val="clear" w:color="auto" w:fill="auto"/>
            <w:vAlign w:val="center"/>
            <w:hideMark/>
          </w:tcPr>
          <w:p w14:paraId="4B1A09E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r>
      <w:tr w:rsidR="00643B7B" w:rsidRPr="00643B7B" w14:paraId="65C58251" w14:textId="77777777" w:rsidTr="00643B7B">
        <w:trPr>
          <w:trHeight w:val="300"/>
        </w:trPr>
        <w:tc>
          <w:tcPr>
            <w:tcW w:w="176" w:type="pct"/>
            <w:shd w:val="clear" w:color="auto" w:fill="auto"/>
            <w:hideMark/>
          </w:tcPr>
          <w:p w14:paraId="6A9BD903"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77E145B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183D7B51" w14:textId="77777777" w:rsidR="00643B7B" w:rsidRPr="00643B7B" w:rsidRDefault="00643B7B" w:rsidP="00643B7B">
            <w:pPr>
              <w:spacing w:after="0"/>
              <w:jc w:val="left"/>
              <w:rPr>
                <w:rFonts w:eastAsia="Times New Roman" w:cs="Times New Roman"/>
                <w:sz w:val="20"/>
                <w:szCs w:val="20"/>
              </w:rPr>
            </w:pPr>
          </w:p>
        </w:tc>
        <w:tc>
          <w:tcPr>
            <w:tcW w:w="674" w:type="pct"/>
            <w:vMerge/>
            <w:shd w:val="clear" w:color="auto" w:fill="auto"/>
            <w:vAlign w:val="center"/>
            <w:hideMark/>
          </w:tcPr>
          <w:p w14:paraId="09B09E7B" w14:textId="77777777" w:rsidR="00643B7B" w:rsidRPr="00643B7B" w:rsidRDefault="00643B7B" w:rsidP="00643B7B">
            <w:pPr>
              <w:spacing w:after="0"/>
              <w:jc w:val="left"/>
              <w:rPr>
                <w:rFonts w:eastAsia="Times New Roman" w:cs="Times New Roman"/>
                <w:i/>
                <w:iCs/>
                <w:sz w:val="20"/>
                <w:szCs w:val="20"/>
              </w:rPr>
            </w:pPr>
          </w:p>
        </w:tc>
        <w:tc>
          <w:tcPr>
            <w:tcW w:w="674" w:type="pct"/>
            <w:vMerge/>
            <w:shd w:val="clear" w:color="auto" w:fill="auto"/>
            <w:vAlign w:val="center"/>
            <w:hideMark/>
          </w:tcPr>
          <w:p w14:paraId="57BC962B" w14:textId="77777777" w:rsidR="00643B7B" w:rsidRPr="00643B7B" w:rsidRDefault="00643B7B" w:rsidP="00643B7B">
            <w:pPr>
              <w:spacing w:after="0"/>
              <w:jc w:val="left"/>
              <w:rPr>
                <w:rFonts w:eastAsia="Times New Roman" w:cs="Times New Roman"/>
                <w:sz w:val="20"/>
                <w:szCs w:val="20"/>
              </w:rPr>
            </w:pPr>
          </w:p>
        </w:tc>
        <w:tc>
          <w:tcPr>
            <w:tcW w:w="674" w:type="pct"/>
            <w:vMerge/>
            <w:shd w:val="clear" w:color="auto" w:fill="auto"/>
            <w:vAlign w:val="center"/>
            <w:hideMark/>
          </w:tcPr>
          <w:p w14:paraId="78D9E661" w14:textId="77777777" w:rsidR="00643B7B" w:rsidRPr="00643B7B" w:rsidRDefault="00643B7B" w:rsidP="00643B7B">
            <w:pPr>
              <w:spacing w:after="0"/>
              <w:jc w:val="left"/>
              <w:rPr>
                <w:rFonts w:eastAsia="Times New Roman" w:cs="Times New Roman"/>
                <w:sz w:val="20"/>
                <w:szCs w:val="20"/>
              </w:rPr>
            </w:pPr>
          </w:p>
        </w:tc>
        <w:tc>
          <w:tcPr>
            <w:tcW w:w="674" w:type="pct"/>
            <w:vMerge/>
            <w:shd w:val="clear" w:color="auto" w:fill="auto"/>
            <w:vAlign w:val="center"/>
            <w:hideMark/>
          </w:tcPr>
          <w:p w14:paraId="5A68139E" w14:textId="77777777" w:rsidR="00643B7B" w:rsidRPr="00643B7B" w:rsidRDefault="00643B7B" w:rsidP="00643B7B">
            <w:pPr>
              <w:spacing w:after="0"/>
              <w:jc w:val="left"/>
              <w:rPr>
                <w:rFonts w:eastAsia="Times New Roman" w:cs="Times New Roman"/>
                <w:sz w:val="20"/>
                <w:szCs w:val="20"/>
              </w:rPr>
            </w:pPr>
          </w:p>
        </w:tc>
      </w:tr>
      <w:tr w:rsidR="00643B7B" w:rsidRPr="00643B7B" w14:paraId="3BAE229B" w14:textId="77777777" w:rsidTr="00643B7B">
        <w:trPr>
          <w:trHeight w:val="1020"/>
        </w:trPr>
        <w:tc>
          <w:tcPr>
            <w:tcW w:w="176" w:type="pct"/>
            <w:tcBorders>
              <w:bottom w:val="single" w:sz="4" w:space="0" w:color="auto"/>
            </w:tcBorders>
            <w:shd w:val="clear" w:color="auto" w:fill="auto"/>
            <w:hideMark/>
          </w:tcPr>
          <w:p w14:paraId="6525492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tcBorders>
              <w:bottom w:val="single" w:sz="4" w:space="0" w:color="auto"/>
            </w:tcBorders>
            <w:shd w:val="clear" w:color="auto" w:fill="auto"/>
            <w:hideMark/>
          </w:tcPr>
          <w:p w14:paraId="6274FE77"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Данъчна ставка за данъка върху доходите от лихви, авторски и лицензионни възнаграждения, когато са изпълнени допълнителните условия по чл. 195, ал. 7-12 от Закона за корпоративното подоходно облагане</w:t>
            </w:r>
          </w:p>
        </w:tc>
        <w:tc>
          <w:tcPr>
            <w:tcW w:w="544" w:type="pct"/>
            <w:vMerge/>
            <w:tcBorders>
              <w:bottom w:val="single" w:sz="4" w:space="0" w:color="auto"/>
            </w:tcBorders>
            <w:shd w:val="clear" w:color="auto" w:fill="FBE4D5"/>
            <w:vAlign w:val="center"/>
            <w:hideMark/>
          </w:tcPr>
          <w:p w14:paraId="3D530122"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345F5064"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w:t>
            </w:r>
          </w:p>
        </w:tc>
        <w:tc>
          <w:tcPr>
            <w:tcW w:w="674" w:type="pct"/>
            <w:tcBorders>
              <w:bottom w:val="single" w:sz="4" w:space="0" w:color="auto"/>
            </w:tcBorders>
            <w:shd w:val="clear" w:color="auto" w:fill="auto"/>
            <w:vAlign w:val="center"/>
            <w:hideMark/>
          </w:tcPr>
          <w:p w14:paraId="479BDA6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4116859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c>
          <w:tcPr>
            <w:tcW w:w="674" w:type="pct"/>
            <w:tcBorders>
              <w:bottom w:val="single" w:sz="4" w:space="0" w:color="auto"/>
            </w:tcBorders>
            <w:shd w:val="clear" w:color="auto" w:fill="auto"/>
            <w:vAlign w:val="center"/>
            <w:hideMark/>
          </w:tcPr>
          <w:p w14:paraId="181012C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r>
      <w:tr w:rsidR="00643B7B" w:rsidRPr="00643B7B" w14:paraId="64B979C1" w14:textId="77777777" w:rsidTr="00643B7B">
        <w:trPr>
          <w:trHeight w:val="300"/>
        </w:trPr>
        <w:tc>
          <w:tcPr>
            <w:tcW w:w="176" w:type="pct"/>
            <w:tcBorders>
              <w:top w:val="single" w:sz="4" w:space="0" w:color="auto"/>
            </w:tcBorders>
            <w:shd w:val="clear" w:color="auto" w:fill="auto"/>
            <w:hideMark/>
          </w:tcPr>
          <w:p w14:paraId="22726FE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5.</w:t>
            </w:r>
          </w:p>
        </w:tc>
        <w:tc>
          <w:tcPr>
            <w:tcW w:w="1584" w:type="pct"/>
            <w:tcBorders>
              <w:top w:val="single" w:sz="4" w:space="0" w:color="auto"/>
            </w:tcBorders>
            <w:shd w:val="clear" w:color="auto" w:fill="auto"/>
            <w:hideMark/>
          </w:tcPr>
          <w:p w14:paraId="1B3A9681"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Данък върху разходите</w:t>
            </w:r>
          </w:p>
        </w:tc>
        <w:tc>
          <w:tcPr>
            <w:tcW w:w="544" w:type="pct"/>
            <w:vMerge w:val="restart"/>
            <w:tcBorders>
              <w:top w:val="single" w:sz="4" w:space="0" w:color="auto"/>
            </w:tcBorders>
            <w:shd w:val="clear" w:color="auto" w:fill="FBE4D5"/>
            <w:vAlign w:val="center"/>
            <w:hideMark/>
          </w:tcPr>
          <w:p w14:paraId="31AC9A3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tcBorders>
            <w:shd w:val="clear" w:color="auto" w:fill="auto"/>
            <w:vAlign w:val="center"/>
            <w:hideMark/>
          </w:tcPr>
          <w:p w14:paraId="45A4470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10</w:t>
            </w:r>
          </w:p>
        </w:tc>
        <w:tc>
          <w:tcPr>
            <w:tcW w:w="674" w:type="pct"/>
            <w:tcBorders>
              <w:top w:val="single" w:sz="4" w:space="0" w:color="auto"/>
            </w:tcBorders>
            <w:shd w:val="clear" w:color="auto" w:fill="auto"/>
            <w:vAlign w:val="center"/>
            <w:hideMark/>
          </w:tcPr>
          <w:p w14:paraId="4A44DF3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tcBorders>
              <w:top w:val="single" w:sz="4" w:space="0" w:color="auto"/>
            </w:tcBorders>
            <w:shd w:val="clear" w:color="auto" w:fill="auto"/>
            <w:vAlign w:val="center"/>
            <w:hideMark/>
          </w:tcPr>
          <w:p w14:paraId="4F33D90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c>
          <w:tcPr>
            <w:tcW w:w="674" w:type="pct"/>
            <w:tcBorders>
              <w:top w:val="single" w:sz="4" w:space="0" w:color="auto"/>
            </w:tcBorders>
            <w:shd w:val="clear" w:color="auto" w:fill="auto"/>
            <w:vAlign w:val="center"/>
            <w:hideMark/>
          </w:tcPr>
          <w:p w14:paraId="1319ED8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w:t>
            </w:r>
          </w:p>
        </w:tc>
      </w:tr>
      <w:tr w:rsidR="00643B7B" w:rsidRPr="00643B7B" w14:paraId="670C5D93" w14:textId="77777777" w:rsidTr="00643B7B">
        <w:trPr>
          <w:trHeight w:val="300"/>
        </w:trPr>
        <w:tc>
          <w:tcPr>
            <w:tcW w:w="176" w:type="pct"/>
            <w:shd w:val="clear" w:color="auto" w:fill="auto"/>
            <w:hideMark/>
          </w:tcPr>
          <w:p w14:paraId="3A80BFA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78460C2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 </w:t>
            </w:r>
          </w:p>
        </w:tc>
        <w:tc>
          <w:tcPr>
            <w:tcW w:w="544" w:type="pct"/>
            <w:vMerge/>
            <w:shd w:val="clear" w:color="auto" w:fill="FBE4D5"/>
            <w:vAlign w:val="center"/>
            <w:hideMark/>
          </w:tcPr>
          <w:p w14:paraId="324D8991"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63A33F2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08BA1C2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66D6B00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552AD3C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3988C5E3" w14:textId="77777777" w:rsidTr="00D97B1D">
        <w:trPr>
          <w:trHeight w:val="300"/>
        </w:trPr>
        <w:tc>
          <w:tcPr>
            <w:tcW w:w="176" w:type="pct"/>
            <w:tcBorders>
              <w:bottom w:val="single" w:sz="4" w:space="0" w:color="auto"/>
            </w:tcBorders>
            <w:shd w:val="clear" w:color="auto" w:fill="auto"/>
            <w:hideMark/>
          </w:tcPr>
          <w:p w14:paraId="606EC52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tcBorders>
              <w:bottom w:val="single" w:sz="4" w:space="0" w:color="auto"/>
            </w:tcBorders>
            <w:shd w:val="clear" w:color="auto" w:fill="auto"/>
            <w:noWrap/>
            <w:vAlign w:val="bottom"/>
            <w:hideMark/>
          </w:tcPr>
          <w:p w14:paraId="148DCFC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Данък върху разходите в натура</w:t>
            </w:r>
          </w:p>
        </w:tc>
        <w:tc>
          <w:tcPr>
            <w:tcW w:w="544" w:type="pct"/>
            <w:vMerge/>
            <w:tcBorders>
              <w:bottom w:val="single" w:sz="4" w:space="0" w:color="auto"/>
            </w:tcBorders>
            <w:shd w:val="clear" w:color="auto" w:fill="FBE4D5"/>
            <w:vAlign w:val="center"/>
            <w:hideMark/>
          </w:tcPr>
          <w:p w14:paraId="1F687C4E"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0675779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w:t>
            </w:r>
          </w:p>
        </w:tc>
        <w:tc>
          <w:tcPr>
            <w:tcW w:w="674" w:type="pct"/>
            <w:tcBorders>
              <w:bottom w:val="single" w:sz="4" w:space="0" w:color="auto"/>
            </w:tcBorders>
            <w:shd w:val="clear" w:color="auto" w:fill="auto"/>
            <w:vAlign w:val="center"/>
            <w:hideMark/>
          </w:tcPr>
          <w:p w14:paraId="637A42C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w:t>
            </w:r>
          </w:p>
        </w:tc>
        <w:tc>
          <w:tcPr>
            <w:tcW w:w="674" w:type="pct"/>
            <w:tcBorders>
              <w:bottom w:val="single" w:sz="4" w:space="0" w:color="auto"/>
            </w:tcBorders>
            <w:shd w:val="clear" w:color="auto" w:fill="auto"/>
            <w:vAlign w:val="center"/>
            <w:hideMark/>
          </w:tcPr>
          <w:p w14:paraId="6460EBD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w:t>
            </w:r>
          </w:p>
        </w:tc>
        <w:tc>
          <w:tcPr>
            <w:tcW w:w="674" w:type="pct"/>
            <w:tcBorders>
              <w:bottom w:val="single" w:sz="4" w:space="0" w:color="auto"/>
            </w:tcBorders>
            <w:shd w:val="clear" w:color="auto" w:fill="auto"/>
            <w:vAlign w:val="center"/>
            <w:hideMark/>
          </w:tcPr>
          <w:p w14:paraId="75437FB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w:t>
            </w:r>
          </w:p>
        </w:tc>
      </w:tr>
      <w:tr w:rsidR="00643B7B" w:rsidRPr="00643B7B" w14:paraId="6BC2B96A" w14:textId="77777777" w:rsidTr="00D97B1D">
        <w:trPr>
          <w:trHeight w:val="765"/>
        </w:trPr>
        <w:tc>
          <w:tcPr>
            <w:tcW w:w="176" w:type="pct"/>
            <w:tcBorders>
              <w:top w:val="single" w:sz="4" w:space="0" w:color="auto"/>
              <w:bottom w:val="single" w:sz="4" w:space="0" w:color="auto"/>
            </w:tcBorders>
            <w:shd w:val="clear" w:color="auto" w:fill="auto"/>
            <w:hideMark/>
          </w:tcPr>
          <w:p w14:paraId="4F1C66E9"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6.</w:t>
            </w:r>
          </w:p>
        </w:tc>
        <w:tc>
          <w:tcPr>
            <w:tcW w:w="1584" w:type="pct"/>
            <w:tcBorders>
              <w:top w:val="single" w:sz="4" w:space="0" w:color="auto"/>
              <w:bottom w:val="single" w:sz="4" w:space="0" w:color="auto"/>
            </w:tcBorders>
            <w:shd w:val="clear" w:color="auto" w:fill="auto"/>
            <w:hideMark/>
          </w:tcPr>
          <w:p w14:paraId="0FA4E37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Данък върху хазартната дейност от игри, при които залогът за участие е чрез цената на телефонна или друга електронна съобщителна услуга (основна ставка)</w:t>
            </w:r>
          </w:p>
        </w:tc>
        <w:tc>
          <w:tcPr>
            <w:tcW w:w="544" w:type="pct"/>
            <w:tcBorders>
              <w:top w:val="single" w:sz="4" w:space="0" w:color="auto"/>
              <w:bottom w:val="single" w:sz="4" w:space="0" w:color="auto"/>
            </w:tcBorders>
            <w:shd w:val="clear" w:color="auto" w:fill="FBE4D5"/>
            <w:vAlign w:val="center"/>
            <w:hideMark/>
          </w:tcPr>
          <w:p w14:paraId="43B8335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0C97416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w:t>
            </w:r>
          </w:p>
        </w:tc>
        <w:tc>
          <w:tcPr>
            <w:tcW w:w="674" w:type="pct"/>
            <w:tcBorders>
              <w:top w:val="single" w:sz="4" w:space="0" w:color="auto"/>
              <w:bottom w:val="single" w:sz="4" w:space="0" w:color="auto"/>
            </w:tcBorders>
            <w:shd w:val="clear" w:color="auto" w:fill="auto"/>
            <w:vAlign w:val="center"/>
            <w:hideMark/>
          </w:tcPr>
          <w:p w14:paraId="21B5560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c>
          <w:tcPr>
            <w:tcW w:w="674" w:type="pct"/>
            <w:tcBorders>
              <w:top w:val="single" w:sz="4" w:space="0" w:color="auto"/>
              <w:bottom w:val="single" w:sz="4" w:space="0" w:color="auto"/>
            </w:tcBorders>
            <w:shd w:val="clear" w:color="auto" w:fill="auto"/>
            <w:vAlign w:val="center"/>
            <w:hideMark/>
          </w:tcPr>
          <w:p w14:paraId="44B302B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c>
          <w:tcPr>
            <w:tcW w:w="674" w:type="pct"/>
            <w:tcBorders>
              <w:top w:val="single" w:sz="4" w:space="0" w:color="auto"/>
              <w:bottom w:val="single" w:sz="4" w:space="0" w:color="auto"/>
            </w:tcBorders>
            <w:shd w:val="clear" w:color="auto" w:fill="auto"/>
            <w:vAlign w:val="center"/>
            <w:hideMark/>
          </w:tcPr>
          <w:p w14:paraId="227B359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w:t>
            </w:r>
          </w:p>
        </w:tc>
      </w:tr>
      <w:tr w:rsidR="00643B7B" w:rsidRPr="00643B7B" w14:paraId="1CEADE9D" w14:textId="77777777" w:rsidTr="00643B7B">
        <w:trPr>
          <w:trHeight w:val="300"/>
        </w:trPr>
        <w:tc>
          <w:tcPr>
            <w:tcW w:w="176" w:type="pct"/>
            <w:tcBorders>
              <w:top w:val="single" w:sz="4" w:space="0" w:color="auto"/>
            </w:tcBorders>
            <w:shd w:val="clear" w:color="auto" w:fill="auto"/>
            <w:hideMark/>
          </w:tcPr>
          <w:p w14:paraId="28500B2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7.</w:t>
            </w:r>
          </w:p>
        </w:tc>
        <w:tc>
          <w:tcPr>
            <w:tcW w:w="1584" w:type="pct"/>
            <w:tcBorders>
              <w:top w:val="single" w:sz="4" w:space="0" w:color="auto"/>
            </w:tcBorders>
            <w:shd w:val="clear" w:color="auto" w:fill="auto"/>
            <w:hideMark/>
          </w:tcPr>
          <w:p w14:paraId="21C7889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Данък върху приходите на бюджетни предприятия</w:t>
            </w:r>
          </w:p>
        </w:tc>
        <w:tc>
          <w:tcPr>
            <w:tcW w:w="544" w:type="pct"/>
            <w:vMerge w:val="restart"/>
            <w:tcBorders>
              <w:top w:val="single" w:sz="4" w:space="0" w:color="auto"/>
            </w:tcBorders>
            <w:shd w:val="clear" w:color="auto" w:fill="FBE4D5"/>
            <w:vAlign w:val="center"/>
            <w:hideMark/>
          </w:tcPr>
          <w:p w14:paraId="7ECFEB0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tcBorders>
            <w:shd w:val="clear" w:color="auto" w:fill="auto"/>
            <w:vAlign w:val="center"/>
            <w:hideMark/>
          </w:tcPr>
          <w:p w14:paraId="0977A9F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w:t>
            </w:r>
          </w:p>
        </w:tc>
        <w:tc>
          <w:tcPr>
            <w:tcW w:w="674" w:type="pct"/>
            <w:tcBorders>
              <w:top w:val="single" w:sz="4" w:space="0" w:color="auto"/>
            </w:tcBorders>
            <w:shd w:val="clear" w:color="auto" w:fill="auto"/>
            <w:vAlign w:val="center"/>
            <w:hideMark/>
          </w:tcPr>
          <w:p w14:paraId="4EC0DE9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w:t>
            </w:r>
          </w:p>
        </w:tc>
        <w:tc>
          <w:tcPr>
            <w:tcW w:w="674" w:type="pct"/>
            <w:tcBorders>
              <w:top w:val="single" w:sz="4" w:space="0" w:color="auto"/>
            </w:tcBorders>
            <w:shd w:val="clear" w:color="auto" w:fill="auto"/>
            <w:vAlign w:val="center"/>
            <w:hideMark/>
          </w:tcPr>
          <w:p w14:paraId="58275F7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w:t>
            </w:r>
          </w:p>
        </w:tc>
        <w:tc>
          <w:tcPr>
            <w:tcW w:w="674" w:type="pct"/>
            <w:tcBorders>
              <w:top w:val="single" w:sz="4" w:space="0" w:color="auto"/>
            </w:tcBorders>
            <w:shd w:val="clear" w:color="auto" w:fill="auto"/>
            <w:vAlign w:val="center"/>
            <w:hideMark/>
          </w:tcPr>
          <w:p w14:paraId="7985CBD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w:t>
            </w:r>
          </w:p>
        </w:tc>
      </w:tr>
      <w:tr w:rsidR="00643B7B" w:rsidRPr="00643B7B" w14:paraId="0073DEAB" w14:textId="77777777" w:rsidTr="00643B7B">
        <w:trPr>
          <w:trHeight w:val="300"/>
        </w:trPr>
        <w:tc>
          <w:tcPr>
            <w:tcW w:w="176" w:type="pct"/>
            <w:shd w:val="clear" w:color="auto" w:fill="auto"/>
            <w:hideMark/>
          </w:tcPr>
          <w:p w14:paraId="796AF44A"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172AB11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5BD9BE03"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B5B6B6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0D353BD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4E45A1F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60643C8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13337766" w14:textId="77777777" w:rsidTr="00643B7B">
        <w:trPr>
          <w:trHeight w:val="300"/>
        </w:trPr>
        <w:tc>
          <w:tcPr>
            <w:tcW w:w="176" w:type="pct"/>
            <w:tcBorders>
              <w:bottom w:val="single" w:sz="4" w:space="0" w:color="auto"/>
            </w:tcBorders>
            <w:shd w:val="clear" w:color="auto" w:fill="auto"/>
            <w:hideMark/>
          </w:tcPr>
          <w:p w14:paraId="7831F9BE"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tcBorders>
              <w:bottom w:val="single" w:sz="4" w:space="0" w:color="auto"/>
            </w:tcBorders>
            <w:shd w:val="clear" w:color="auto" w:fill="auto"/>
            <w:hideMark/>
          </w:tcPr>
          <w:p w14:paraId="3046F3F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на общините</w:t>
            </w:r>
          </w:p>
        </w:tc>
        <w:tc>
          <w:tcPr>
            <w:tcW w:w="544" w:type="pct"/>
            <w:vMerge/>
            <w:tcBorders>
              <w:bottom w:val="single" w:sz="4" w:space="0" w:color="auto"/>
            </w:tcBorders>
            <w:shd w:val="clear" w:color="auto" w:fill="FBE4D5"/>
            <w:vAlign w:val="center"/>
            <w:hideMark/>
          </w:tcPr>
          <w:p w14:paraId="2D0B5A53"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2794F014"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w:t>
            </w:r>
          </w:p>
        </w:tc>
        <w:tc>
          <w:tcPr>
            <w:tcW w:w="674" w:type="pct"/>
            <w:tcBorders>
              <w:bottom w:val="single" w:sz="4" w:space="0" w:color="auto"/>
            </w:tcBorders>
            <w:shd w:val="clear" w:color="auto" w:fill="auto"/>
            <w:vAlign w:val="center"/>
            <w:hideMark/>
          </w:tcPr>
          <w:p w14:paraId="17CB058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w:t>
            </w:r>
          </w:p>
        </w:tc>
        <w:tc>
          <w:tcPr>
            <w:tcW w:w="674" w:type="pct"/>
            <w:tcBorders>
              <w:bottom w:val="single" w:sz="4" w:space="0" w:color="auto"/>
            </w:tcBorders>
            <w:shd w:val="clear" w:color="auto" w:fill="auto"/>
            <w:vAlign w:val="center"/>
            <w:hideMark/>
          </w:tcPr>
          <w:p w14:paraId="629F28B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w:t>
            </w:r>
          </w:p>
        </w:tc>
        <w:tc>
          <w:tcPr>
            <w:tcW w:w="674" w:type="pct"/>
            <w:tcBorders>
              <w:bottom w:val="single" w:sz="4" w:space="0" w:color="auto"/>
            </w:tcBorders>
            <w:shd w:val="clear" w:color="auto" w:fill="auto"/>
            <w:vAlign w:val="center"/>
            <w:hideMark/>
          </w:tcPr>
          <w:p w14:paraId="0EE8C75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w:t>
            </w:r>
          </w:p>
        </w:tc>
      </w:tr>
      <w:tr w:rsidR="00643B7B" w:rsidRPr="00643B7B" w14:paraId="04CA0D66" w14:textId="77777777" w:rsidTr="00643B7B">
        <w:trPr>
          <w:trHeight w:val="300"/>
        </w:trPr>
        <w:tc>
          <w:tcPr>
            <w:tcW w:w="176" w:type="pct"/>
            <w:tcBorders>
              <w:top w:val="single" w:sz="4" w:space="0" w:color="auto"/>
            </w:tcBorders>
            <w:shd w:val="clear" w:color="auto" w:fill="auto"/>
            <w:hideMark/>
          </w:tcPr>
          <w:p w14:paraId="38783908"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w:t>
            </w:r>
          </w:p>
        </w:tc>
        <w:tc>
          <w:tcPr>
            <w:tcW w:w="1584" w:type="pct"/>
            <w:tcBorders>
              <w:top w:val="single" w:sz="4" w:space="0" w:color="auto"/>
            </w:tcBorders>
            <w:shd w:val="clear" w:color="auto" w:fill="auto"/>
            <w:hideMark/>
          </w:tcPr>
          <w:p w14:paraId="7730AB7D"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Акцизи</w:t>
            </w:r>
          </w:p>
        </w:tc>
        <w:tc>
          <w:tcPr>
            <w:tcW w:w="544" w:type="pct"/>
            <w:tcBorders>
              <w:top w:val="single" w:sz="4" w:space="0" w:color="auto"/>
            </w:tcBorders>
            <w:shd w:val="clear" w:color="auto" w:fill="FBE4D5"/>
            <w:vAlign w:val="center"/>
            <w:hideMark/>
          </w:tcPr>
          <w:p w14:paraId="212FD47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42F6D56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12650FF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4A22E1E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374247D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1CFF6CA3" w14:textId="77777777" w:rsidTr="00643B7B">
        <w:trPr>
          <w:trHeight w:val="300"/>
        </w:trPr>
        <w:tc>
          <w:tcPr>
            <w:tcW w:w="176" w:type="pct"/>
            <w:shd w:val="clear" w:color="auto" w:fill="auto"/>
            <w:hideMark/>
          </w:tcPr>
          <w:p w14:paraId="5670A7D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3AE2EBB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shd w:val="clear" w:color="auto" w:fill="FBE4D5"/>
            <w:vAlign w:val="center"/>
            <w:hideMark/>
          </w:tcPr>
          <w:p w14:paraId="2E7ACAA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37BDB227"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0368463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525A100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6425E64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6C2BF676" w14:textId="77777777" w:rsidTr="00643B7B">
        <w:trPr>
          <w:trHeight w:val="300"/>
        </w:trPr>
        <w:tc>
          <w:tcPr>
            <w:tcW w:w="176" w:type="pct"/>
            <w:shd w:val="clear" w:color="auto" w:fill="auto"/>
            <w:hideMark/>
          </w:tcPr>
          <w:p w14:paraId="0DF769F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w:t>
            </w:r>
          </w:p>
        </w:tc>
        <w:tc>
          <w:tcPr>
            <w:tcW w:w="1584" w:type="pct"/>
            <w:shd w:val="clear" w:color="auto" w:fill="auto"/>
            <w:hideMark/>
          </w:tcPr>
          <w:p w14:paraId="67A88D14"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безоловен бензин</w:t>
            </w:r>
          </w:p>
        </w:tc>
        <w:tc>
          <w:tcPr>
            <w:tcW w:w="544" w:type="pct"/>
            <w:shd w:val="clear" w:color="auto" w:fill="FBE4D5"/>
            <w:vAlign w:val="center"/>
            <w:hideMark/>
          </w:tcPr>
          <w:p w14:paraId="4839377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евро/1000 л.</w:t>
            </w:r>
          </w:p>
        </w:tc>
        <w:tc>
          <w:tcPr>
            <w:tcW w:w="674" w:type="pct"/>
            <w:shd w:val="clear" w:color="auto" w:fill="auto"/>
            <w:vAlign w:val="center"/>
            <w:hideMark/>
          </w:tcPr>
          <w:p w14:paraId="5612C6F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363,02 евро/1000 л.</w:t>
            </w:r>
          </w:p>
        </w:tc>
        <w:tc>
          <w:tcPr>
            <w:tcW w:w="674" w:type="pct"/>
            <w:shd w:val="clear" w:color="auto" w:fill="auto"/>
            <w:vAlign w:val="center"/>
            <w:hideMark/>
          </w:tcPr>
          <w:p w14:paraId="29671A8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363,02 евро/1000 л.</w:t>
            </w:r>
          </w:p>
        </w:tc>
        <w:tc>
          <w:tcPr>
            <w:tcW w:w="674" w:type="pct"/>
            <w:shd w:val="clear" w:color="auto" w:fill="auto"/>
            <w:vAlign w:val="center"/>
            <w:hideMark/>
          </w:tcPr>
          <w:p w14:paraId="7371034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363,02 евро/1000 л.</w:t>
            </w:r>
          </w:p>
        </w:tc>
        <w:tc>
          <w:tcPr>
            <w:tcW w:w="674" w:type="pct"/>
            <w:shd w:val="clear" w:color="auto" w:fill="auto"/>
            <w:vAlign w:val="center"/>
            <w:hideMark/>
          </w:tcPr>
          <w:p w14:paraId="5198C0D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363,02 евро/1000 л.</w:t>
            </w:r>
          </w:p>
        </w:tc>
      </w:tr>
      <w:tr w:rsidR="00643B7B" w:rsidRPr="00643B7B" w14:paraId="32927B4D" w14:textId="77777777" w:rsidTr="00643B7B">
        <w:trPr>
          <w:trHeight w:val="510"/>
        </w:trPr>
        <w:tc>
          <w:tcPr>
            <w:tcW w:w="176" w:type="pct"/>
            <w:tcBorders>
              <w:bottom w:val="single" w:sz="4" w:space="0" w:color="auto"/>
            </w:tcBorders>
            <w:shd w:val="clear" w:color="auto" w:fill="auto"/>
            <w:hideMark/>
          </w:tcPr>
          <w:p w14:paraId="6D9B09B2"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8.2.</w:t>
            </w:r>
          </w:p>
        </w:tc>
        <w:tc>
          <w:tcPr>
            <w:tcW w:w="1584" w:type="pct"/>
            <w:tcBorders>
              <w:bottom w:val="single" w:sz="4" w:space="0" w:color="auto"/>
            </w:tcBorders>
            <w:shd w:val="clear" w:color="auto" w:fill="auto"/>
            <w:hideMark/>
          </w:tcPr>
          <w:p w14:paraId="6FCFE32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газьол (в т.ч. използван и като гориво за отопление)</w:t>
            </w:r>
          </w:p>
        </w:tc>
        <w:tc>
          <w:tcPr>
            <w:tcW w:w="544" w:type="pct"/>
            <w:tcBorders>
              <w:bottom w:val="single" w:sz="4" w:space="0" w:color="auto"/>
            </w:tcBorders>
            <w:shd w:val="clear" w:color="auto" w:fill="FBE4D5"/>
            <w:vAlign w:val="center"/>
            <w:hideMark/>
          </w:tcPr>
          <w:p w14:paraId="154B3CB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евро/1000 л.</w:t>
            </w:r>
          </w:p>
        </w:tc>
        <w:tc>
          <w:tcPr>
            <w:tcW w:w="674" w:type="pct"/>
            <w:tcBorders>
              <w:bottom w:val="single" w:sz="4" w:space="0" w:color="auto"/>
            </w:tcBorders>
            <w:shd w:val="clear" w:color="auto" w:fill="auto"/>
            <w:vAlign w:val="center"/>
            <w:hideMark/>
          </w:tcPr>
          <w:p w14:paraId="0266278F"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330,29 евро/1000 л.</w:t>
            </w:r>
          </w:p>
        </w:tc>
        <w:tc>
          <w:tcPr>
            <w:tcW w:w="674" w:type="pct"/>
            <w:tcBorders>
              <w:bottom w:val="single" w:sz="4" w:space="0" w:color="auto"/>
            </w:tcBorders>
            <w:shd w:val="clear" w:color="auto" w:fill="auto"/>
            <w:vAlign w:val="center"/>
            <w:hideMark/>
          </w:tcPr>
          <w:p w14:paraId="240846F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л.</w:t>
            </w:r>
          </w:p>
        </w:tc>
        <w:tc>
          <w:tcPr>
            <w:tcW w:w="674" w:type="pct"/>
            <w:tcBorders>
              <w:bottom w:val="single" w:sz="4" w:space="0" w:color="auto"/>
            </w:tcBorders>
            <w:shd w:val="clear" w:color="auto" w:fill="auto"/>
            <w:vAlign w:val="center"/>
            <w:hideMark/>
          </w:tcPr>
          <w:p w14:paraId="6C96ECB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л.</w:t>
            </w:r>
          </w:p>
        </w:tc>
        <w:tc>
          <w:tcPr>
            <w:tcW w:w="674" w:type="pct"/>
            <w:tcBorders>
              <w:bottom w:val="single" w:sz="4" w:space="0" w:color="auto"/>
            </w:tcBorders>
            <w:shd w:val="clear" w:color="auto" w:fill="auto"/>
            <w:vAlign w:val="center"/>
            <w:hideMark/>
          </w:tcPr>
          <w:p w14:paraId="7503EC7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л.</w:t>
            </w:r>
          </w:p>
        </w:tc>
      </w:tr>
      <w:tr w:rsidR="00643B7B" w:rsidRPr="00643B7B" w14:paraId="3677E882" w14:textId="77777777" w:rsidTr="00643B7B">
        <w:trPr>
          <w:trHeight w:val="300"/>
        </w:trPr>
        <w:tc>
          <w:tcPr>
            <w:tcW w:w="176" w:type="pct"/>
            <w:vMerge w:val="restart"/>
            <w:tcBorders>
              <w:top w:val="single" w:sz="4" w:space="0" w:color="auto"/>
            </w:tcBorders>
            <w:shd w:val="clear" w:color="auto" w:fill="auto"/>
            <w:hideMark/>
          </w:tcPr>
          <w:p w14:paraId="3891012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lastRenderedPageBreak/>
              <w:t>8.3.</w:t>
            </w:r>
          </w:p>
        </w:tc>
        <w:tc>
          <w:tcPr>
            <w:tcW w:w="1584" w:type="pct"/>
            <w:tcBorders>
              <w:top w:val="single" w:sz="4" w:space="0" w:color="auto"/>
            </w:tcBorders>
            <w:shd w:val="clear" w:color="auto" w:fill="auto"/>
            <w:hideMark/>
          </w:tcPr>
          <w:p w14:paraId="2DE525C2"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втечнен нефтен газ (LPG)</w:t>
            </w:r>
          </w:p>
        </w:tc>
        <w:tc>
          <w:tcPr>
            <w:tcW w:w="544" w:type="pct"/>
            <w:vMerge w:val="restart"/>
            <w:tcBorders>
              <w:top w:val="single" w:sz="4" w:space="0" w:color="auto"/>
            </w:tcBorders>
            <w:shd w:val="clear" w:color="auto" w:fill="FBE4D5"/>
            <w:vAlign w:val="center"/>
            <w:hideMark/>
          </w:tcPr>
          <w:p w14:paraId="4AE643F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евро/1000 л.</w:t>
            </w:r>
          </w:p>
        </w:tc>
        <w:tc>
          <w:tcPr>
            <w:tcW w:w="674" w:type="pct"/>
            <w:tcBorders>
              <w:top w:val="single" w:sz="4" w:space="0" w:color="auto"/>
            </w:tcBorders>
            <w:shd w:val="clear" w:color="auto" w:fill="auto"/>
            <w:vAlign w:val="center"/>
            <w:hideMark/>
          </w:tcPr>
          <w:p w14:paraId="7ECB29C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530FCF6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209571B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203899F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45C3E807" w14:textId="77777777" w:rsidTr="00643B7B">
        <w:trPr>
          <w:trHeight w:val="300"/>
        </w:trPr>
        <w:tc>
          <w:tcPr>
            <w:tcW w:w="176" w:type="pct"/>
            <w:vMerge/>
            <w:vAlign w:val="center"/>
            <w:hideMark/>
          </w:tcPr>
          <w:p w14:paraId="311F9127"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noWrap/>
            <w:hideMark/>
          </w:tcPr>
          <w:p w14:paraId="23105B6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 като моторно гориво</w:t>
            </w:r>
          </w:p>
        </w:tc>
        <w:tc>
          <w:tcPr>
            <w:tcW w:w="544" w:type="pct"/>
            <w:vMerge/>
            <w:shd w:val="clear" w:color="auto" w:fill="FBE4D5"/>
            <w:vAlign w:val="center"/>
            <w:hideMark/>
          </w:tcPr>
          <w:p w14:paraId="458FA79B"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331DC4B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173,84 евро/1000 л.</w:t>
            </w:r>
          </w:p>
        </w:tc>
        <w:tc>
          <w:tcPr>
            <w:tcW w:w="674" w:type="pct"/>
            <w:shd w:val="clear" w:color="auto" w:fill="auto"/>
            <w:vAlign w:val="center"/>
            <w:hideMark/>
          </w:tcPr>
          <w:p w14:paraId="180F9CE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173,84 евро/1000 л.</w:t>
            </w:r>
          </w:p>
        </w:tc>
        <w:tc>
          <w:tcPr>
            <w:tcW w:w="674" w:type="pct"/>
            <w:shd w:val="clear" w:color="auto" w:fill="auto"/>
            <w:vAlign w:val="center"/>
            <w:hideMark/>
          </w:tcPr>
          <w:p w14:paraId="2A034B9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173,84 евро/1000 л.</w:t>
            </w:r>
          </w:p>
        </w:tc>
        <w:tc>
          <w:tcPr>
            <w:tcW w:w="674" w:type="pct"/>
            <w:shd w:val="clear" w:color="auto" w:fill="auto"/>
            <w:vAlign w:val="center"/>
            <w:hideMark/>
          </w:tcPr>
          <w:p w14:paraId="5B78D65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173,84 евро/1000 л.</w:t>
            </w:r>
          </w:p>
        </w:tc>
      </w:tr>
      <w:tr w:rsidR="00643B7B" w:rsidRPr="00643B7B" w14:paraId="0004C16B" w14:textId="77777777" w:rsidTr="00643B7B">
        <w:trPr>
          <w:trHeight w:val="300"/>
        </w:trPr>
        <w:tc>
          <w:tcPr>
            <w:tcW w:w="176" w:type="pct"/>
            <w:vMerge/>
            <w:vAlign w:val="center"/>
            <w:hideMark/>
          </w:tcPr>
          <w:p w14:paraId="07A92A44"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noWrap/>
            <w:hideMark/>
          </w:tcPr>
          <w:p w14:paraId="7FC71E62"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 като гориво за отопление</w:t>
            </w:r>
          </w:p>
        </w:tc>
        <w:tc>
          <w:tcPr>
            <w:tcW w:w="544" w:type="pct"/>
            <w:vMerge/>
            <w:shd w:val="clear" w:color="auto" w:fill="FBE4D5"/>
            <w:vAlign w:val="center"/>
            <w:hideMark/>
          </w:tcPr>
          <w:p w14:paraId="14E591D6"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618788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0,00 евро/1000 кг.</w:t>
            </w:r>
          </w:p>
        </w:tc>
        <w:tc>
          <w:tcPr>
            <w:tcW w:w="674" w:type="pct"/>
            <w:shd w:val="clear" w:color="auto" w:fill="auto"/>
            <w:vAlign w:val="center"/>
            <w:hideMark/>
          </w:tcPr>
          <w:p w14:paraId="33D4152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 евро/1000 кг.</w:t>
            </w:r>
          </w:p>
        </w:tc>
        <w:tc>
          <w:tcPr>
            <w:tcW w:w="674" w:type="pct"/>
            <w:shd w:val="clear" w:color="auto" w:fill="auto"/>
            <w:vAlign w:val="center"/>
            <w:hideMark/>
          </w:tcPr>
          <w:p w14:paraId="6A3C51A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 евро/1000 кг.</w:t>
            </w:r>
          </w:p>
        </w:tc>
        <w:tc>
          <w:tcPr>
            <w:tcW w:w="674" w:type="pct"/>
            <w:shd w:val="clear" w:color="auto" w:fill="auto"/>
            <w:vAlign w:val="center"/>
            <w:hideMark/>
          </w:tcPr>
          <w:p w14:paraId="271587B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 евро/1000 кг.</w:t>
            </w:r>
          </w:p>
        </w:tc>
      </w:tr>
      <w:tr w:rsidR="00643B7B" w:rsidRPr="00643B7B" w14:paraId="79AC13FA" w14:textId="77777777" w:rsidTr="00643B7B">
        <w:trPr>
          <w:trHeight w:val="285"/>
        </w:trPr>
        <w:tc>
          <w:tcPr>
            <w:tcW w:w="176" w:type="pct"/>
            <w:shd w:val="clear" w:color="auto" w:fill="auto"/>
            <w:hideMark/>
          </w:tcPr>
          <w:p w14:paraId="517CC6FD"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8.4.</w:t>
            </w:r>
          </w:p>
        </w:tc>
        <w:tc>
          <w:tcPr>
            <w:tcW w:w="1584" w:type="pct"/>
            <w:shd w:val="clear" w:color="auto" w:fill="auto"/>
            <w:hideMark/>
          </w:tcPr>
          <w:p w14:paraId="3AEABCB1"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керосин</w:t>
            </w:r>
          </w:p>
        </w:tc>
        <w:tc>
          <w:tcPr>
            <w:tcW w:w="544" w:type="pct"/>
            <w:shd w:val="clear" w:color="auto" w:fill="FBE4D5"/>
            <w:vAlign w:val="center"/>
            <w:hideMark/>
          </w:tcPr>
          <w:p w14:paraId="5A559F6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евро/1000 л.</w:t>
            </w:r>
          </w:p>
        </w:tc>
        <w:tc>
          <w:tcPr>
            <w:tcW w:w="674" w:type="pct"/>
            <w:shd w:val="clear" w:color="auto" w:fill="auto"/>
            <w:vAlign w:val="center"/>
            <w:hideMark/>
          </w:tcPr>
          <w:p w14:paraId="21D108B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330,29 евро/1000 л.</w:t>
            </w:r>
          </w:p>
        </w:tc>
        <w:tc>
          <w:tcPr>
            <w:tcW w:w="674" w:type="pct"/>
            <w:shd w:val="clear" w:color="auto" w:fill="auto"/>
            <w:vAlign w:val="center"/>
            <w:hideMark/>
          </w:tcPr>
          <w:p w14:paraId="6B48F7B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л.</w:t>
            </w:r>
          </w:p>
        </w:tc>
        <w:tc>
          <w:tcPr>
            <w:tcW w:w="674" w:type="pct"/>
            <w:shd w:val="clear" w:color="auto" w:fill="auto"/>
            <w:vAlign w:val="center"/>
            <w:hideMark/>
          </w:tcPr>
          <w:p w14:paraId="695475D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л.</w:t>
            </w:r>
          </w:p>
        </w:tc>
        <w:tc>
          <w:tcPr>
            <w:tcW w:w="674" w:type="pct"/>
            <w:shd w:val="clear" w:color="auto" w:fill="auto"/>
            <w:vAlign w:val="center"/>
            <w:hideMark/>
          </w:tcPr>
          <w:p w14:paraId="68394F8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л.</w:t>
            </w:r>
          </w:p>
        </w:tc>
      </w:tr>
      <w:tr w:rsidR="00643B7B" w:rsidRPr="00643B7B" w14:paraId="13BAA921" w14:textId="77777777" w:rsidTr="00643B7B">
        <w:trPr>
          <w:trHeight w:val="300"/>
        </w:trPr>
        <w:tc>
          <w:tcPr>
            <w:tcW w:w="176" w:type="pct"/>
            <w:shd w:val="clear" w:color="auto" w:fill="auto"/>
            <w:hideMark/>
          </w:tcPr>
          <w:p w14:paraId="59875149"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8.5.</w:t>
            </w:r>
          </w:p>
        </w:tc>
        <w:tc>
          <w:tcPr>
            <w:tcW w:w="1584" w:type="pct"/>
            <w:shd w:val="clear" w:color="auto" w:fill="auto"/>
            <w:hideMark/>
          </w:tcPr>
          <w:p w14:paraId="374633E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кокс и въглища</w:t>
            </w:r>
          </w:p>
        </w:tc>
        <w:tc>
          <w:tcPr>
            <w:tcW w:w="544" w:type="pct"/>
            <w:shd w:val="clear" w:color="auto" w:fill="FBE4D5"/>
            <w:vAlign w:val="center"/>
            <w:hideMark/>
          </w:tcPr>
          <w:p w14:paraId="1B425C0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roofErr w:type="spellStart"/>
            <w:r w:rsidRPr="00643B7B">
              <w:rPr>
                <w:rFonts w:eastAsia="Times New Roman" w:cs="Times New Roman"/>
                <w:sz w:val="20"/>
                <w:szCs w:val="20"/>
              </w:rPr>
              <w:t>гигаджаул</w:t>
            </w:r>
            <w:proofErr w:type="spellEnd"/>
          </w:p>
        </w:tc>
        <w:tc>
          <w:tcPr>
            <w:tcW w:w="674" w:type="pct"/>
            <w:shd w:val="clear" w:color="auto" w:fill="auto"/>
            <w:vAlign w:val="center"/>
            <w:hideMark/>
          </w:tcPr>
          <w:p w14:paraId="5BD1E92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0,31/</w:t>
            </w:r>
            <w:proofErr w:type="spellStart"/>
            <w:r w:rsidRPr="00643B7B">
              <w:rPr>
                <w:rFonts w:eastAsia="Times New Roman" w:cs="Times New Roman"/>
                <w:i/>
                <w:iCs/>
                <w:sz w:val="20"/>
                <w:szCs w:val="20"/>
              </w:rPr>
              <w:t>гигаджаул</w:t>
            </w:r>
            <w:proofErr w:type="spellEnd"/>
          </w:p>
        </w:tc>
        <w:tc>
          <w:tcPr>
            <w:tcW w:w="674" w:type="pct"/>
            <w:shd w:val="clear" w:color="auto" w:fill="auto"/>
            <w:vAlign w:val="center"/>
            <w:hideMark/>
          </w:tcPr>
          <w:p w14:paraId="1EE9C71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0,31/</w:t>
            </w:r>
            <w:proofErr w:type="spellStart"/>
            <w:r w:rsidRPr="00643B7B">
              <w:rPr>
                <w:rFonts w:eastAsia="Times New Roman" w:cs="Times New Roman"/>
                <w:sz w:val="20"/>
                <w:szCs w:val="20"/>
              </w:rPr>
              <w:t>гигаджаул</w:t>
            </w:r>
            <w:proofErr w:type="spellEnd"/>
          </w:p>
        </w:tc>
        <w:tc>
          <w:tcPr>
            <w:tcW w:w="674" w:type="pct"/>
            <w:shd w:val="clear" w:color="auto" w:fill="auto"/>
            <w:vAlign w:val="center"/>
            <w:hideMark/>
          </w:tcPr>
          <w:p w14:paraId="0986D1D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0,31/</w:t>
            </w:r>
            <w:proofErr w:type="spellStart"/>
            <w:r w:rsidRPr="00643B7B">
              <w:rPr>
                <w:rFonts w:eastAsia="Times New Roman" w:cs="Times New Roman"/>
                <w:sz w:val="20"/>
                <w:szCs w:val="20"/>
              </w:rPr>
              <w:t>гигаджаул</w:t>
            </w:r>
            <w:proofErr w:type="spellEnd"/>
          </w:p>
        </w:tc>
        <w:tc>
          <w:tcPr>
            <w:tcW w:w="674" w:type="pct"/>
            <w:shd w:val="clear" w:color="auto" w:fill="auto"/>
            <w:vAlign w:val="center"/>
            <w:hideMark/>
          </w:tcPr>
          <w:p w14:paraId="142CBF7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0,31/</w:t>
            </w:r>
            <w:proofErr w:type="spellStart"/>
            <w:r w:rsidRPr="00643B7B">
              <w:rPr>
                <w:rFonts w:eastAsia="Times New Roman" w:cs="Times New Roman"/>
                <w:sz w:val="20"/>
                <w:szCs w:val="20"/>
              </w:rPr>
              <w:t>гигаджаул</w:t>
            </w:r>
            <w:proofErr w:type="spellEnd"/>
          </w:p>
        </w:tc>
      </w:tr>
      <w:tr w:rsidR="00643B7B" w:rsidRPr="00643B7B" w14:paraId="762A1471" w14:textId="77777777" w:rsidTr="00643B7B">
        <w:trPr>
          <w:trHeight w:val="300"/>
        </w:trPr>
        <w:tc>
          <w:tcPr>
            <w:tcW w:w="176" w:type="pct"/>
            <w:vMerge w:val="restart"/>
            <w:shd w:val="clear" w:color="auto" w:fill="auto"/>
            <w:hideMark/>
          </w:tcPr>
          <w:p w14:paraId="7AF7097D"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8.6.</w:t>
            </w:r>
          </w:p>
        </w:tc>
        <w:tc>
          <w:tcPr>
            <w:tcW w:w="1584" w:type="pct"/>
            <w:shd w:val="clear" w:color="auto" w:fill="auto"/>
            <w:hideMark/>
          </w:tcPr>
          <w:p w14:paraId="7233EA9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електрическа енергия</w:t>
            </w:r>
          </w:p>
        </w:tc>
        <w:tc>
          <w:tcPr>
            <w:tcW w:w="544" w:type="pct"/>
            <w:vMerge w:val="restart"/>
            <w:shd w:val="clear" w:color="auto" w:fill="FBE4D5"/>
            <w:vAlign w:val="center"/>
            <w:hideMark/>
          </w:tcPr>
          <w:p w14:paraId="4CBB3EC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евро/мегаватчас</w:t>
            </w:r>
          </w:p>
        </w:tc>
        <w:tc>
          <w:tcPr>
            <w:tcW w:w="674" w:type="pct"/>
            <w:shd w:val="clear" w:color="auto" w:fill="auto"/>
            <w:vAlign w:val="center"/>
            <w:hideMark/>
          </w:tcPr>
          <w:p w14:paraId="4665353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33B814D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38035D7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7426236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7AB6C5CE" w14:textId="77777777" w:rsidTr="00643B7B">
        <w:trPr>
          <w:trHeight w:val="300"/>
        </w:trPr>
        <w:tc>
          <w:tcPr>
            <w:tcW w:w="176" w:type="pct"/>
            <w:vMerge/>
            <w:vAlign w:val="center"/>
            <w:hideMark/>
          </w:tcPr>
          <w:p w14:paraId="475F1907"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noWrap/>
            <w:hideMark/>
          </w:tcPr>
          <w:p w14:paraId="265003A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използвана за стопански нужди</w:t>
            </w:r>
          </w:p>
        </w:tc>
        <w:tc>
          <w:tcPr>
            <w:tcW w:w="544" w:type="pct"/>
            <w:vMerge/>
            <w:shd w:val="clear" w:color="auto" w:fill="FBE4D5"/>
            <w:vAlign w:val="center"/>
            <w:hideMark/>
          </w:tcPr>
          <w:p w14:paraId="66A7E20C"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5197C6C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1,02/мегаватчас</w:t>
            </w:r>
          </w:p>
        </w:tc>
        <w:tc>
          <w:tcPr>
            <w:tcW w:w="674" w:type="pct"/>
            <w:shd w:val="clear" w:color="auto" w:fill="auto"/>
            <w:vAlign w:val="center"/>
            <w:hideMark/>
          </w:tcPr>
          <w:p w14:paraId="46B22AD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1,02/мегаватчас</w:t>
            </w:r>
          </w:p>
        </w:tc>
        <w:tc>
          <w:tcPr>
            <w:tcW w:w="674" w:type="pct"/>
            <w:shd w:val="clear" w:color="auto" w:fill="auto"/>
            <w:vAlign w:val="center"/>
            <w:hideMark/>
          </w:tcPr>
          <w:p w14:paraId="3C21824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1,02/мегаватчас</w:t>
            </w:r>
          </w:p>
        </w:tc>
        <w:tc>
          <w:tcPr>
            <w:tcW w:w="674" w:type="pct"/>
            <w:shd w:val="clear" w:color="auto" w:fill="auto"/>
            <w:vAlign w:val="center"/>
            <w:hideMark/>
          </w:tcPr>
          <w:p w14:paraId="6C90667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1,02/мегаватчас</w:t>
            </w:r>
          </w:p>
        </w:tc>
      </w:tr>
      <w:tr w:rsidR="00643B7B" w:rsidRPr="00643B7B" w14:paraId="45040CFD" w14:textId="77777777" w:rsidTr="00643B7B">
        <w:trPr>
          <w:trHeight w:val="300"/>
        </w:trPr>
        <w:tc>
          <w:tcPr>
            <w:tcW w:w="176" w:type="pct"/>
            <w:vMerge/>
            <w:vAlign w:val="center"/>
            <w:hideMark/>
          </w:tcPr>
          <w:p w14:paraId="50CF580F"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noWrap/>
            <w:hideMark/>
          </w:tcPr>
          <w:p w14:paraId="3D722AC4"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използвана за битови нужди</w:t>
            </w:r>
          </w:p>
        </w:tc>
        <w:tc>
          <w:tcPr>
            <w:tcW w:w="544" w:type="pct"/>
            <w:vMerge/>
            <w:shd w:val="clear" w:color="auto" w:fill="FBE4D5"/>
            <w:vAlign w:val="center"/>
            <w:hideMark/>
          </w:tcPr>
          <w:p w14:paraId="5FDF6995"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18E264C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0,00/мегаватчас</w:t>
            </w:r>
          </w:p>
        </w:tc>
        <w:tc>
          <w:tcPr>
            <w:tcW w:w="674" w:type="pct"/>
            <w:shd w:val="clear" w:color="auto" w:fill="auto"/>
            <w:vAlign w:val="center"/>
            <w:hideMark/>
          </w:tcPr>
          <w:p w14:paraId="4041E6F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0,00/мегаватчас</w:t>
            </w:r>
          </w:p>
        </w:tc>
        <w:tc>
          <w:tcPr>
            <w:tcW w:w="674" w:type="pct"/>
            <w:shd w:val="clear" w:color="auto" w:fill="auto"/>
            <w:vAlign w:val="center"/>
            <w:hideMark/>
          </w:tcPr>
          <w:p w14:paraId="3B473B9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0,00/мегаватчас</w:t>
            </w:r>
          </w:p>
        </w:tc>
        <w:tc>
          <w:tcPr>
            <w:tcW w:w="674" w:type="pct"/>
            <w:shd w:val="clear" w:color="auto" w:fill="auto"/>
            <w:vAlign w:val="center"/>
            <w:hideMark/>
          </w:tcPr>
          <w:p w14:paraId="36C52AB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0,00/мегаватчас</w:t>
            </w:r>
          </w:p>
        </w:tc>
      </w:tr>
      <w:tr w:rsidR="00643B7B" w:rsidRPr="00643B7B" w14:paraId="561E28C5" w14:textId="77777777" w:rsidTr="00643B7B">
        <w:trPr>
          <w:trHeight w:val="300"/>
        </w:trPr>
        <w:tc>
          <w:tcPr>
            <w:tcW w:w="176" w:type="pct"/>
            <w:shd w:val="clear" w:color="auto" w:fill="auto"/>
            <w:hideMark/>
          </w:tcPr>
          <w:p w14:paraId="4773185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8.7.</w:t>
            </w:r>
          </w:p>
        </w:tc>
        <w:tc>
          <w:tcPr>
            <w:tcW w:w="1584" w:type="pct"/>
            <w:shd w:val="clear" w:color="auto" w:fill="auto"/>
            <w:hideMark/>
          </w:tcPr>
          <w:p w14:paraId="2579473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цигари - общ (не по-малък от)</w:t>
            </w:r>
          </w:p>
        </w:tc>
        <w:tc>
          <w:tcPr>
            <w:tcW w:w="544" w:type="pct"/>
            <w:shd w:val="clear" w:color="auto" w:fill="FBE4D5"/>
            <w:vAlign w:val="center"/>
            <w:hideMark/>
          </w:tcPr>
          <w:p w14:paraId="38AE477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евро/1000 къса</w:t>
            </w:r>
          </w:p>
        </w:tc>
        <w:tc>
          <w:tcPr>
            <w:tcW w:w="674" w:type="pct"/>
            <w:shd w:val="clear" w:color="auto" w:fill="auto"/>
            <w:vAlign w:val="center"/>
            <w:hideMark/>
          </w:tcPr>
          <w:p w14:paraId="10F7D64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107,37 евро/1000 къса</w:t>
            </w:r>
          </w:p>
        </w:tc>
        <w:tc>
          <w:tcPr>
            <w:tcW w:w="674" w:type="pct"/>
            <w:shd w:val="clear" w:color="auto" w:fill="auto"/>
            <w:vAlign w:val="center"/>
            <w:hideMark/>
          </w:tcPr>
          <w:p w14:paraId="0EE430E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113,51 евро/1000 къса</w:t>
            </w:r>
          </w:p>
        </w:tc>
        <w:tc>
          <w:tcPr>
            <w:tcW w:w="674" w:type="pct"/>
            <w:shd w:val="clear" w:color="auto" w:fill="auto"/>
            <w:vAlign w:val="center"/>
            <w:hideMark/>
          </w:tcPr>
          <w:p w14:paraId="63357A0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119,64 евро/1000 къса</w:t>
            </w:r>
          </w:p>
        </w:tc>
        <w:tc>
          <w:tcPr>
            <w:tcW w:w="674" w:type="pct"/>
            <w:shd w:val="clear" w:color="auto" w:fill="auto"/>
            <w:vAlign w:val="center"/>
            <w:hideMark/>
          </w:tcPr>
          <w:p w14:paraId="1596D2B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125,78 евро/1000 къса</w:t>
            </w:r>
          </w:p>
        </w:tc>
      </w:tr>
      <w:tr w:rsidR="00643B7B" w:rsidRPr="00643B7B" w14:paraId="034BDA23" w14:textId="77777777" w:rsidTr="00643B7B">
        <w:trPr>
          <w:trHeight w:val="300"/>
        </w:trPr>
        <w:tc>
          <w:tcPr>
            <w:tcW w:w="176" w:type="pct"/>
            <w:shd w:val="clear" w:color="auto" w:fill="auto"/>
            <w:hideMark/>
          </w:tcPr>
          <w:p w14:paraId="5E0EDE3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8.8.</w:t>
            </w:r>
          </w:p>
        </w:tc>
        <w:tc>
          <w:tcPr>
            <w:tcW w:w="1584" w:type="pct"/>
            <w:shd w:val="clear" w:color="auto" w:fill="auto"/>
            <w:hideMark/>
          </w:tcPr>
          <w:p w14:paraId="7B6EC25B"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тютюн за пушене (за лула и цигари)</w:t>
            </w:r>
          </w:p>
        </w:tc>
        <w:tc>
          <w:tcPr>
            <w:tcW w:w="544" w:type="pct"/>
            <w:shd w:val="clear" w:color="auto" w:fill="FBE4D5"/>
            <w:vAlign w:val="center"/>
            <w:hideMark/>
          </w:tcPr>
          <w:p w14:paraId="632324F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евро/кг.</w:t>
            </w:r>
          </w:p>
        </w:tc>
        <w:tc>
          <w:tcPr>
            <w:tcW w:w="674" w:type="pct"/>
            <w:shd w:val="clear" w:color="auto" w:fill="auto"/>
            <w:vAlign w:val="center"/>
            <w:hideMark/>
          </w:tcPr>
          <w:p w14:paraId="564E77D7"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113,51 евро/кг.</w:t>
            </w:r>
          </w:p>
        </w:tc>
        <w:tc>
          <w:tcPr>
            <w:tcW w:w="674" w:type="pct"/>
            <w:shd w:val="clear" w:color="auto" w:fill="auto"/>
            <w:vAlign w:val="center"/>
            <w:hideMark/>
          </w:tcPr>
          <w:p w14:paraId="1B5857F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121,69 евро/кг.</w:t>
            </w:r>
          </w:p>
        </w:tc>
        <w:tc>
          <w:tcPr>
            <w:tcW w:w="674" w:type="pct"/>
            <w:shd w:val="clear" w:color="auto" w:fill="auto"/>
            <w:vAlign w:val="center"/>
            <w:hideMark/>
          </w:tcPr>
          <w:p w14:paraId="27333E9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129,87 евро/кг.</w:t>
            </w:r>
          </w:p>
        </w:tc>
        <w:tc>
          <w:tcPr>
            <w:tcW w:w="674" w:type="pct"/>
            <w:shd w:val="clear" w:color="auto" w:fill="auto"/>
            <w:vAlign w:val="center"/>
            <w:hideMark/>
          </w:tcPr>
          <w:p w14:paraId="73F46EC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138,05 евро/кг.</w:t>
            </w:r>
          </w:p>
        </w:tc>
      </w:tr>
      <w:tr w:rsidR="00643B7B" w:rsidRPr="00643B7B" w14:paraId="17C61F9A" w14:textId="77777777" w:rsidTr="00643B7B">
        <w:trPr>
          <w:trHeight w:val="300"/>
        </w:trPr>
        <w:tc>
          <w:tcPr>
            <w:tcW w:w="176" w:type="pct"/>
            <w:shd w:val="clear" w:color="auto" w:fill="auto"/>
            <w:hideMark/>
          </w:tcPr>
          <w:p w14:paraId="0FFC299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8.9.</w:t>
            </w:r>
          </w:p>
        </w:tc>
        <w:tc>
          <w:tcPr>
            <w:tcW w:w="1584" w:type="pct"/>
            <w:shd w:val="clear" w:color="auto" w:fill="auto"/>
            <w:vAlign w:val="center"/>
            <w:hideMark/>
          </w:tcPr>
          <w:p w14:paraId="57D4342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w:t>
            </w:r>
            <w:proofErr w:type="spellStart"/>
            <w:r w:rsidRPr="00643B7B">
              <w:rPr>
                <w:rFonts w:eastAsia="Times New Roman" w:cs="Times New Roman"/>
                <w:sz w:val="20"/>
                <w:szCs w:val="20"/>
              </w:rPr>
              <w:t>нагреваемо</w:t>
            </w:r>
            <w:proofErr w:type="spellEnd"/>
            <w:r w:rsidRPr="00643B7B">
              <w:rPr>
                <w:rFonts w:eastAsia="Times New Roman" w:cs="Times New Roman"/>
                <w:sz w:val="20"/>
                <w:szCs w:val="20"/>
              </w:rPr>
              <w:t xml:space="preserve"> тютюнево изделие</w:t>
            </w:r>
          </w:p>
        </w:tc>
        <w:tc>
          <w:tcPr>
            <w:tcW w:w="544" w:type="pct"/>
            <w:shd w:val="clear" w:color="auto" w:fill="FBE4D5"/>
            <w:vAlign w:val="center"/>
            <w:hideMark/>
          </w:tcPr>
          <w:p w14:paraId="02E2037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евро/кг.</w:t>
            </w:r>
          </w:p>
        </w:tc>
        <w:tc>
          <w:tcPr>
            <w:tcW w:w="674" w:type="pct"/>
            <w:shd w:val="clear" w:color="auto" w:fill="auto"/>
            <w:vAlign w:val="center"/>
            <w:hideMark/>
          </w:tcPr>
          <w:p w14:paraId="33AC3F74"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204,52 евро/кг.</w:t>
            </w:r>
          </w:p>
        </w:tc>
        <w:tc>
          <w:tcPr>
            <w:tcW w:w="674" w:type="pct"/>
            <w:shd w:val="clear" w:color="auto" w:fill="auto"/>
            <w:vAlign w:val="center"/>
            <w:hideMark/>
          </w:tcPr>
          <w:p w14:paraId="720B20B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214,74 евро/кг.</w:t>
            </w:r>
          </w:p>
        </w:tc>
        <w:tc>
          <w:tcPr>
            <w:tcW w:w="674" w:type="pct"/>
            <w:shd w:val="clear" w:color="auto" w:fill="auto"/>
            <w:vAlign w:val="center"/>
            <w:hideMark/>
          </w:tcPr>
          <w:p w14:paraId="2FF288E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224,97 евро/кг.</w:t>
            </w:r>
          </w:p>
        </w:tc>
        <w:tc>
          <w:tcPr>
            <w:tcW w:w="674" w:type="pct"/>
            <w:shd w:val="clear" w:color="auto" w:fill="auto"/>
            <w:vAlign w:val="center"/>
            <w:hideMark/>
          </w:tcPr>
          <w:p w14:paraId="067A2AB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235,19 евро/кг.</w:t>
            </w:r>
          </w:p>
        </w:tc>
      </w:tr>
      <w:tr w:rsidR="00643B7B" w:rsidRPr="00643B7B" w14:paraId="037509D1" w14:textId="77777777" w:rsidTr="00643B7B">
        <w:trPr>
          <w:trHeight w:val="510"/>
        </w:trPr>
        <w:tc>
          <w:tcPr>
            <w:tcW w:w="176" w:type="pct"/>
            <w:shd w:val="clear" w:color="auto" w:fill="auto"/>
            <w:vAlign w:val="center"/>
            <w:hideMark/>
          </w:tcPr>
          <w:p w14:paraId="26B71E5B"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8.10.</w:t>
            </w:r>
          </w:p>
        </w:tc>
        <w:tc>
          <w:tcPr>
            <w:tcW w:w="1584" w:type="pct"/>
            <w:shd w:val="clear" w:color="auto" w:fill="auto"/>
            <w:hideMark/>
          </w:tcPr>
          <w:p w14:paraId="5A144081"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течност за електронни цигари, независимо дали съдържа никотин</w:t>
            </w:r>
          </w:p>
        </w:tc>
        <w:tc>
          <w:tcPr>
            <w:tcW w:w="544" w:type="pct"/>
            <w:shd w:val="clear" w:color="auto" w:fill="FBE4D5"/>
            <w:vAlign w:val="center"/>
            <w:hideMark/>
          </w:tcPr>
          <w:p w14:paraId="55FB7E9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евро/милилитри</w:t>
            </w:r>
          </w:p>
        </w:tc>
        <w:tc>
          <w:tcPr>
            <w:tcW w:w="674" w:type="pct"/>
            <w:shd w:val="clear" w:color="auto" w:fill="auto"/>
            <w:vAlign w:val="center"/>
            <w:hideMark/>
          </w:tcPr>
          <w:p w14:paraId="2C3425A6"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0,23 евро/милилитър</w:t>
            </w:r>
          </w:p>
        </w:tc>
        <w:tc>
          <w:tcPr>
            <w:tcW w:w="674" w:type="pct"/>
            <w:shd w:val="clear" w:color="auto" w:fill="auto"/>
            <w:vAlign w:val="center"/>
            <w:hideMark/>
          </w:tcPr>
          <w:p w14:paraId="67950D0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0,25 евро/милилитър</w:t>
            </w:r>
          </w:p>
        </w:tc>
        <w:tc>
          <w:tcPr>
            <w:tcW w:w="674" w:type="pct"/>
            <w:shd w:val="clear" w:color="auto" w:fill="auto"/>
            <w:vAlign w:val="center"/>
            <w:hideMark/>
          </w:tcPr>
          <w:p w14:paraId="5C21701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0,28 евро/милилитър</w:t>
            </w:r>
          </w:p>
        </w:tc>
        <w:tc>
          <w:tcPr>
            <w:tcW w:w="674" w:type="pct"/>
            <w:shd w:val="clear" w:color="auto" w:fill="auto"/>
            <w:vAlign w:val="center"/>
            <w:hideMark/>
          </w:tcPr>
          <w:p w14:paraId="09D675E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0,31 евро/милилитър</w:t>
            </w:r>
          </w:p>
        </w:tc>
      </w:tr>
      <w:tr w:rsidR="00643B7B" w:rsidRPr="00643B7B" w14:paraId="24C9C59B" w14:textId="77777777" w:rsidTr="00643B7B">
        <w:trPr>
          <w:trHeight w:val="300"/>
        </w:trPr>
        <w:tc>
          <w:tcPr>
            <w:tcW w:w="176" w:type="pct"/>
            <w:shd w:val="clear" w:color="auto" w:fill="auto"/>
            <w:vAlign w:val="center"/>
            <w:hideMark/>
          </w:tcPr>
          <w:p w14:paraId="3C063892"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8.11.</w:t>
            </w:r>
          </w:p>
        </w:tc>
        <w:tc>
          <w:tcPr>
            <w:tcW w:w="1584" w:type="pct"/>
            <w:shd w:val="clear" w:color="auto" w:fill="auto"/>
            <w:vAlign w:val="center"/>
            <w:hideMark/>
          </w:tcPr>
          <w:p w14:paraId="55B501D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заместители на тютюна</w:t>
            </w:r>
          </w:p>
        </w:tc>
        <w:tc>
          <w:tcPr>
            <w:tcW w:w="544" w:type="pct"/>
            <w:shd w:val="clear" w:color="auto" w:fill="FBE4D5"/>
            <w:vAlign w:val="center"/>
            <w:hideMark/>
          </w:tcPr>
          <w:p w14:paraId="1C1590C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евро/кг.</w:t>
            </w:r>
          </w:p>
        </w:tc>
        <w:tc>
          <w:tcPr>
            <w:tcW w:w="674" w:type="pct"/>
            <w:shd w:val="clear" w:color="auto" w:fill="auto"/>
            <w:vAlign w:val="center"/>
            <w:hideMark/>
          </w:tcPr>
          <w:p w14:paraId="025F975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283E43F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77C246A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731C6E8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5C646F7B" w14:textId="77777777" w:rsidTr="00643B7B">
        <w:trPr>
          <w:trHeight w:val="300"/>
        </w:trPr>
        <w:tc>
          <w:tcPr>
            <w:tcW w:w="176" w:type="pct"/>
            <w:shd w:val="clear" w:color="auto" w:fill="auto"/>
            <w:vAlign w:val="center"/>
            <w:hideMark/>
          </w:tcPr>
          <w:p w14:paraId="6BAE8F9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vAlign w:val="center"/>
            <w:hideMark/>
          </w:tcPr>
          <w:p w14:paraId="22C699B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съдържащ никотин до 20 мг. на единица продукт</w:t>
            </w:r>
          </w:p>
        </w:tc>
        <w:tc>
          <w:tcPr>
            <w:tcW w:w="544" w:type="pct"/>
            <w:shd w:val="clear" w:color="auto" w:fill="FBE4D5"/>
            <w:vAlign w:val="center"/>
            <w:hideMark/>
          </w:tcPr>
          <w:p w14:paraId="3804255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евро/кг.</w:t>
            </w:r>
          </w:p>
        </w:tc>
        <w:tc>
          <w:tcPr>
            <w:tcW w:w="674" w:type="pct"/>
            <w:shd w:val="clear" w:color="auto" w:fill="auto"/>
            <w:vAlign w:val="center"/>
            <w:hideMark/>
          </w:tcPr>
          <w:p w14:paraId="1219AAB1"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15,34 евро/кг.</w:t>
            </w:r>
          </w:p>
        </w:tc>
        <w:tc>
          <w:tcPr>
            <w:tcW w:w="674" w:type="pct"/>
            <w:shd w:val="clear" w:color="auto" w:fill="auto"/>
            <w:vAlign w:val="center"/>
            <w:hideMark/>
          </w:tcPr>
          <w:p w14:paraId="7DB5F63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16,87 евро/кг.</w:t>
            </w:r>
          </w:p>
        </w:tc>
        <w:tc>
          <w:tcPr>
            <w:tcW w:w="674" w:type="pct"/>
            <w:shd w:val="clear" w:color="auto" w:fill="auto"/>
            <w:vAlign w:val="center"/>
            <w:hideMark/>
          </w:tcPr>
          <w:p w14:paraId="48B41C8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20,45 евро/кг.</w:t>
            </w:r>
          </w:p>
        </w:tc>
        <w:tc>
          <w:tcPr>
            <w:tcW w:w="674" w:type="pct"/>
            <w:shd w:val="clear" w:color="auto" w:fill="auto"/>
            <w:vAlign w:val="center"/>
            <w:hideMark/>
          </w:tcPr>
          <w:p w14:paraId="40B78B3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23,01 евро/кг</w:t>
            </w:r>
          </w:p>
        </w:tc>
      </w:tr>
      <w:tr w:rsidR="00643B7B" w:rsidRPr="00643B7B" w14:paraId="4F0D8AA2" w14:textId="77777777" w:rsidTr="00643B7B">
        <w:trPr>
          <w:trHeight w:val="300"/>
        </w:trPr>
        <w:tc>
          <w:tcPr>
            <w:tcW w:w="176" w:type="pct"/>
            <w:shd w:val="clear" w:color="auto" w:fill="auto"/>
            <w:vAlign w:val="center"/>
            <w:hideMark/>
          </w:tcPr>
          <w:p w14:paraId="1415ABD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vAlign w:val="center"/>
            <w:hideMark/>
          </w:tcPr>
          <w:p w14:paraId="1E6ED92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съдържащ никотин над 20 мг. на единица продукт</w:t>
            </w:r>
          </w:p>
        </w:tc>
        <w:tc>
          <w:tcPr>
            <w:tcW w:w="544" w:type="pct"/>
            <w:shd w:val="clear" w:color="auto" w:fill="FBE4D5"/>
            <w:vAlign w:val="center"/>
            <w:hideMark/>
          </w:tcPr>
          <w:p w14:paraId="1D8DC34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евро/кг.</w:t>
            </w:r>
          </w:p>
        </w:tc>
        <w:tc>
          <w:tcPr>
            <w:tcW w:w="674" w:type="pct"/>
            <w:shd w:val="clear" w:color="auto" w:fill="auto"/>
            <w:vAlign w:val="center"/>
            <w:hideMark/>
          </w:tcPr>
          <w:p w14:paraId="6288416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58,80 евро/кг.</w:t>
            </w:r>
          </w:p>
        </w:tc>
        <w:tc>
          <w:tcPr>
            <w:tcW w:w="674" w:type="pct"/>
            <w:shd w:val="clear" w:color="auto" w:fill="auto"/>
            <w:vAlign w:val="center"/>
            <w:hideMark/>
          </w:tcPr>
          <w:p w14:paraId="2042978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60,33 евро/кг.</w:t>
            </w:r>
          </w:p>
        </w:tc>
        <w:tc>
          <w:tcPr>
            <w:tcW w:w="674" w:type="pct"/>
            <w:shd w:val="clear" w:color="auto" w:fill="auto"/>
            <w:vAlign w:val="center"/>
            <w:hideMark/>
          </w:tcPr>
          <w:p w14:paraId="35BC51A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64,42 евро/кг.</w:t>
            </w:r>
          </w:p>
        </w:tc>
        <w:tc>
          <w:tcPr>
            <w:tcW w:w="674" w:type="pct"/>
            <w:shd w:val="clear" w:color="auto" w:fill="auto"/>
            <w:vAlign w:val="center"/>
            <w:hideMark/>
          </w:tcPr>
          <w:p w14:paraId="1495BA0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68,51 евро/кг.</w:t>
            </w:r>
          </w:p>
        </w:tc>
      </w:tr>
      <w:tr w:rsidR="00643B7B" w:rsidRPr="00643B7B" w14:paraId="1C5CED8D" w14:textId="77777777" w:rsidTr="00643B7B">
        <w:trPr>
          <w:trHeight w:val="510"/>
        </w:trPr>
        <w:tc>
          <w:tcPr>
            <w:tcW w:w="176" w:type="pct"/>
            <w:shd w:val="clear" w:color="auto" w:fill="auto"/>
            <w:vAlign w:val="center"/>
            <w:hideMark/>
          </w:tcPr>
          <w:p w14:paraId="558C53A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8.12.</w:t>
            </w:r>
          </w:p>
        </w:tc>
        <w:tc>
          <w:tcPr>
            <w:tcW w:w="1584" w:type="pct"/>
            <w:shd w:val="clear" w:color="auto" w:fill="auto"/>
            <w:vAlign w:val="center"/>
            <w:hideMark/>
          </w:tcPr>
          <w:p w14:paraId="0370F4C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w:t>
            </w:r>
            <w:proofErr w:type="spellStart"/>
            <w:r w:rsidRPr="00643B7B">
              <w:rPr>
                <w:rFonts w:eastAsia="Times New Roman" w:cs="Times New Roman"/>
                <w:sz w:val="20"/>
                <w:szCs w:val="20"/>
              </w:rPr>
              <w:t>нагреваемо</w:t>
            </w:r>
            <w:proofErr w:type="spellEnd"/>
            <w:r w:rsidRPr="00643B7B">
              <w:rPr>
                <w:rFonts w:eastAsia="Times New Roman" w:cs="Times New Roman"/>
                <w:sz w:val="20"/>
                <w:szCs w:val="20"/>
              </w:rPr>
              <w:t xml:space="preserve"> изделие със съдържание, различно от тютюн</w:t>
            </w:r>
          </w:p>
        </w:tc>
        <w:tc>
          <w:tcPr>
            <w:tcW w:w="544" w:type="pct"/>
            <w:shd w:val="clear" w:color="auto" w:fill="FBE4D5"/>
            <w:vAlign w:val="center"/>
            <w:hideMark/>
          </w:tcPr>
          <w:p w14:paraId="1F6A122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евро/кг.</w:t>
            </w:r>
          </w:p>
        </w:tc>
        <w:tc>
          <w:tcPr>
            <w:tcW w:w="674" w:type="pct"/>
            <w:shd w:val="clear" w:color="auto" w:fill="auto"/>
            <w:vAlign w:val="center"/>
            <w:hideMark/>
          </w:tcPr>
          <w:p w14:paraId="43469EE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204,52 евро/кг.</w:t>
            </w:r>
          </w:p>
        </w:tc>
        <w:tc>
          <w:tcPr>
            <w:tcW w:w="674" w:type="pct"/>
            <w:shd w:val="clear" w:color="auto" w:fill="auto"/>
            <w:vAlign w:val="center"/>
            <w:hideMark/>
          </w:tcPr>
          <w:p w14:paraId="074A199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214,74 евро/кг.</w:t>
            </w:r>
          </w:p>
        </w:tc>
        <w:tc>
          <w:tcPr>
            <w:tcW w:w="674" w:type="pct"/>
            <w:shd w:val="clear" w:color="auto" w:fill="auto"/>
            <w:vAlign w:val="center"/>
            <w:hideMark/>
          </w:tcPr>
          <w:p w14:paraId="40C4BFB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224,97 евро/кг.</w:t>
            </w:r>
          </w:p>
        </w:tc>
        <w:tc>
          <w:tcPr>
            <w:tcW w:w="674" w:type="pct"/>
            <w:shd w:val="clear" w:color="auto" w:fill="auto"/>
            <w:vAlign w:val="center"/>
            <w:hideMark/>
          </w:tcPr>
          <w:p w14:paraId="56FBFE7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235,19 евро/кг.</w:t>
            </w:r>
          </w:p>
        </w:tc>
      </w:tr>
      <w:tr w:rsidR="00643B7B" w:rsidRPr="00643B7B" w14:paraId="38EA0DC8" w14:textId="77777777" w:rsidTr="00643B7B">
        <w:trPr>
          <w:trHeight w:val="300"/>
        </w:trPr>
        <w:tc>
          <w:tcPr>
            <w:tcW w:w="176" w:type="pct"/>
            <w:shd w:val="clear" w:color="auto" w:fill="auto"/>
            <w:hideMark/>
          </w:tcPr>
          <w:p w14:paraId="3411EC0D"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8.13.</w:t>
            </w:r>
          </w:p>
        </w:tc>
        <w:tc>
          <w:tcPr>
            <w:tcW w:w="1584" w:type="pct"/>
            <w:shd w:val="clear" w:color="auto" w:fill="auto"/>
            <w:hideMark/>
          </w:tcPr>
          <w:p w14:paraId="2E99808C"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пури и </w:t>
            </w:r>
            <w:proofErr w:type="spellStart"/>
            <w:r w:rsidRPr="00643B7B">
              <w:rPr>
                <w:rFonts w:eastAsia="Times New Roman" w:cs="Times New Roman"/>
                <w:sz w:val="20"/>
                <w:szCs w:val="20"/>
              </w:rPr>
              <w:t>пурети</w:t>
            </w:r>
            <w:proofErr w:type="spellEnd"/>
          </w:p>
        </w:tc>
        <w:tc>
          <w:tcPr>
            <w:tcW w:w="544" w:type="pct"/>
            <w:shd w:val="clear" w:color="auto" w:fill="FBE4D5"/>
            <w:vAlign w:val="center"/>
            <w:hideMark/>
          </w:tcPr>
          <w:p w14:paraId="51E53BD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евро/1000 къса</w:t>
            </w:r>
          </w:p>
        </w:tc>
        <w:tc>
          <w:tcPr>
            <w:tcW w:w="674" w:type="pct"/>
            <w:shd w:val="clear" w:color="auto" w:fill="auto"/>
            <w:vAlign w:val="center"/>
            <w:hideMark/>
          </w:tcPr>
          <w:p w14:paraId="6234D3A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202,47 евро/1000 къса</w:t>
            </w:r>
          </w:p>
        </w:tc>
        <w:tc>
          <w:tcPr>
            <w:tcW w:w="674" w:type="pct"/>
            <w:shd w:val="clear" w:color="auto" w:fill="auto"/>
            <w:vAlign w:val="center"/>
            <w:hideMark/>
          </w:tcPr>
          <w:p w14:paraId="1FA7E0B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212,70 евро/1000 къса</w:t>
            </w:r>
          </w:p>
        </w:tc>
        <w:tc>
          <w:tcPr>
            <w:tcW w:w="674" w:type="pct"/>
            <w:shd w:val="clear" w:color="auto" w:fill="auto"/>
            <w:vAlign w:val="center"/>
            <w:hideMark/>
          </w:tcPr>
          <w:p w14:paraId="0664B7C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223,43 евро/1000 къса</w:t>
            </w:r>
          </w:p>
        </w:tc>
        <w:tc>
          <w:tcPr>
            <w:tcW w:w="674" w:type="pct"/>
            <w:shd w:val="clear" w:color="auto" w:fill="auto"/>
            <w:vAlign w:val="center"/>
            <w:hideMark/>
          </w:tcPr>
          <w:p w14:paraId="60EB2B5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234,68 евро/1000 къса</w:t>
            </w:r>
          </w:p>
        </w:tc>
      </w:tr>
      <w:tr w:rsidR="00643B7B" w:rsidRPr="00643B7B" w14:paraId="0A07D95B" w14:textId="77777777" w:rsidTr="00643B7B">
        <w:trPr>
          <w:trHeight w:val="300"/>
        </w:trPr>
        <w:tc>
          <w:tcPr>
            <w:tcW w:w="176" w:type="pct"/>
            <w:shd w:val="clear" w:color="auto" w:fill="auto"/>
            <w:hideMark/>
          </w:tcPr>
          <w:p w14:paraId="061F8A73"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8.14.</w:t>
            </w:r>
          </w:p>
        </w:tc>
        <w:tc>
          <w:tcPr>
            <w:tcW w:w="1584" w:type="pct"/>
            <w:shd w:val="clear" w:color="auto" w:fill="auto"/>
            <w:hideMark/>
          </w:tcPr>
          <w:p w14:paraId="030F1AA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спиртни напитки (етилов алкохол)</w:t>
            </w:r>
          </w:p>
        </w:tc>
        <w:tc>
          <w:tcPr>
            <w:tcW w:w="544" w:type="pct"/>
            <w:vMerge w:val="restart"/>
            <w:shd w:val="clear" w:color="auto" w:fill="FBE4D5"/>
            <w:vAlign w:val="center"/>
            <w:hideMark/>
          </w:tcPr>
          <w:p w14:paraId="757D0C1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евро/хектолитър</w:t>
            </w:r>
          </w:p>
        </w:tc>
        <w:tc>
          <w:tcPr>
            <w:tcW w:w="674" w:type="pct"/>
            <w:shd w:val="clear" w:color="auto" w:fill="auto"/>
            <w:vAlign w:val="center"/>
            <w:hideMark/>
          </w:tcPr>
          <w:p w14:paraId="5946CA3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562,42 евро/хектолитър</w:t>
            </w:r>
          </w:p>
        </w:tc>
        <w:tc>
          <w:tcPr>
            <w:tcW w:w="674" w:type="pct"/>
            <w:shd w:val="clear" w:color="auto" w:fill="auto"/>
            <w:vAlign w:val="center"/>
            <w:hideMark/>
          </w:tcPr>
          <w:p w14:paraId="0BC99A4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562,42 евро/хектолитър</w:t>
            </w:r>
          </w:p>
        </w:tc>
        <w:tc>
          <w:tcPr>
            <w:tcW w:w="674" w:type="pct"/>
            <w:shd w:val="clear" w:color="auto" w:fill="auto"/>
            <w:vAlign w:val="center"/>
            <w:hideMark/>
          </w:tcPr>
          <w:p w14:paraId="50310D0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562,42 евро/хектолитър</w:t>
            </w:r>
          </w:p>
        </w:tc>
        <w:tc>
          <w:tcPr>
            <w:tcW w:w="674" w:type="pct"/>
            <w:shd w:val="clear" w:color="auto" w:fill="auto"/>
            <w:vAlign w:val="center"/>
            <w:hideMark/>
          </w:tcPr>
          <w:p w14:paraId="04CEBBD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562,42 евро/хектолитър</w:t>
            </w:r>
          </w:p>
        </w:tc>
      </w:tr>
      <w:tr w:rsidR="00643B7B" w:rsidRPr="00643B7B" w14:paraId="0FB22B8F" w14:textId="77777777" w:rsidTr="00643B7B">
        <w:trPr>
          <w:trHeight w:val="300"/>
        </w:trPr>
        <w:tc>
          <w:tcPr>
            <w:tcW w:w="176" w:type="pct"/>
            <w:shd w:val="clear" w:color="auto" w:fill="auto"/>
            <w:hideMark/>
          </w:tcPr>
          <w:p w14:paraId="6A2A33C6"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70112A37"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Акциз на етилов алкохол (ракия) - намалена ставка</w:t>
            </w:r>
          </w:p>
        </w:tc>
        <w:tc>
          <w:tcPr>
            <w:tcW w:w="544" w:type="pct"/>
            <w:vMerge/>
            <w:shd w:val="clear" w:color="auto" w:fill="FBE4D5"/>
            <w:vAlign w:val="center"/>
            <w:hideMark/>
          </w:tcPr>
          <w:p w14:paraId="5D8D6069"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13B893A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281,21 евро/хектолитър</w:t>
            </w:r>
          </w:p>
        </w:tc>
        <w:tc>
          <w:tcPr>
            <w:tcW w:w="674" w:type="pct"/>
            <w:shd w:val="clear" w:color="auto" w:fill="auto"/>
            <w:vAlign w:val="center"/>
            <w:hideMark/>
          </w:tcPr>
          <w:p w14:paraId="2B05630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281,21 евро/хектолитър</w:t>
            </w:r>
          </w:p>
        </w:tc>
        <w:tc>
          <w:tcPr>
            <w:tcW w:w="674" w:type="pct"/>
            <w:shd w:val="clear" w:color="auto" w:fill="auto"/>
            <w:vAlign w:val="center"/>
            <w:hideMark/>
          </w:tcPr>
          <w:p w14:paraId="08B4087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281,21 евро/хектолитър</w:t>
            </w:r>
          </w:p>
        </w:tc>
        <w:tc>
          <w:tcPr>
            <w:tcW w:w="674" w:type="pct"/>
            <w:shd w:val="clear" w:color="auto" w:fill="auto"/>
            <w:vAlign w:val="center"/>
            <w:hideMark/>
          </w:tcPr>
          <w:p w14:paraId="7DB479D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281,21 евро/хектолитър</w:t>
            </w:r>
          </w:p>
        </w:tc>
      </w:tr>
      <w:tr w:rsidR="00643B7B" w:rsidRPr="00643B7B" w14:paraId="3ECF66BE" w14:textId="77777777" w:rsidTr="004E4646">
        <w:trPr>
          <w:trHeight w:val="300"/>
        </w:trPr>
        <w:tc>
          <w:tcPr>
            <w:tcW w:w="176" w:type="pct"/>
            <w:shd w:val="clear" w:color="auto" w:fill="auto"/>
            <w:hideMark/>
          </w:tcPr>
          <w:p w14:paraId="413DBE5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8.15.</w:t>
            </w:r>
          </w:p>
        </w:tc>
        <w:tc>
          <w:tcPr>
            <w:tcW w:w="1584" w:type="pct"/>
            <w:shd w:val="clear" w:color="auto" w:fill="auto"/>
            <w:hideMark/>
          </w:tcPr>
          <w:p w14:paraId="78BB6AE3"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междинни продукти</w:t>
            </w:r>
          </w:p>
        </w:tc>
        <w:tc>
          <w:tcPr>
            <w:tcW w:w="544" w:type="pct"/>
            <w:shd w:val="clear" w:color="auto" w:fill="FBE4D5"/>
            <w:vAlign w:val="center"/>
            <w:hideMark/>
          </w:tcPr>
          <w:p w14:paraId="4900868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евро/хектолитър</w:t>
            </w:r>
          </w:p>
        </w:tc>
        <w:tc>
          <w:tcPr>
            <w:tcW w:w="674" w:type="pct"/>
            <w:shd w:val="clear" w:color="auto" w:fill="auto"/>
            <w:vAlign w:val="center"/>
            <w:hideMark/>
          </w:tcPr>
          <w:p w14:paraId="34356021"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46,01 евро/хектолитър</w:t>
            </w:r>
          </w:p>
        </w:tc>
        <w:tc>
          <w:tcPr>
            <w:tcW w:w="674" w:type="pct"/>
            <w:shd w:val="clear" w:color="auto" w:fill="auto"/>
            <w:vAlign w:val="center"/>
            <w:hideMark/>
          </w:tcPr>
          <w:p w14:paraId="7EB5943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46,01 евро/хектолитър</w:t>
            </w:r>
          </w:p>
        </w:tc>
        <w:tc>
          <w:tcPr>
            <w:tcW w:w="674" w:type="pct"/>
            <w:shd w:val="clear" w:color="auto" w:fill="auto"/>
            <w:vAlign w:val="center"/>
            <w:hideMark/>
          </w:tcPr>
          <w:p w14:paraId="17043E6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46,01 евро/хектолитър</w:t>
            </w:r>
          </w:p>
        </w:tc>
        <w:tc>
          <w:tcPr>
            <w:tcW w:w="674" w:type="pct"/>
            <w:shd w:val="clear" w:color="auto" w:fill="auto"/>
            <w:vAlign w:val="center"/>
            <w:hideMark/>
          </w:tcPr>
          <w:p w14:paraId="18DBAED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46,01 евро/хектолитър</w:t>
            </w:r>
          </w:p>
        </w:tc>
      </w:tr>
      <w:tr w:rsidR="00643B7B" w:rsidRPr="00643B7B" w14:paraId="47FAC2EF" w14:textId="77777777" w:rsidTr="00643B7B">
        <w:trPr>
          <w:trHeight w:val="510"/>
        </w:trPr>
        <w:tc>
          <w:tcPr>
            <w:tcW w:w="176" w:type="pct"/>
            <w:vMerge w:val="restart"/>
            <w:shd w:val="clear" w:color="auto" w:fill="auto"/>
            <w:hideMark/>
          </w:tcPr>
          <w:p w14:paraId="35A54B6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8.16.</w:t>
            </w:r>
          </w:p>
        </w:tc>
        <w:tc>
          <w:tcPr>
            <w:tcW w:w="1584" w:type="pct"/>
            <w:shd w:val="clear" w:color="auto" w:fill="auto"/>
            <w:hideMark/>
          </w:tcPr>
          <w:p w14:paraId="214BB4F2"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бира - основна ставка</w:t>
            </w:r>
          </w:p>
        </w:tc>
        <w:tc>
          <w:tcPr>
            <w:tcW w:w="544" w:type="pct"/>
            <w:vMerge w:val="restart"/>
            <w:shd w:val="clear" w:color="auto" w:fill="FBE4D5"/>
            <w:vAlign w:val="center"/>
            <w:hideMark/>
          </w:tcPr>
          <w:p w14:paraId="706976A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евро/хектолитър на градус Плато</w:t>
            </w:r>
          </w:p>
        </w:tc>
        <w:tc>
          <w:tcPr>
            <w:tcW w:w="674" w:type="pct"/>
            <w:shd w:val="clear" w:color="auto" w:fill="auto"/>
            <w:vAlign w:val="center"/>
            <w:hideMark/>
          </w:tcPr>
          <w:p w14:paraId="18FA2DE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0,77 евро/хектолитър на градус Плато</w:t>
            </w:r>
          </w:p>
        </w:tc>
        <w:tc>
          <w:tcPr>
            <w:tcW w:w="674" w:type="pct"/>
            <w:shd w:val="clear" w:color="auto" w:fill="auto"/>
            <w:vAlign w:val="center"/>
            <w:hideMark/>
          </w:tcPr>
          <w:p w14:paraId="50C0B2B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0,77 евро/хектолитър на градус Плато</w:t>
            </w:r>
          </w:p>
        </w:tc>
        <w:tc>
          <w:tcPr>
            <w:tcW w:w="674" w:type="pct"/>
            <w:shd w:val="clear" w:color="auto" w:fill="auto"/>
            <w:vAlign w:val="center"/>
            <w:hideMark/>
          </w:tcPr>
          <w:p w14:paraId="0B95EE1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0,77 евро/хектолитър на градус Плато</w:t>
            </w:r>
          </w:p>
        </w:tc>
        <w:tc>
          <w:tcPr>
            <w:tcW w:w="674" w:type="pct"/>
            <w:shd w:val="clear" w:color="auto" w:fill="auto"/>
            <w:vAlign w:val="center"/>
            <w:hideMark/>
          </w:tcPr>
          <w:p w14:paraId="11DC357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0,77 евро/хектолитър на градус Плато</w:t>
            </w:r>
          </w:p>
        </w:tc>
      </w:tr>
      <w:tr w:rsidR="00643B7B" w:rsidRPr="00643B7B" w14:paraId="45510424" w14:textId="77777777" w:rsidTr="004E4646">
        <w:trPr>
          <w:trHeight w:val="510"/>
        </w:trPr>
        <w:tc>
          <w:tcPr>
            <w:tcW w:w="176" w:type="pct"/>
            <w:vMerge/>
            <w:tcBorders>
              <w:bottom w:val="single" w:sz="4" w:space="0" w:color="auto"/>
            </w:tcBorders>
            <w:vAlign w:val="center"/>
            <w:hideMark/>
          </w:tcPr>
          <w:p w14:paraId="7A151BF8" w14:textId="77777777" w:rsidR="00643B7B" w:rsidRPr="00643B7B" w:rsidRDefault="00643B7B" w:rsidP="00643B7B">
            <w:pPr>
              <w:spacing w:after="0"/>
              <w:jc w:val="left"/>
              <w:rPr>
                <w:rFonts w:eastAsia="Times New Roman" w:cs="Times New Roman"/>
                <w:b/>
                <w:bCs/>
                <w:sz w:val="20"/>
                <w:szCs w:val="20"/>
              </w:rPr>
            </w:pPr>
          </w:p>
        </w:tc>
        <w:tc>
          <w:tcPr>
            <w:tcW w:w="1584" w:type="pct"/>
            <w:tcBorders>
              <w:bottom w:val="single" w:sz="4" w:space="0" w:color="auto"/>
            </w:tcBorders>
            <w:shd w:val="clear" w:color="auto" w:fill="auto"/>
            <w:hideMark/>
          </w:tcPr>
          <w:p w14:paraId="16DEEE6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намалена ставка за бира, произведена от независими малки пивоварни </w:t>
            </w:r>
          </w:p>
        </w:tc>
        <w:tc>
          <w:tcPr>
            <w:tcW w:w="544" w:type="pct"/>
            <w:vMerge/>
            <w:tcBorders>
              <w:bottom w:val="single" w:sz="4" w:space="0" w:color="auto"/>
            </w:tcBorders>
            <w:shd w:val="clear" w:color="auto" w:fill="FBE4D5"/>
            <w:vAlign w:val="center"/>
            <w:hideMark/>
          </w:tcPr>
          <w:p w14:paraId="016DDD30"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6ECB2B2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0,38 евро/хектолитър на градус Плато</w:t>
            </w:r>
          </w:p>
        </w:tc>
        <w:tc>
          <w:tcPr>
            <w:tcW w:w="674" w:type="pct"/>
            <w:tcBorders>
              <w:bottom w:val="single" w:sz="4" w:space="0" w:color="auto"/>
            </w:tcBorders>
            <w:shd w:val="clear" w:color="auto" w:fill="auto"/>
            <w:vAlign w:val="center"/>
            <w:hideMark/>
          </w:tcPr>
          <w:p w14:paraId="0342E07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0,38 евро/хектолитър на градус Плато</w:t>
            </w:r>
          </w:p>
        </w:tc>
        <w:tc>
          <w:tcPr>
            <w:tcW w:w="674" w:type="pct"/>
            <w:tcBorders>
              <w:bottom w:val="single" w:sz="4" w:space="0" w:color="auto"/>
            </w:tcBorders>
            <w:shd w:val="clear" w:color="auto" w:fill="auto"/>
            <w:vAlign w:val="center"/>
            <w:hideMark/>
          </w:tcPr>
          <w:p w14:paraId="37AA194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0,38 евро/хектолитър на градус Плато</w:t>
            </w:r>
          </w:p>
        </w:tc>
        <w:tc>
          <w:tcPr>
            <w:tcW w:w="674" w:type="pct"/>
            <w:tcBorders>
              <w:bottom w:val="single" w:sz="4" w:space="0" w:color="auto"/>
            </w:tcBorders>
            <w:shd w:val="clear" w:color="auto" w:fill="auto"/>
            <w:vAlign w:val="center"/>
            <w:hideMark/>
          </w:tcPr>
          <w:p w14:paraId="1397E5A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0,38 евро/хектолитър на градус Плато</w:t>
            </w:r>
          </w:p>
        </w:tc>
      </w:tr>
      <w:tr w:rsidR="00643B7B" w:rsidRPr="00643B7B" w14:paraId="79106BFC" w14:textId="77777777" w:rsidTr="004E4646">
        <w:trPr>
          <w:trHeight w:val="300"/>
        </w:trPr>
        <w:tc>
          <w:tcPr>
            <w:tcW w:w="176" w:type="pct"/>
            <w:vMerge w:val="restart"/>
            <w:tcBorders>
              <w:top w:val="single" w:sz="4" w:space="0" w:color="auto"/>
            </w:tcBorders>
            <w:shd w:val="clear" w:color="auto" w:fill="auto"/>
            <w:hideMark/>
          </w:tcPr>
          <w:p w14:paraId="5018AAD3" w14:textId="77777777" w:rsidR="00643B7B" w:rsidRPr="00643B7B" w:rsidRDefault="00643B7B" w:rsidP="00643B7B">
            <w:pPr>
              <w:spacing w:after="0"/>
              <w:jc w:val="center"/>
              <w:rPr>
                <w:rFonts w:eastAsia="Times New Roman" w:cs="Times New Roman"/>
                <w:b/>
                <w:bCs/>
                <w:sz w:val="20"/>
                <w:szCs w:val="20"/>
              </w:rPr>
            </w:pPr>
            <w:r w:rsidRPr="00643B7B">
              <w:rPr>
                <w:rFonts w:eastAsia="Times New Roman" w:cs="Times New Roman"/>
                <w:b/>
                <w:bCs/>
                <w:sz w:val="20"/>
                <w:szCs w:val="20"/>
              </w:rPr>
              <w:lastRenderedPageBreak/>
              <w:t>8.17.</w:t>
            </w:r>
          </w:p>
        </w:tc>
        <w:tc>
          <w:tcPr>
            <w:tcW w:w="1584" w:type="pct"/>
            <w:tcBorders>
              <w:top w:val="single" w:sz="4" w:space="0" w:color="auto"/>
            </w:tcBorders>
            <w:shd w:val="clear" w:color="auto" w:fill="auto"/>
            <w:hideMark/>
          </w:tcPr>
          <w:p w14:paraId="5D5E4102"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природния газ:</w:t>
            </w:r>
          </w:p>
        </w:tc>
        <w:tc>
          <w:tcPr>
            <w:tcW w:w="544" w:type="pct"/>
            <w:vMerge w:val="restart"/>
            <w:tcBorders>
              <w:top w:val="single" w:sz="4" w:space="0" w:color="auto"/>
            </w:tcBorders>
            <w:shd w:val="clear" w:color="auto" w:fill="FBE4D5"/>
            <w:vAlign w:val="center"/>
            <w:hideMark/>
          </w:tcPr>
          <w:p w14:paraId="03F0DA3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roofErr w:type="spellStart"/>
            <w:r w:rsidRPr="00643B7B">
              <w:rPr>
                <w:rFonts w:eastAsia="Times New Roman" w:cs="Times New Roman"/>
                <w:sz w:val="20"/>
                <w:szCs w:val="20"/>
              </w:rPr>
              <w:t>гигаджаул</w:t>
            </w:r>
            <w:proofErr w:type="spellEnd"/>
          </w:p>
        </w:tc>
        <w:tc>
          <w:tcPr>
            <w:tcW w:w="674" w:type="pct"/>
            <w:tcBorders>
              <w:top w:val="single" w:sz="4" w:space="0" w:color="auto"/>
            </w:tcBorders>
            <w:shd w:val="clear" w:color="auto" w:fill="auto"/>
            <w:vAlign w:val="center"/>
            <w:hideMark/>
          </w:tcPr>
          <w:p w14:paraId="49EF7C4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038011B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6333F2A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5AF1608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7CFE3613" w14:textId="77777777" w:rsidTr="00643B7B">
        <w:trPr>
          <w:trHeight w:val="300"/>
        </w:trPr>
        <w:tc>
          <w:tcPr>
            <w:tcW w:w="176" w:type="pct"/>
            <w:vMerge/>
            <w:vAlign w:val="center"/>
            <w:hideMark/>
          </w:tcPr>
          <w:p w14:paraId="060BA00E"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0707F62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 като моторно гориво</w:t>
            </w:r>
          </w:p>
        </w:tc>
        <w:tc>
          <w:tcPr>
            <w:tcW w:w="544" w:type="pct"/>
            <w:vMerge/>
            <w:shd w:val="clear" w:color="auto" w:fill="FBE4D5"/>
            <w:vAlign w:val="center"/>
            <w:hideMark/>
          </w:tcPr>
          <w:p w14:paraId="577B116E"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27588BF1"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0,43 евро/</w:t>
            </w:r>
            <w:proofErr w:type="spellStart"/>
            <w:r w:rsidRPr="00643B7B">
              <w:rPr>
                <w:rFonts w:eastAsia="Times New Roman" w:cs="Times New Roman"/>
                <w:i/>
                <w:iCs/>
                <w:sz w:val="20"/>
                <w:szCs w:val="20"/>
              </w:rPr>
              <w:t>гигаджаул</w:t>
            </w:r>
            <w:proofErr w:type="spellEnd"/>
          </w:p>
        </w:tc>
        <w:tc>
          <w:tcPr>
            <w:tcW w:w="674" w:type="pct"/>
            <w:shd w:val="clear" w:color="auto" w:fill="auto"/>
            <w:vAlign w:val="center"/>
            <w:hideMark/>
          </w:tcPr>
          <w:p w14:paraId="0AFD745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0,43 евро/</w:t>
            </w:r>
            <w:proofErr w:type="spellStart"/>
            <w:r w:rsidRPr="00643B7B">
              <w:rPr>
                <w:rFonts w:eastAsia="Times New Roman" w:cs="Times New Roman"/>
                <w:sz w:val="20"/>
                <w:szCs w:val="20"/>
              </w:rPr>
              <w:t>гигаджаул</w:t>
            </w:r>
            <w:proofErr w:type="spellEnd"/>
          </w:p>
        </w:tc>
        <w:tc>
          <w:tcPr>
            <w:tcW w:w="674" w:type="pct"/>
            <w:shd w:val="clear" w:color="auto" w:fill="auto"/>
            <w:vAlign w:val="center"/>
            <w:hideMark/>
          </w:tcPr>
          <w:p w14:paraId="38660F7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0,43 евро/</w:t>
            </w:r>
            <w:proofErr w:type="spellStart"/>
            <w:r w:rsidRPr="00643B7B">
              <w:rPr>
                <w:rFonts w:eastAsia="Times New Roman" w:cs="Times New Roman"/>
                <w:sz w:val="20"/>
                <w:szCs w:val="20"/>
              </w:rPr>
              <w:t>гигаджаул</w:t>
            </w:r>
            <w:proofErr w:type="spellEnd"/>
          </w:p>
        </w:tc>
        <w:tc>
          <w:tcPr>
            <w:tcW w:w="674" w:type="pct"/>
            <w:shd w:val="clear" w:color="auto" w:fill="auto"/>
            <w:vAlign w:val="center"/>
            <w:hideMark/>
          </w:tcPr>
          <w:p w14:paraId="3E6D2A5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0,43 евро/</w:t>
            </w:r>
            <w:proofErr w:type="spellStart"/>
            <w:r w:rsidRPr="00643B7B">
              <w:rPr>
                <w:rFonts w:eastAsia="Times New Roman" w:cs="Times New Roman"/>
                <w:sz w:val="20"/>
                <w:szCs w:val="20"/>
              </w:rPr>
              <w:t>гигаджаул</w:t>
            </w:r>
            <w:proofErr w:type="spellEnd"/>
          </w:p>
        </w:tc>
      </w:tr>
      <w:tr w:rsidR="00643B7B" w:rsidRPr="00643B7B" w14:paraId="6CA9C83C" w14:textId="77777777" w:rsidTr="00643B7B">
        <w:trPr>
          <w:trHeight w:val="300"/>
        </w:trPr>
        <w:tc>
          <w:tcPr>
            <w:tcW w:w="176" w:type="pct"/>
            <w:vMerge/>
            <w:vAlign w:val="center"/>
            <w:hideMark/>
          </w:tcPr>
          <w:p w14:paraId="3F6D7B60"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6622F11B"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 като гориво за отопление</w:t>
            </w:r>
          </w:p>
        </w:tc>
        <w:tc>
          <w:tcPr>
            <w:tcW w:w="544" w:type="pct"/>
            <w:vMerge/>
            <w:shd w:val="clear" w:color="auto" w:fill="FBE4D5"/>
            <w:vAlign w:val="center"/>
            <w:hideMark/>
          </w:tcPr>
          <w:p w14:paraId="658893D7"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39C82AF"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0,00 евро/</w:t>
            </w:r>
            <w:proofErr w:type="spellStart"/>
            <w:r w:rsidRPr="00643B7B">
              <w:rPr>
                <w:rFonts w:eastAsia="Times New Roman" w:cs="Times New Roman"/>
                <w:i/>
                <w:iCs/>
                <w:sz w:val="20"/>
                <w:szCs w:val="20"/>
              </w:rPr>
              <w:t>гигаджаул</w:t>
            </w:r>
            <w:proofErr w:type="spellEnd"/>
          </w:p>
        </w:tc>
        <w:tc>
          <w:tcPr>
            <w:tcW w:w="674" w:type="pct"/>
            <w:shd w:val="clear" w:color="auto" w:fill="auto"/>
            <w:vAlign w:val="center"/>
            <w:hideMark/>
          </w:tcPr>
          <w:p w14:paraId="664E5CC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 евро/</w:t>
            </w:r>
            <w:proofErr w:type="spellStart"/>
            <w:r w:rsidRPr="00643B7B">
              <w:rPr>
                <w:rFonts w:eastAsia="Times New Roman" w:cs="Times New Roman"/>
                <w:sz w:val="20"/>
                <w:szCs w:val="20"/>
              </w:rPr>
              <w:t>гигаджаул</w:t>
            </w:r>
            <w:proofErr w:type="spellEnd"/>
          </w:p>
        </w:tc>
        <w:tc>
          <w:tcPr>
            <w:tcW w:w="674" w:type="pct"/>
            <w:shd w:val="clear" w:color="auto" w:fill="auto"/>
            <w:vAlign w:val="center"/>
            <w:hideMark/>
          </w:tcPr>
          <w:p w14:paraId="6749F2A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 евро/</w:t>
            </w:r>
            <w:proofErr w:type="spellStart"/>
            <w:r w:rsidRPr="00643B7B">
              <w:rPr>
                <w:rFonts w:eastAsia="Times New Roman" w:cs="Times New Roman"/>
                <w:sz w:val="20"/>
                <w:szCs w:val="20"/>
              </w:rPr>
              <w:t>гигаджаул</w:t>
            </w:r>
            <w:proofErr w:type="spellEnd"/>
          </w:p>
        </w:tc>
        <w:tc>
          <w:tcPr>
            <w:tcW w:w="674" w:type="pct"/>
            <w:shd w:val="clear" w:color="auto" w:fill="auto"/>
            <w:vAlign w:val="center"/>
            <w:hideMark/>
          </w:tcPr>
          <w:p w14:paraId="1AEF62B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0,00 евро/</w:t>
            </w:r>
            <w:proofErr w:type="spellStart"/>
            <w:r w:rsidRPr="00643B7B">
              <w:rPr>
                <w:rFonts w:eastAsia="Times New Roman" w:cs="Times New Roman"/>
                <w:sz w:val="20"/>
                <w:szCs w:val="20"/>
              </w:rPr>
              <w:t>гигаджаул</w:t>
            </w:r>
            <w:proofErr w:type="spellEnd"/>
          </w:p>
        </w:tc>
      </w:tr>
      <w:tr w:rsidR="00643B7B" w:rsidRPr="00643B7B" w14:paraId="20D59FB7" w14:textId="77777777" w:rsidTr="00643B7B">
        <w:trPr>
          <w:trHeight w:val="300"/>
        </w:trPr>
        <w:tc>
          <w:tcPr>
            <w:tcW w:w="176" w:type="pct"/>
            <w:vMerge w:val="restart"/>
            <w:shd w:val="clear" w:color="auto" w:fill="auto"/>
            <w:hideMark/>
          </w:tcPr>
          <w:p w14:paraId="48739EE1" w14:textId="77777777" w:rsidR="00643B7B" w:rsidRPr="00643B7B" w:rsidRDefault="00643B7B" w:rsidP="00643B7B">
            <w:pPr>
              <w:spacing w:after="0"/>
              <w:jc w:val="center"/>
              <w:rPr>
                <w:rFonts w:eastAsia="Times New Roman" w:cs="Times New Roman"/>
                <w:b/>
                <w:bCs/>
                <w:sz w:val="20"/>
                <w:szCs w:val="20"/>
              </w:rPr>
            </w:pPr>
            <w:r w:rsidRPr="00643B7B">
              <w:rPr>
                <w:rFonts w:eastAsia="Times New Roman" w:cs="Times New Roman"/>
                <w:b/>
                <w:bCs/>
                <w:sz w:val="20"/>
                <w:szCs w:val="20"/>
              </w:rPr>
              <w:t>8.18.</w:t>
            </w:r>
          </w:p>
        </w:tc>
        <w:tc>
          <w:tcPr>
            <w:tcW w:w="1584" w:type="pct"/>
            <w:shd w:val="clear" w:color="auto" w:fill="auto"/>
            <w:hideMark/>
          </w:tcPr>
          <w:p w14:paraId="16A30BF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Акциз на тежки горива:</w:t>
            </w:r>
          </w:p>
        </w:tc>
        <w:tc>
          <w:tcPr>
            <w:tcW w:w="544" w:type="pct"/>
            <w:vMerge w:val="restart"/>
            <w:shd w:val="clear" w:color="auto" w:fill="FBE4D5"/>
            <w:vAlign w:val="center"/>
            <w:hideMark/>
          </w:tcPr>
          <w:p w14:paraId="080E974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евро/1000 кг.</w:t>
            </w:r>
          </w:p>
        </w:tc>
        <w:tc>
          <w:tcPr>
            <w:tcW w:w="674" w:type="pct"/>
            <w:shd w:val="clear" w:color="auto" w:fill="auto"/>
            <w:noWrap/>
            <w:vAlign w:val="bottom"/>
            <w:hideMark/>
          </w:tcPr>
          <w:p w14:paraId="32CDB657" w14:textId="77777777" w:rsidR="00643B7B" w:rsidRPr="00643B7B" w:rsidRDefault="00643B7B" w:rsidP="00643B7B">
            <w:pPr>
              <w:spacing w:after="0"/>
              <w:jc w:val="left"/>
              <w:rPr>
                <w:rFonts w:ascii="Calibri" w:eastAsia="Times New Roman" w:hAnsi="Calibri" w:cs="Calibri"/>
                <w:sz w:val="20"/>
                <w:szCs w:val="20"/>
              </w:rPr>
            </w:pPr>
            <w:r w:rsidRPr="00643B7B">
              <w:rPr>
                <w:rFonts w:ascii="Calibri" w:eastAsia="Times New Roman" w:hAnsi="Calibri" w:cs="Calibri"/>
                <w:sz w:val="20"/>
                <w:szCs w:val="20"/>
              </w:rPr>
              <w:t> </w:t>
            </w:r>
          </w:p>
        </w:tc>
        <w:tc>
          <w:tcPr>
            <w:tcW w:w="674" w:type="pct"/>
            <w:shd w:val="clear" w:color="auto" w:fill="auto"/>
            <w:noWrap/>
            <w:vAlign w:val="bottom"/>
            <w:hideMark/>
          </w:tcPr>
          <w:p w14:paraId="18D8E8A5" w14:textId="77777777" w:rsidR="00643B7B" w:rsidRPr="00643B7B" w:rsidRDefault="00643B7B" w:rsidP="00643B7B">
            <w:pPr>
              <w:spacing w:after="0"/>
              <w:jc w:val="left"/>
              <w:rPr>
                <w:rFonts w:ascii="Calibri" w:eastAsia="Times New Roman" w:hAnsi="Calibri" w:cs="Calibri"/>
                <w:sz w:val="20"/>
                <w:szCs w:val="20"/>
              </w:rPr>
            </w:pPr>
            <w:r w:rsidRPr="00643B7B">
              <w:rPr>
                <w:rFonts w:ascii="Calibri" w:eastAsia="Times New Roman" w:hAnsi="Calibri" w:cs="Calibri"/>
                <w:sz w:val="20"/>
                <w:szCs w:val="20"/>
              </w:rPr>
              <w:t> </w:t>
            </w:r>
          </w:p>
        </w:tc>
        <w:tc>
          <w:tcPr>
            <w:tcW w:w="674" w:type="pct"/>
            <w:shd w:val="clear" w:color="auto" w:fill="auto"/>
            <w:noWrap/>
            <w:vAlign w:val="bottom"/>
            <w:hideMark/>
          </w:tcPr>
          <w:p w14:paraId="5461CEE4" w14:textId="77777777" w:rsidR="00643B7B" w:rsidRPr="00643B7B" w:rsidRDefault="00643B7B" w:rsidP="00643B7B">
            <w:pPr>
              <w:spacing w:after="0"/>
              <w:jc w:val="left"/>
              <w:rPr>
                <w:rFonts w:ascii="Calibri" w:eastAsia="Times New Roman" w:hAnsi="Calibri" w:cs="Calibri"/>
                <w:sz w:val="20"/>
                <w:szCs w:val="20"/>
              </w:rPr>
            </w:pPr>
            <w:r w:rsidRPr="00643B7B">
              <w:rPr>
                <w:rFonts w:ascii="Calibri" w:eastAsia="Times New Roman" w:hAnsi="Calibri" w:cs="Calibri"/>
                <w:sz w:val="20"/>
                <w:szCs w:val="20"/>
              </w:rPr>
              <w:t> </w:t>
            </w:r>
          </w:p>
        </w:tc>
        <w:tc>
          <w:tcPr>
            <w:tcW w:w="674" w:type="pct"/>
            <w:shd w:val="clear" w:color="auto" w:fill="auto"/>
            <w:noWrap/>
            <w:vAlign w:val="bottom"/>
            <w:hideMark/>
          </w:tcPr>
          <w:p w14:paraId="474AEF92" w14:textId="77777777" w:rsidR="00643B7B" w:rsidRPr="00643B7B" w:rsidRDefault="00643B7B" w:rsidP="00643B7B">
            <w:pPr>
              <w:spacing w:after="0"/>
              <w:jc w:val="left"/>
              <w:rPr>
                <w:rFonts w:ascii="Calibri" w:eastAsia="Times New Roman" w:hAnsi="Calibri" w:cs="Calibri"/>
                <w:sz w:val="20"/>
                <w:szCs w:val="20"/>
              </w:rPr>
            </w:pPr>
            <w:r w:rsidRPr="00643B7B">
              <w:rPr>
                <w:rFonts w:ascii="Calibri" w:eastAsia="Times New Roman" w:hAnsi="Calibri" w:cs="Calibri"/>
                <w:sz w:val="20"/>
                <w:szCs w:val="20"/>
              </w:rPr>
              <w:t> </w:t>
            </w:r>
          </w:p>
        </w:tc>
      </w:tr>
      <w:tr w:rsidR="00643B7B" w:rsidRPr="00643B7B" w14:paraId="7CA85AAE" w14:textId="77777777" w:rsidTr="00643B7B">
        <w:trPr>
          <w:trHeight w:val="300"/>
        </w:trPr>
        <w:tc>
          <w:tcPr>
            <w:tcW w:w="176" w:type="pct"/>
            <w:vMerge/>
            <w:vAlign w:val="center"/>
            <w:hideMark/>
          </w:tcPr>
          <w:p w14:paraId="3E5CE3A2"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0C958184"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използвани като моторно гориво</w:t>
            </w:r>
          </w:p>
        </w:tc>
        <w:tc>
          <w:tcPr>
            <w:tcW w:w="544" w:type="pct"/>
            <w:vMerge/>
            <w:shd w:val="clear" w:color="auto" w:fill="FBE4D5"/>
            <w:vAlign w:val="center"/>
            <w:hideMark/>
          </w:tcPr>
          <w:p w14:paraId="5E965940"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8EAE436"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330,29 евро/1000 кг.</w:t>
            </w:r>
          </w:p>
        </w:tc>
        <w:tc>
          <w:tcPr>
            <w:tcW w:w="674" w:type="pct"/>
            <w:shd w:val="clear" w:color="auto" w:fill="auto"/>
            <w:vAlign w:val="center"/>
            <w:hideMark/>
          </w:tcPr>
          <w:p w14:paraId="7641BE0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кг.</w:t>
            </w:r>
          </w:p>
        </w:tc>
        <w:tc>
          <w:tcPr>
            <w:tcW w:w="674" w:type="pct"/>
            <w:shd w:val="clear" w:color="auto" w:fill="auto"/>
            <w:vAlign w:val="center"/>
            <w:hideMark/>
          </w:tcPr>
          <w:p w14:paraId="532457F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кг.</w:t>
            </w:r>
          </w:p>
        </w:tc>
        <w:tc>
          <w:tcPr>
            <w:tcW w:w="674" w:type="pct"/>
            <w:shd w:val="clear" w:color="auto" w:fill="auto"/>
            <w:vAlign w:val="center"/>
            <w:hideMark/>
          </w:tcPr>
          <w:p w14:paraId="345003A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330,29 евро/1000 кг.</w:t>
            </w:r>
          </w:p>
        </w:tc>
      </w:tr>
      <w:tr w:rsidR="00643B7B" w:rsidRPr="00643B7B" w14:paraId="7D0FFDA6" w14:textId="77777777" w:rsidTr="00643B7B">
        <w:trPr>
          <w:trHeight w:val="300"/>
        </w:trPr>
        <w:tc>
          <w:tcPr>
            <w:tcW w:w="176" w:type="pct"/>
            <w:vMerge/>
            <w:tcBorders>
              <w:bottom w:val="single" w:sz="4" w:space="0" w:color="auto"/>
            </w:tcBorders>
            <w:vAlign w:val="center"/>
            <w:hideMark/>
          </w:tcPr>
          <w:p w14:paraId="61ABB693" w14:textId="77777777" w:rsidR="00643B7B" w:rsidRPr="00643B7B" w:rsidRDefault="00643B7B" w:rsidP="00643B7B">
            <w:pPr>
              <w:spacing w:after="0"/>
              <w:jc w:val="left"/>
              <w:rPr>
                <w:rFonts w:eastAsia="Times New Roman" w:cs="Times New Roman"/>
                <w:b/>
                <w:bCs/>
                <w:sz w:val="20"/>
                <w:szCs w:val="20"/>
              </w:rPr>
            </w:pPr>
          </w:p>
        </w:tc>
        <w:tc>
          <w:tcPr>
            <w:tcW w:w="1584" w:type="pct"/>
            <w:tcBorders>
              <w:bottom w:val="single" w:sz="4" w:space="0" w:color="auto"/>
            </w:tcBorders>
            <w:shd w:val="clear" w:color="auto" w:fill="auto"/>
            <w:hideMark/>
          </w:tcPr>
          <w:p w14:paraId="13881EDD"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използвани като гориво за отопление</w:t>
            </w:r>
          </w:p>
        </w:tc>
        <w:tc>
          <w:tcPr>
            <w:tcW w:w="544" w:type="pct"/>
            <w:vMerge/>
            <w:tcBorders>
              <w:bottom w:val="single" w:sz="4" w:space="0" w:color="auto"/>
            </w:tcBorders>
            <w:shd w:val="clear" w:color="auto" w:fill="FBE4D5"/>
            <w:vAlign w:val="center"/>
            <w:hideMark/>
          </w:tcPr>
          <w:p w14:paraId="6814C89E"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0061486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204,52 евро/1000 кг.</w:t>
            </w:r>
          </w:p>
        </w:tc>
        <w:tc>
          <w:tcPr>
            <w:tcW w:w="674" w:type="pct"/>
            <w:tcBorders>
              <w:bottom w:val="single" w:sz="4" w:space="0" w:color="auto"/>
            </w:tcBorders>
            <w:shd w:val="clear" w:color="auto" w:fill="auto"/>
            <w:vAlign w:val="center"/>
            <w:hideMark/>
          </w:tcPr>
          <w:p w14:paraId="2F23DD6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204,52 евро/1000 кг.</w:t>
            </w:r>
          </w:p>
        </w:tc>
        <w:tc>
          <w:tcPr>
            <w:tcW w:w="674" w:type="pct"/>
            <w:tcBorders>
              <w:bottom w:val="single" w:sz="4" w:space="0" w:color="auto"/>
            </w:tcBorders>
            <w:shd w:val="clear" w:color="auto" w:fill="auto"/>
            <w:vAlign w:val="center"/>
            <w:hideMark/>
          </w:tcPr>
          <w:p w14:paraId="0DF0A80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204,52 евро/1000 кг.</w:t>
            </w:r>
          </w:p>
        </w:tc>
        <w:tc>
          <w:tcPr>
            <w:tcW w:w="674" w:type="pct"/>
            <w:tcBorders>
              <w:bottom w:val="single" w:sz="4" w:space="0" w:color="auto"/>
            </w:tcBorders>
            <w:shd w:val="clear" w:color="auto" w:fill="auto"/>
            <w:vAlign w:val="center"/>
            <w:hideMark/>
          </w:tcPr>
          <w:p w14:paraId="646B224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204,52 евро/1000 кг.</w:t>
            </w:r>
          </w:p>
        </w:tc>
      </w:tr>
      <w:tr w:rsidR="00643B7B" w:rsidRPr="00643B7B" w14:paraId="15BF074D" w14:textId="77777777" w:rsidTr="00643B7B">
        <w:trPr>
          <w:trHeight w:val="300"/>
        </w:trPr>
        <w:tc>
          <w:tcPr>
            <w:tcW w:w="176" w:type="pct"/>
            <w:tcBorders>
              <w:top w:val="single" w:sz="4" w:space="0" w:color="auto"/>
              <w:bottom w:val="single" w:sz="4" w:space="0" w:color="auto"/>
            </w:tcBorders>
            <w:shd w:val="clear" w:color="auto" w:fill="auto"/>
            <w:hideMark/>
          </w:tcPr>
          <w:p w14:paraId="6982B80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9.</w:t>
            </w:r>
          </w:p>
        </w:tc>
        <w:tc>
          <w:tcPr>
            <w:tcW w:w="1584" w:type="pct"/>
            <w:tcBorders>
              <w:top w:val="single" w:sz="4" w:space="0" w:color="auto"/>
              <w:bottom w:val="single" w:sz="4" w:space="0" w:color="auto"/>
            </w:tcBorders>
            <w:shd w:val="clear" w:color="auto" w:fill="auto"/>
            <w:hideMark/>
          </w:tcPr>
          <w:p w14:paraId="56DB902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Данък върху застрахователните премии</w:t>
            </w:r>
          </w:p>
        </w:tc>
        <w:tc>
          <w:tcPr>
            <w:tcW w:w="544" w:type="pct"/>
            <w:tcBorders>
              <w:top w:val="single" w:sz="4" w:space="0" w:color="auto"/>
              <w:bottom w:val="single" w:sz="4" w:space="0" w:color="auto"/>
            </w:tcBorders>
            <w:shd w:val="clear" w:color="auto" w:fill="FBE4D5"/>
            <w:vAlign w:val="center"/>
            <w:hideMark/>
          </w:tcPr>
          <w:p w14:paraId="40371D2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1D668FA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w:t>
            </w:r>
          </w:p>
        </w:tc>
        <w:tc>
          <w:tcPr>
            <w:tcW w:w="674" w:type="pct"/>
            <w:tcBorders>
              <w:top w:val="single" w:sz="4" w:space="0" w:color="auto"/>
              <w:bottom w:val="single" w:sz="4" w:space="0" w:color="auto"/>
            </w:tcBorders>
            <w:shd w:val="clear" w:color="auto" w:fill="auto"/>
            <w:vAlign w:val="center"/>
            <w:hideMark/>
          </w:tcPr>
          <w:p w14:paraId="02A2BB4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w:t>
            </w:r>
          </w:p>
        </w:tc>
        <w:tc>
          <w:tcPr>
            <w:tcW w:w="674" w:type="pct"/>
            <w:tcBorders>
              <w:top w:val="single" w:sz="4" w:space="0" w:color="auto"/>
              <w:bottom w:val="single" w:sz="4" w:space="0" w:color="auto"/>
            </w:tcBorders>
            <w:shd w:val="clear" w:color="auto" w:fill="auto"/>
            <w:vAlign w:val="center"/>
            <w:hideMark/>
          </w:tcPr>
          <w:p w14:paraId="37F6C3E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w:t>
            </w:r>
          </w:p>
        </w:tc>
        <w:tc>
          <w:tcPr>
            <w:tcW w:w="674" w:type="pct"/>
            <w:tcBorders>
              <w:top w:val="single" w:sz="4" w:space="0" w:color="auto"/>
              <w:bottom w:val="single" w:sz="4" w:space="0" w:color="auto"/>
            </w:tcBorders>
            <w:shd w:val="clear" w:color="auto" w:fill="auto"/>
            <w:vAlign w:val="center"/>
            <w:hideMark/>
          </w:tcPr>
          <w:p w14:paraId="10C5F7C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w:t>
            </w:r>
          </w:p>
        </w:tc>
      </w:tr>
      <w:tr w:rsidR="00643B7B" w:rsidRPr="00643B7B" w14:paraId="4967A346" w14:textId="77777777" w:rsidTr="00643B7B">
        <w:trPr>
          <w:trHeight w:val="300"/>
        </w:trPr>
        <w:tc>
          <w:tcPr>
            <w:tcW w:w="176" w:type="pct"/>
            <w:tcBorders>
              <w:top w:val="single" w:sz="4" w:space="0" w:color="auto"/>
              <w:bottom w:val="single" w:sz="4" w:space="0" w:color="auto"/>
            </w:tcBorders>
            <w:shd w:val="clear" w:color="auto" w:fill="auto"/>
            <w:hideMark/>
          </w:tcPr>
          <w:p w14:paraId="5C87DA6E"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10.</w:t>
            </w:r>
          </w:p>
        </w:tc>
        <w:tc>
          <w:tcPr>
            <w:tcW w:w="1584" w:type="pct"/>
            <w:tcBorders>
              <w:top w:val="single" w:sz="4" w:space="0" w:color="auto"/>
              <w:bottom w:val="single" w:sz="4" w:space="0" w:color="auto"/>
            </w:tcBorders>
            <w:shd w:val="clear" w:color="auto" w:fill="auto"/>
            <w:hideMark/>
          </w:tcPr>
          <w:p w14:paraId="62D3966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минималната работна заплата</w:t>
            </w:r>
          </w:p>
        </w:tc>
        <w:tc>
          <w:tcPr>
            <w:tcW w:w="544" w:type="pct"/>
            <w:tcBorders>
              <w:top w:val="single" w:sz="4" w:space="0" w:color="auto"/>
              <w:bottom w:val="single" w:sz="4" w:space="0" w:color="auto"/>
            </w:tcBorders>
            <w:shd w:val="clear" w:color="auto" w:fill="FBE4D5"/>
            <w:vAlign w:val="center"/>
            <w:hideMark/>
          </w:tcPr>
          <w:p w14:paraId="6A3E1BE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6BC22E8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xml:space="preserve">550,66 </w:t>
            </w:r>
          </w:p>
        </w:tc>
        <w:tc>
          <w:tcPr>
            <w:tcW w:w="674" w:type="pct"/>
            <w:tcBorders>
              <w:top w:val="single" w:sz="4" w:space="0" w:color="auto"/>
              <w:bottom w:val="single" w:sz="4" w:space="0" w:color="auto"/>
            </w:tcBorders>
            <w:shd w:val="clear" w:color="auto" w:fill="auto"/>
            <w:vAlign w:val="center"/>
            <w:hideMark/>
          </w:tcPr>
          <w:p w14:paraId="137F222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w:t>
            </w:r>
            <w:r w:rsidRPr="00643B7B">
              <w:rPr>
                <w:rFonts w:eastAsia="Times New Roman" w:cs="Times New Roman"/>
                <w:sz w:val="20"/>
                <w:szCs w:val="20"/>
                <w:lang w:val="en-US"/>
              </w:rPr>
              <w:t>20</w:t>
            </w:r>
            <w:r w:rsidRPr="00643B7B">
              <w:rPr>
                <w:rFonts w:eastAsia="Times New Roman" w:cs="Times New Roman"/>
                <w:sz w:val="20"/>
                <w:szCs w:val="20"/>
              </w:rPr>
              <w:t xml:space="preserve">,20 </w:t>
            </w:r>
          </w:p>
        </w:tc>
        <w:tc>
          <w:tcPr>
            <w:tcW w:w="674" w:type="pct"/>
            <w:tcBorders>
              <w:top w:val="single" w:sz="4" w:space="0" w:color="auto"/>
              <w:bottom w:val="single" w:sz="4" w:space="0" w:color="auto"/>
            </w:tcBorders>
            <w:shd w:val="clear" w:color="auto" w:fill="auto"/>
            <w:vAlign w:val="center"/>
            <w:hideMark/>
          </w:tcPr>
          <w:p w14:paraId="0F4DB51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xml:space="preserve">620,20 </w:t>
            </w:r>
          </w:p>
        </w:tc>
        <w:tc>
          <w:tcPr>
            <w:tcW w:w="674" w:type="pct"/>
            <w:tcBorders>
              <w:top w:val="single" w:sz="4" w:space="0" w:color="auto"/>
              <w:bottom w:val="single" w:sz="4" w:space="0" w:color="auto"/>
            </w:tcBorders>
            <w:shd w:val="clear" w:color="auto" w:fill="auto"/>
            <w:vAlign w:val="center"/>
            <w:hideMark/>
          </w:tcPr>
          <w:p w14:paraId="3329106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620, 20</w:t>
            </w:r>
          </w:p>
        </w:tc>
      </w:tr>
      <w:tr w:rsidR="00643B7B" w:rsidRPr="00643B7B" w14:paraId="2ADD1ED0" w14:textId="77777777" w:rsidTr="00643B7B">
        <w:trPr>
          <w:trHeight w:val="510"/>
        </w:trPr>
        <w:tc>
          <w:tcPr>
            <w:tcW w:w="176" w:type="pct"/>
            <w:tcBorders>
              <w:top w:val="single" w:sz="4" w:space="0" w:color="auto"/>
            </w:tcBorders>
            <w:shd w:val="clear" w:color="auto" w:fill="auto"/>
            <w:hideMark/>
          </w:tcPr>
          <w:p w14:paraId="27EF9C6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11.</w:t>
            </w:r>
          </w:p>
        </w:tc>
        <w:tc>
          <w:tcPr>
            <w:tcW w:w="1584" w:type="pct"/>
            <w:tcBorders>
              <w:top w:val="single" w:sz="4" w:space="0" w:color="auto"/>
            </w:tcBorders>
            <w:shd w:val="clear" w:color="auto" w:fill="auto"/>
            <w:hideMark/>
          </w:tcPr>
          <w:p w14:paraId="2E51064C"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осигурителните вноски за държавното обществено осигуряване</w:t>
            </w:r>
          </w:p>
        </w:tc>
        <w:tc>
          <w:tcPr>
            <w:tcW w:w="544" w:type="pct"/>
            <w:vMerge w:val="restart"/>
            <w:tcBorders>
              <w:top w:val="single" w:sz="4" w:space="0" w:color="auto"/>
            </w:tcBorders>
            <w:shd w:val="clear" w:color="auto" w:fill="FBE4D5"/>
            <w:vAlign w:val="center"/>
            <w:hideMark/>
          </w:tcPr>
          <w:p w14:paraId="756B5F6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33372146"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650438D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6E059C1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6841441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580F36FB" w14:textId="77777777" w:rsidTr="00643B7B">
        <w:trPr>
          <w:trHeight w:val="300"/>
        </w:trPr>
        <w:tc>
          <w:tcPr>
            <w:tcW w:w="176" w:type="pct"/>
            <w:shd w:val="clear" w:color="auto" w:fill="auto"/>
            <w:hideMark/>
          </w:tcPr>
          <w:p w14:paraId="7FF3D4D8"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48396704"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5D31EABB"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5F06DF7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25B71E9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7D1E2CB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09A69E2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47B18B5E" w14:textId="77777777" w:rsidTr="00643B7B">
        <w:trPr>
          <w:trHeight w:val="510"/>
        </w:trPr>
        <w:tc>
          <w:tcPr>
            <w:tcW w:w="176" w:type="pct"/>
            <w:vMerge w:val="restart"/>
            <w:shd w:val="clear" w:color="auto" w:fill="auto"/>
            <w:hideMark/>
          </w:tcPr>
          <w:p w14:paraId="5ABD271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11.1.</w:t>
            </w:r>
          </w:p>
        </w:tc>
        <w:tc>
          <w:tcPr>
            <w:tcW w:w="1584" w:type="pct"/>
            <w:vMerge w:val="restart"/>
            <w:shd w:val="clear" w:color="auto" w:fill="auto"/>
            <w:hideMark/>
          </w:tcPr>
          <w:p w14:paraId="259119B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за фонд „Пенсии”</w:t>
            </w:r>
            <w:r w:rsidRPr="00643B7B">
              <w:rPr>
                <w:rFonts w:eastAsia="Times New Roman" w:cs="Times New Roman"/>
                <w:sz w:val="20"/>
                <w:szCs w:val="20"/>
              </w:rPr>
              <w:br/>
              <w:t>(посочените размери за осигурителната вноска за лицата, родени след 31 декември 1959 г. са за лицата, които се осигуряват и за допълнително задължително пенсионно осигуряване в универсален пенсионен фонд)</w:t>
            </w:r>
          </w:p>
        </w:tc>
        <w:tc>
          <w:tcPr>
            <w:tcW w:w="544" w:type="pct"/>
            <w:vMerge w:val="restart"/>
            <w:shd w:val="clear" w:color="auto" w:fill="FBE4D5"/>
            <w:vAlign w:val="center"/>
            <w:hideMark/>
          </w:tcPr>
          <w:p w14:paraId="4A932C3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shd w:val="clear" w:color="auto" w:fill="auto"/>
            <w:vAlign w:val="center"/>
            <w:hideMark/>
          </w:tcPr>
          <w:p w14:paraId="0B14D596"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19,8 за родените преди 1 януари 1960 г.;</w:t>
            </w:r>
          </w:p>
        </w:tc>
        <w:tc>
          <w:tcPr>
            <w:tcW w:w="674" w:type="pct"/>
            <w:shd w:val="clear" w:color="auto" w:fill="auto"/>
            <w:vAlign w:val="center"/>
            <w:hideMark/>
          </w:tcPr>
          <w:p w14:paraId="3952A286" w14:textId="77777777" w:rsidR="00643B7B" w:rsidRPr="00643B7B" w:rsidRDefault="00643B7B" w:rsidP="00643B7B">
            <w:pPr>
              <w:spacing w:after="0"/>
              <w:jc w:val="center"/>
              <w:rPr>
                <w:rFonts w:eastAsia="Times New Roman" w:cs="Times New Roman"/>
                <w:iCs/>
                <w:sz w:val="20"/>
                <w:szCs w:val="20"/>
              </w:rPr>
            </w:pPr>
            <w:r w:rsidRPr="00643B7B">
              <w:rPr>
                <w:rFonts w:eastAsia="Times New Roman" w:cs="Times New Roman"/>
                <w:iCs/>
                <w:sz w:val="20"/>
                <w:szCs w:val="20"/>
              </w:rPr>
              <w:t>19,8 за родените преди 1 януари 1960 г.;</w:t>
            </w:r>
          </w:p>
        </w:tc>
        <w:tc>
          <w:tcPr>
            <w:tcW w:w="674" w:type="pct"/>
            <w:shd w:val="clear" w:color="auto" w:fill="auto"/>
            <w:vAlign w:val="center"/>
            <w:hideMark/>
          </w:tcPr>
          <w:p w14:paraId="3231D00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20,8 за родените преди 1 януари 1960 г.;</w:t>
            </w:r>
          </w:p>
        </w:tc>
        <w:tc>
          <w:tcPr>
            <w:tcW w:w="674" w:type="pct"/>
            <w:shd w:val="clear" w:color="auto" w:fill="auto"/>
            <w:vAlign w:val="center"/>
            <w:hideMark/>
          </w:tcPr>
          <w:p w14:paraId="3C05DB0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22,8 за родените преди 1 януари 1960 г.;</w:t>
            </w:r>
          </w:p>
        </w:tc>
      </w:tr>
      <w:tr w:rsidR="00643B7B" w:rsidRPr="00643B7B" w14:paraId="787A7BBE" w14:textId="77777777" w:rsidTr="00643B7B">
        <w:trPr>
          <w:trHeight w:val="1140"/>
        </w:trPr>
        <w:tc>
          <w:tcPr>
            <w:tcW w:w="176" w:type="pct"/>
            <w:vMerge/>
            <w:vAlign w:val="center"/>
            <w:hideMark/>
          </w:tcPr>
          <w:p w14:paraId="013C627B" w14:textId="77777777" w:rsidR="00643B7B" w:rsidRPr="00643B7B" w:rsidRDefault="00643B7B" w:rsidP="00643B7B">
            <w:pPr>
              <w:spacing w:after="0"/>
              <w:jc w:val="left"/>
              <w:rPr>
                <w:rFonts w:eastAsia="Times New Roman" w:cs="Times New Roman"/>
                <w:b/>
                <w:bCs/>
                <w:sz w:val="20"/>
                <w:szCs w:val="20"/>
              </w:rPr>
            </w:pPr>
          </w:p>
        </w:tc>
        <w:tc>
          <w:tcPr>
            <w:tcW w:w="1584" w:type="pct"/>
            <w:vMerge/>
            <w:vAlign w:val="center"/>
            <w:hideMark/>
          </w:tcPr>
          <w:p w14:paraId="049AA72F" w14:textId="77777777" w:rsidR="00643B7B" w:rsidRPr="00643B7B" w:rsidRDefault="00643B7B" w:rsidP="00643B7B">
            <w:pPr>
              <w:spacing w:after="0"/>
              <w:jc w:val="left"/>
              <w:rPr>
                <w:rFonts w:eastAsia="Times New Roman" w:cs="Times New Roman"/>
                <w:sz w:val="20"/>
                <w:szCs w:val="20"/>
              </w:rPr>
            </w:pPr>
          </w:p>
        </w:tc>
        <w:tc>
          <w:tcPr>
            <w:tcW w:w="544" w:type="pct"/>
            <w:vMerge/>
            <w:shd w:val="clear" w:color="auto" w:fill="FBE4D5"/>
            <w:vAlign w:val="center"/>
            <w:hideMark/>
          </w:tcPr>
          <w:p w14:paraId="3C0C66C8"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2CFC82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14,8 за родените след 31 декември 1959 г.</w:t>
            </w:r>
          </w:p>
        </w:tc>
        <w:tc>
          <w:tcPr>
            <w:tcW w:w="674" w:type="pct"/>
            <w:shd w:val="clear" w:color="auto" w:fill="auto"/>
            <w:vAlign w:val="center"/>
            <w:hideMark/>
          </w:tcPr>
          <w:p w14:paraId="383F45CF" w14:textId="77777777" w:rsidR="00643B7B" w:rsidRPr="00643B7B" w:rsidRDefault="00643B7B" w:rsidP="00643B7B">
            <w:pPr>
              <w:spacing w:after="0"/>
              <w:jc w:val="center"/>
              <w:rPr>
                <w:rFonts w:eastAsia="Times New Roman" w:cs="Times New Roman"/>
                <w:iCs/>
                <w:sz w:val="20"/>
                <w:szCs w:val="20"/>
              </w:rPr>
            </w:pPr>
            <w:r w:rsidRPr="00643B7B">
              <w:rPr>
                <w:rFonts w:eastAsia="Times New Roman" w:cs="Times New Roman"/>
                <w:iCs/>
                <w:sz w:val="20"/>
                <w:szCs w:val="20"/>
              </w:rPr>
              <w:t>14,8 за родените след 31 декември 1959 г.</w:t>
            </w:r>
          </w:p>
        </w:tc>
        <w:tc>
          <w:tcPr>
            <w:tcW w:w="674" w:type="pct"/>
            <w:shd w:val="clear" w:color="auto" w:fill="auto"/>
            <w:vAlign w:val="center"/>
            <w:hideMark/>
          </w:tcPr>
          <w:p w14:paraId="6E65D96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15,8 за родените след 31 декември 1959 г.</w:t>
            </w:r>
          </w:p>
        </w:tc>
        <w:tc>
          <w:tcPr>
            <w:tcW w:w="674" w:type="pct"/>
            <w:shd w:val="clear" w:color="auto" w:fill="auto"/>
            <w:vAlign w:val="center"/>
            <w:hideMark/>
          </w:tcPr>
          <w:p w14:paraId="5452685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17,8 за родените след 31 декември 1959 г.</w:t>
            </w:r>
          </w:p>
        </w:tc>
      </w:tr>
      <w:tr w:rsidR="00643B7B" w:rsidRPr="00643B7B" w14:paraId="4AD59D43" w14:textId="77777777" w:rsidTr="00643B7B">
        <w:trPr>
          <w:trHeight w:val="510"/>
        </w:trPr>
        <w:tc>
          <w:tcPr>
            <w:tcW w:w="176" w:type="pct"/>
            <w:vMerge w:val="restart"/>
            <w:shd w:val="clear" w:color="auto" w:fill="auto"/>
            <w:hideMark/>
          </w:tcPr>
          <w:p w14:paraId="0DEA1E9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11.2.</w:t>
            </w:r>
          </w:p>
        </w:tc>
        <w:tc>
          <w:tcPr>
            <w:tcW w:w="1584" w:type="pct"/>
            <w:vMerge w:val="restart"/>
            <w:shd w:val="clear" w:color="auto" w:fill="auto"/>
            <w:hideMark/>
          </w:tcPr>
          <w:p w14:paraId="69A33B93"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за фонд „Пенсии за лицата по чл. 69“</w:t>
            </w:r>
            <w:r w:rsidRPr="00643B7B">
              <w:rPr>
                <w:rFonts w:eastAsia="Times New Roman" w:cs="Times New Roman"/>
                <w:sz w:val="20"/>
                <w:szCs w:val="20"/>
              </w:rPr>
              <w:br/>
              <w:t>(посочените размери за осигурителната вноска за лицата, родени след 31 декември 1959 г. са за лицата, които се осигуряват и за допълнително задължително пенсионно осигуряване в универсален пенсионен фонд)</w:t>
            </w:r>
          </w:p>
        </w:tc>
        <w:tc>
          <w:tcPr>
            <w:tcW w:w="544" w:type="pct"/>
            <w:vMerge/>
            <w:shd w:val="clear" w:color="auto" w:fill="FBE4D5"/>
            <w:vAlign w:val="center"/>
            <w:hideMark/>
          </w:tcPr>
          <w:p w14:paraId="36315842"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1E13BE5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60,8 за родените преди 1 януари 1960 г.;</w:t>
            </w:r>
          </w:p>
        </w:tc>
        <w:tc>
          <w:tcPr>
            <w:tcW w:w="674" w:type="pct"/>
            <w:shd w:val="clear" w:color="auto" w:fill="auto"/>
            <w:vAlign w:val="center"/>
            <w:hideMark/>
          </w:tcPr>
          <w:p w14:paraId="767A95D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60,8 за родените преди 1 януари 1960 г.;</w:t>
            </w:r>
          </w:p>
        </w:tc>
        <w:tc>
          <w:tcPr>
            <w:tcW w:w="674" w:type="pct"/>
            <w:shd w:val="clear" w:color="auto" w:fill="auto"/>
            <w:vAlign w:val="center"/>
            <w:hideMark/>
          </w:tcPr>
          <w:p w14:paraId="57D3C28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60,8 за родените преди 1 януари 1960 г.;</w:t>
            </w:r>
          </w:p>
        </w:tc>
        <w:tc>
          <w:tcPr>
            <w:tcW w:w="674" w:type="pct"/>
            <w:shd w:val="clear" w:color="auto" w:fill="auto"/>
            <w:vAlign w:val="center"/>
            <w:hideMark/>
          </w:tcPr>
          <w:p w14:paraId="71D9C7D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60,8 за родените преди 1 януари 1960 г.;</w:t>
            </w:r>
          </w:p>
        </w:tc>
      </w:tr>
      <w:tr w:rsidR="00643B7B" w:rsidRPr="00643B7B" w14:paraId="4F05915D" w14:textId="77777777" w:rsidTr="00643B7B">
        <w:trPr>
          <w:trHeight w:val="1080"/>
        </w:trPr>
        <w:tc>
          <w:tcPr>
            <w:tcW w:w="176" w:type="pct"/>
            <w:vMerge/>
            <w:vAlign w:val="center"/>
            <w:hideMark/>
          </w:tcPr>
          <w:p w14:paraId="7FFEF8DD" w14:textId="77777777" w:rsidR="00643B7B" w:rsidRPr="00643B7B" w:rsidRDefault="00643B7B" w:rsidP="00643B7B">
            <w:pPr>
              <w:spacing w:after="0"/>
              <w:jc w:val="left"/>
              <w:rPr>
                <w:rFonts w:eastAsia="Times New Roman" w:cs="Times New Roman"/>
                <w:b/>
                <w:bCs/>
                <w:sz w:val="20"/>
                <w:szCs w:val="20"/>
              </w:rPr>
            </w:pPr>
          </w:p>
        </w:tc>
        <w:tc>
          <w:tcPr>
            <w:tcW w:w="1584" w:type="pct"/>
            <w:vMerge/>
            <w:vAlign w:val="center"/>
            <w:hideMark/>
          </w:tcPr>
          <w:p w14:paraId="739E3B35" w14:textId="77777777" w:rsidR="00643B7B" w:rsidRPr="00643B7B" w:rsidRDefault="00643B7B" w:rsidP="00643B7B">
            <w:pPr>
              <w:spacing w:after="0"/>
              <w:jc w:val="left"/>
              <w:rPr>
                <w:rFonts w:eastAsia="Times New Roman" w:cs="Times New Roman"/>
                <w:sz w:val="20"/>
                <w:szCs w:val="20"/>
              </w:rPr>
            </w:pPr>
          </w:p>
        </w:tc>
        <w:tc>
          <w:tcPr>
            <w:tcW w:w="544" w:type="pct"/>
            <w:vMerge/>
            <w:shd w:val="clear" w:color="auto" w:fill="FBE4D5"/>
            <w:vAlign w:val="center"/>
            <w:hideMark/>
          </w:tcPr>
          <w:p w14:paraId="18524316"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26E46CF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55,8 за родените след 31 декември 1959 г.</w:t>
            </w:r>
          </w:p>
        </w:tc>
        <w:tc>
          <w:tcPr>
            <w:tcW w:w="674" w:type="pct"/>
            <w:shd w:val="clear" w:color="auto" w:fill="auto"/>
            <w:vAlign w:val="center"/>
            <w:hideMark/>
          </w:tcPr>
          <w:p w14:paraId="2434647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55,8 за родените след 31 декември 1959 г.</w:t>
            </w:r>
          </w:p>
        </w:tc>
        <w:tc>
          <w:tcPr>
            <w:tcW w:w="674" w:type="pct"/>
            <w:shd w:val="clear" w:color="auto" w:fill="auto"/>
            <w:vAlign w:val="center"/>
            <w:hideMark/>
          </w:tcPr>
          <w:p w14:paraId="08FF204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55,8 за родените след 31 декември 1959 г.</w:t>
            </w:r>
          </w:p>
        </w:tc>
        <w:tc>
          <w:tcPr>
            <w:tcW w:w="674" w:type="pct"/>
            <w:shd w:val="clear" w:color="auto" w:fill="auto"/>
            <w:vAlign w:val="center"/>
            <w:hideMark/>
          </w:tcPr>
          <w:p w14:paraId="3E86A8C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55,8 за родените след 31 декември 1959 г.</w:t>
            </w:r>
          </w:p>
        </w:tc>
      </w:tr>
      <w:tr w:rsidR="00643B7B" w:rsidRPr="00643B7B" w14:paraId="095B8BD2" w14:textId="77777777" w:rsidTr="004E4646">
        <w:trPr>
          <w:trHeight w:val="300"/>
        </w:trPr>
        <w:tc>
          <w:tcPr>
            <w:tcW w:w="176" w:type="pct"/>
            <w:shd w:val="clear" w:color="auto" w:fill="auto"/>
            <w:hideMark/>
          </w:tcPr>
          <w:p w14:paraId="23A68A08"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11.3.</w:t>
            </w:r>
          </w:p>
        </w:tc>
        <w:tc>
          <w:tcPr>
            <w:tcW w:w="1584" w:type="pct"/>
            <w:shd w:val="clear" w:color="auto" w:fill="auto"/>
            <w:hideMark/>
          </w:tcPr>
          <w:p w14:paraId="470A284D"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за фонд „Общо заболяване и майчинство”</w:t>
            </w:r>
          </w:p>
        </w:tc>
        <w:tc>
          <w:tcPr>
            <w:tcW w:w="544" w:type="pct"/>
            <w:vMerge/>
            <w:shd w:val="clear" w:color="auto" w:fill="FBE4D5"/>
            <w:vAlign w:val="center"/>
            <w:hideMark/>
          </w:tcPr>
          <w:p w14:paraId="6BB8F22E"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312FB13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3,5</w:t>
            </w:r>
          </w:p>
        </w:tc>
        <w:tc>
          <w:tcPr>
            <w:tcW w:w="674" w:type="pct"/>
            <w:shd w:val="clear" w:color="auto" w:fill="auto"/>
            <w:vAlign w:val="center"/>
            <w:hideMark/>
          </w:tcPr>
          <w:p w14:paraId="0DAF6BF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3,5</w:t>
            </w:r>
          </w:p>
        </w:tc>
        <w:tc>
          <w:tcPr>
            <w:tcW w:w="674" w:type="pct"/>
            <w:shd w:val="clear" w:color="auto" w:fill="auto"/>
            <w:vAlign w:val="center"/>
            <w:hideMark/>
          </w:tcPr>
          <w:p w14:paraId="1DCDD7C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3,5</w:t>
            </w:r>
          </w:p>
        </w:tc>
        <w:tc>
          <w:tcPr>
            <w:tcW w:w="674" w:type="pct"/>
            <w:shd w:val="clear" w:color="auto" w:fill="auto"/>
            <w:vAlign w:val="center"/>
            <w:hideMark/>
          </w:tcPr>
          <w:p w14:paraId="7CDB6FC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3,5</w:t>
            </w:r>
          </w:p>
        </w:tc>
      </w:tr>
      <w:tr w:rsidR="00643B7B" w:rsidRPr="00643B7B" w14:paraId="4A836DF3" w14:textId="77777777" w:rsidTr="00643B7B">
        <w:trPr>
          <w:trHeight w:val="300"/>
        </w:trPr>
        <w:tc>
          <w:tcPr>
            <w:tcW w:w="176" w:type="pct"/>
            <w:vMerge w:val="restart"/>
            <w:shd w:val="clear" w:color="auto" w:fill="auto"/>
            <w:hideMark/>
          </w:tcPr>
          <w:p w14:paraId="180FB40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11.4.</w:t>
            </w:r>
          </w:p>
        </w:tc>
        <w:tc>
          <w:tcPr>
            <w:tcW w:w="1584" w:type="pct"/>
            <w:vMerge w:val="restart"/>
            <w:shd w:val="clear" w:color="auto" w:fill="auto"/>
            <w:hideMark/>
          </w:tcPr>
          <w:p w14:paraId="2D7B62D7"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за фонд „Трудова злополука и професионална болест”</w:t>
            </w:r>
          </w:p>
        </w:tc>
        <w:tc>
          <w:tcPr>
            <w:tcW w:w="544" w:type="pct"/>
            <w:vMerge/>
            <w:shd w:val="clear" w:color="auto" w:fill="FBE4D5"/>
            <w:vAlign w:val="center"/>
            <w:hideMark/>
          </w:tcPr>
          <w:p w14:paraId="718B9F34"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14678A9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0,7</w:t>
            </w:r>
          </w:p>
        </w:tc>
        <w:tc>
          <w:tcPr>
            <w:tcW w:w="674" w:type="pct"/>
            <w:shd w:val="clear" w:color="auto" w:fill="auto"/>
            <w:vAlign w:val="center"/>
            <w:hideMark/>
          </w:tcPr>
          <w:p w14:paraId="633BE67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0,7</w:t>
            </w:r>
          </w:p>
        </w:tc>
        <w:tc>
          <w:tcPr>
            <w:tcW w:w="674" w:type="pct"/>
            <w:shd w:val="clear" w:color="auto" w:fill="auto"/>
            <w:vAlign w:val="center"/>
            <w:hideMark/>
          </w:tcPr>
          <w:p w14:paraId="0C0564D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0,7</w:t>
            </w:r>
          </w:p>
        </w:tc>
        <w:tc>
          <w:tcPr>
            <w:tcW w:w="674" w:type="pct"/>
            <w:shd w:val="clear" w:color="auto" w:fill="auto"/>
            <w:vAlign w:val="center"/>
            <w:hideMark/>
          </w:tcPr>
          <w:p w14:paraId="45FB088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0,7</w:t>
            </w:r>
          </w:p>
        </w:tc>
      </w:tr>
      <w:tr w:rsidR="00643B7B" w:rsidRPr="00643B7B" w14:paraId="22397560" w14:textId="77777777" w:rsidTr="004E4646">
        <w:trPr>
          <w:trHeight w:val="765"/>
        </w:trPr>
        <w:tc>
          <w:tcPr>
            <w:tcW w:w="176" w:type="pct"/>
            <w:vMerge/>
            <w:tcBorders>
              <w:bottom w:val="single" w:sz="4" w:space="0" w:color="auto"/>
            </w:tcBorders>
            <w:vAlign w:val="center"/>
            <w:hideMark/>
          </w:tcPr>
          <w:p w14:paraId="2F1DD89F" w14:textId="77777777" w:rsidR="00643B7B" w:rsidRPr="00643B7B" w:rsidRDefault="00643B7B" w:rsidP="00643B7B">
            <w:pPr>
              <w:spacing w:after="0"/>
              <w:jc w:val="left"/>
              <w:rPr>
                <w:rFonts w:eastAsia="Times New Roman" w:cs="Times New Roman"/>
                <w:b/>
                <w:bCs/>
                <w:sz w:val="20"/>
                <w:szCs w:val="20"/>
              </w:rPr>
            </w:pPr>
          </w:p>
        </w:tc>
        <w:tc>
          <w:tcPr>
            <w:tcW w:w="1584" w:type="pct"/>
            <w:vMerge/>
            <w:tcBorders>
              <w:bottom w:val="single" w:sz="4" w:space="0" w:color="auto"/>
            </w:tcBorders>
            <w:vAlign w:val="center"/>
            <w:hideMark/>
          </w:tcPr>
          <w:p w14:paraId="270C2155" w14:textId="77777777" w:rsidR="00643B7B" w:rsidRPr="00643B7B" w:rsidRDefault="00643B7B" w:rsidP="00643B7B">
            <w:pPr>
              <w:spacing w:after="0"/>
              <w:jc w:val="left"/>
              <w:rPr>
                <w:rFonts w:eastAsia="Times New Roman" w:cs="Times New Roman"/>
                <w:sz w:val="20"/>
                <w:szCs w:val="20"/>
              </w:rPr>
            </w:pPr>
          </w:p>
        </w:tc>
        <w:tc>
          <w:tcPr>
            <w:tcW w:w="544" w:type="pct"/>
            <w:vMerge/>
            <w:tcBorders>
              <w:bottom w:val="single" w:sz="4" w:space="0" w:color="auto"/>
            </w:tcBorders>
            <w:shd w:val="clear" w:color="auto" w:fill="FBE4D5"/>
            <w:vAlign w:val="center"/>
            <w:hideMark/>
          </w:tcPr>
          <w:p w14:paraId="17677DFE"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78593104"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(от 0,4 до 1,1 на сто в зависимост от степента на риска)</w:t>
            </w:r>
          </w:p>
        </w:tc>
        <w:tc>
          <w:tcPr>
            <w:tcW w:w="674" w:type="pct"/>
            <w:tcBorders>
              <w:bottom w:val="single" w:sz="4" w:space="0" w:color="auto"/>
            </w:tcBorders>
            <w:shd w:val="clear" w:color="auto" w:fill="auto"/>
            <w:vAlign w:val="center"/>
            <w:hideMark/>
          </w:tcPr>
          <w:p w14:paraId="10BA6C0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(от 0,4 до 1,1 на сто в зависимост от степента на риска)</w:t>
            </w:r>
          </w:p>
        </w:tc>
        <w:tc>
          <w:tcPr>
            <w:tcW w:w="674" w:type="pct"/>
            <w:tcBorders>
              <w:bottom w:val="single" w:sz="4" w:space="0" w:color="auto"/>
            </w:tcBorders>
            <w:shd w:val="clear" w:color="auto" w:fill="auto"/>
            <w:vAlign w:val="center"/>
            <w:hideMark/>
          </w:tcPr>
          <w:p w14:paraId="5AD0037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(от 0,4 до 1,1 на сто в зависимост от степента на риска)</w:t>
            </w:r>
          </w:p>
        </w:tc>
        <w:tc>
          <w:tcPr>
            <w:tcW w:w="674" w:type="pct"/>
            <w:tcBorders>
              <w:bottom w:val="single" w:sz="4" w:space="0" w:color="auto"/>
            </w:tcBorders>
            <w:shd w:val="clear" w:color="auto" w:fill="auto"/>
            <w:vAlign w:val="center"/>
            <w:hideMark/>
          </w:tcPr>
          <w:p w14:paraId="7921D6C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(от 0,4 до 1,1 на сто в зависимост от степента на риска)</w:t>
            </w:r>
          </w:p>
        </w:tc>
      </w:tr>
      <w:tr w:rsidR="00643B7B" w:rsidRPr="00643B7B" w14:paraId="7B038667" w14:textId="77777777" w:rsidTr="004E4646">
        <w:trPr>
          <w:trHeight w:val="300"/>
        </w:trPr>
        <w:tc>
          <w:tcPr>
            <w:tcW w:w="176" w:type="pct"/>
            <w:tcBorders>
              <w:top w:val="single" w:sz="4" w:space="0" w:color="auto"/>
              <w:bottom w:val="single" w:sz="4" w:space="0" w:color="auto"/>
            </w:tcBorders>
            <w:shd w:val="clear" w:color="auto" w:fill="auto"/>
            <w:hideMark/>
          </w:tcPr>
          <w:p w14:paraId="115898B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lastRenderedPageBreak/>
              <w:t>11.5.</w:t>
            </w:r>
          </w:p>
        </w:tc>
        <w:tc>
          <w:tcPr>
            <w:tcW w:w="1584" w:type="pct"/>
            <w:tcBorders>
              <w:top w:val="single" w:sz="4" w:space="0" w:color="auto"/>
              <w:bottom w:val="single" w:sz="4" w:space="0" w:color="auto"/>
            </w:tcBorders>
            <w:shd w:val="clear" w:color="auto" w:fill="auto"/>
            <w:hideMark/>
          </w:tcPr>
          <w:p w14:paraId="0EE6E70B"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за фонд „Безработица”</w:t>
            </w:r>
          </w:p>
        </w:tc>
        <w:tc>
          <w:tcPr>
            <w:tcW w:w="544" w:type="pct"/>
            <w:tcBorders>
              <w:top w:val="single" w:sz="4" w:space="0" w:color="auto"/>
              <w:bottom w:val="single" w:sz="4" w:space="0" w:color="auto"/>
            </w:tcBorders>
            <w:shd w:val="clear" w:color="auto" w:fill="FBE4D5"/>
            <w:vAlign w:val="center"/>
            <w:hideMark/>
          </w:tcPr>
          <w:p w14:paraId="4B3A469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15B2240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w:t>
            </w:r>
          </w:p>
        </w:tc>
        <w:tc>
          <w:tcPr>
            <w:tcW w:w="674" w:type="pct"/>
            <w:tcBorders>
              <w:top w:val="single" w:sz="4" w:space="0" w:color="auto"/>
              <w:bottom w:val="single" w:sz="4" w:space="0" w:color="auto"/>
            </w:tcBorders>
            <w:shd w:val="clear" w:color="auto" w:fill="auto"/>
            <w:vAlign w:val="center"/>
            <w:hideMark/>
          </w:tcPr>
          <w:p w14:paraId="6E1C39D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w:t>
            </w:r>
          </w:p>
        </w:tc>
        <w:tc>
          <w:tcPr>
            <w:tcW w:w="674" w:type="pct"/>
            <w:tcBorders>
              <w:top w:val="single" w:sz="4" w:space="0" w:color="auto"/>
              <w:bottom w:val="single" w:sz="4" w:space="0" w:color="auto"/>
            </w:tcBorders>
            <w:shd w:val="clear" w:color="auto" w:fill="auto"/>
            <w:vAlign w:val="center"/>
            <w:hideMark/>
          </w:tcPr>
          <w:p w14:paraId="4BE2DFA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w:t>
            </w:r>
          </w:p>
        </w:tc>
        <w:tc>
          <w:tcPr>
            <w:tcW w:w="674" w:type="pct"/>
            <w:tcBorders>
              <w:top w:val="single" w:sz="4" w:space="0" w:color="auto"/>
              <w:bottom w:val="single" w:sz="4" w:space="0" w:color="auto"/>
            </w:tcBorders>
            <w:shd w:val="clear" w:color="auto" w:fill="auto"/>
            <w:vAlign w:val="center"/>
            <w:hideMark/>
          </w:tcPr>
          <w:p w14:paraId="59AA72D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w:t>
            </w:r>
          </w:p>
        </w:tc>
      </w:tr>
      <w:tr w:rsidR="00643B7B" w:rsidRPr="00643B7B" w14:paraId="1780F02A" w14:textId="77777777" w:rsidTr="00643B7B">
        <w:trPr>
          <w:trHeight w:val="510"/>
        </w:trPr>
        <w:tc>
          <w:tcPr>
            <w:tcW w:w="176" w:type="pct"/>
            <w:tcBorders>
              <w:top w:val="single" w:sz="4" w:space="0" w:color="auto"/>
              <w:bottom w:val="single" w:sz="4" w:space="0" w:color="auto"/>
            </w:tcBorders>
            <w:shd w:val="clear" w:color="auto" w:fill="auto"/>
            <w:hideMark/>
          </w:tcPr>
          <w:p w14:paraId="51480C63"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12.</w:t>
            </w:r>
          </w:p>
        </w:tc>
        <w:tc>
          <w:tcPr>
            <w:tcW w:w="1584" w:type="pct"/>
            <w:tcBorders>
              <w:top w:val="single" w:sz="4" w:space="0" w:color="auto"/>
              <w:bottom w:val="single" w:sz="4" w:space="0" w:color="auto"/>
            </w:tcBorders>
            <w:shd w:val="clear" w:color="auto" w:fill="auto"/>
            <w:hideMark/>
          </w:tcPr>
          <w:p w14:paraId="54100C41"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осигурителната вноска за здравно осигуряване</w:t>
            </w:r>
          </w:p>
        </w:tc>
        <w:tc>
          <w:tcPr>
            <w:tcW w:w="544" w:type="pct"/>
            <w:tcBorders>
              <w:top w:val="single" w:sz="4" w:space="0" w:color="auto"/>
              <w:bottom w:val="single" w:sz="4" w:space="0" w:color="auto"/>
            </w:tcBorders>
            <w:shd w:val="clear" w:color="auto" w:fill="FBE4D5"/>
            <w:vAlign w:val="center"/>
            <w:hideMark/>
          </w:tcPr>
          <w:p w14:paraId="06B2EEB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197D62F6"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8</w:t>
            </w:r>
          </w:p>
        </w:tc>
        <w:tc>
          <w:tcPr>
            <w:tcW w:w="674" w:type="pct"/>
            <w:tcBorders>
              <w:top w:val="single" w:sz="4" w:space="0" w:color="auto"/>
              <w:bottom w:val="single" w:sz="4" w:space="0" w:color="auto"/>
            </w:tcBorders>
            <w:shd w:val="clear" w:color="auto" w:fill="auto"/>
            <w:vAlign w:val="center"/>
            <w:hideMark/>
          </w:tcPr>
          <w:p w14:paraId="7A4A47D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8</w:t>
            </w:r>
          </w:p>
        </w:tc>
        <w:tc>
          <w:tcPr>
            <w:tcW w:w="674" w:type="pct"/>
            <w:tcBorders>
              <w:top w:val="single" w:sz="4" w:space="0" w:color="auto"/>
              <w:bottom w:val="single" w:sz="4" w:space="0" w:color="auto"/>
            </w:tcBorders>
            <w:shd w:val="clear" w:color="auto" w:fill="auto"/>
            <w:vAlign w:val="center"/>
            <w:hideMark/>
          </w:tcPr>
          <w:p w14:paraId="0EB2E01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8</w:t>
            </w:r>
          </w:p>
        </w:tc>
        <w:tc>
          <w:tcPr>
            <w:tcW w:w="674" w:type="pct"/>
            <w:tcBorders>
              <w:top w:val="single" w:sz="4" w:space="0" w:color="auto"/>
              <w:bottom w:val="single" w:sz="4" w:space="0" w:color="auto"/>
            </w:tcBorders>
            <w:shd w:val="clear" w:color="auto" w:fill="auto"/>
            <w:vAlign w:val="center"/>
            <w:hideMark/>
          </w:tcPr>
          <w:p w14:paraId="7F4BBC3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8</w:t>
            </w:r>
          </w:p>
        </w:tc>
      </w:tr>
      <w:tr w:rsidR="00643B7B" w:rsidRPr="00643B7B" w14:paraId="7252DE58" w14:textId="77777777" w:rsidTr="00643B7B">
        <w:trPr>
          <w:trHeight w:val="765"/>
        </w:trPr>
        <w:tc>
          <w:tcPr>
            <w:tcW w:w="176" w:type="pct"/>
            <w:tcBorders>
              <w:top w:val="single" w:sz="4" w:space="0" w:color="auto"/>
              <w:bottom w:val="single" w:sz="4" w:space="0" w:color="auto"/>
            </w:tcBorders>
            <w:shd w:val="clear" w:color="auto" w:fill="auto"/>
            <w:hideMark/>
          </w:tcPr>
          <w:p w14:paraId="488A2EB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13.</w:t>
            </w:r>
          </w:p>
        </w:tc>
        <w:tc>
          <w:tcPr>
            <w:tcW w:w="1584" w:type="pct"/>
            <w:tcBorders>
              <w:top w:val="single" w:sz="4" w:space="0" w:color="auto"/>
              <w:bottom w:val="single" w:sz="4" w:space="0" w:color="auto"/>
            </w:tcBorders>
            <w:shd w:val="clear" w:color="auto" w:fill="auto"/>
            <w:hideMark/>
          </w:tcPr>
          <w:p w14:paraId="782FB3F7"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осигурителните вноски за допълнително задължително пенсионно осигуряване – универсални пенсионни фондове</w:t>
            </w:r>
          </w:p>
        </w:tc>
        <w:tc>
          <w:tcPr>
            <w:tcW w:w="544" w:type="pct"/>
            <w:tcBorders>
              <w:top w:val="single" w:sz="4" w:space="0" w:color="auto"/>
              <w:bottom w:val="single" w:sz="4" w:space="0" w:color="auto"/>
            </w:tcBorders>
            <w:shd w:val="clear" w:color="auto" w:fill="FBE4D5"/>
            <w:vAlign w:val="center"/>
            <w:hideMark/>
          </w:tcPr>
          <w:p w14:paraId="59180A7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0A57055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w:t>
            </w:r>
          </w:p>
        </w:tc>
        <w:tc>
          <w:tcPr>
            <w:tcW w:w="674" w:type="pct"/>
            <w:tcBorders>
              <w:top w:val="single" w:sz="4" w:space="0" w:color="auto"/>
              <w:bottom w:val="single" w:sz="4" w:space="0" w:color="auto"/>
            </w:tcBorders>
            <w:shd w:val="clear" w:color="auto" w:fill="auto"/>
            <w:vAlign w:val="center"/>
            <w:hideMark/>
          </w:tcPr>
          <w:p w14:paraId="4774FA0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w:t>
            </w:r>
          </w:p>
        </w:tc>
        <w:tc>
          <w:tcPr>
            <w:tcW w:w="674" w:type="pct"/>
            <w:tcBorders>
              <w:top w:val="single" w:sz="4" w:space="0" w:color="auto"/>
              <w:bottom w:val="single" w:sz="4" w:space="0" w:color="auto"/>
            </w:tcBorders>
            <w:shd w:val="clear" w:color="auto" w:fill="auto"/>
            <w:vAlign w:val="center"/>
            <w:hideMark/>
          </w:tcPr>
          <w:p w14:paraId="6DA9B2F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w:t>
            </w:r>
          </w:p>
        </w:tc>
        <w:tc>
          <w:tcPr>
            <w:tcW w:w="674" w:type="pct"/>
            <w:tcBorders>
              <w:top w:val="single" w:sz="4" w:space="0" w:color="auto"/>
              <w:bottom w:val="single" w:sz="4" w:space="0" w:color="auto"/>
            </w:tcBorders>
            <w:shd w:val="clear" w:color="auto" w:fill="auto"/>
            <w:vAlign w:val="center"/>
            <w:hideMark/>
          </w:tcPr>
          <w:p w14:paraId="2242A8C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w:t>
            </w:r>
          </w:p>
        </w:tc>
      </w:tr>
      <w:tr w:rsidR="00643B7B" w:rsidRPr="00643B7B" w14:paraId="07829CD5" w14:textId="77777777" w:rsidTr="00643B7B">
        <w:trPr>
          <w:trHeight w:val="510"/>
        </w:trPr>
        <w:tc>
          <w:tcPr>
            <w:tcW w:w="176" w:type="pct"/>
            <w:tcBorders>
              <w:top w:val="single" w:sz="4" w:space="0" w:color="auto"/>
              <w:bottom w:val="single" w:sz="4" w:space="0" w:color="auto"/>
            </w:tcBorders>
            <w:shd w:val="clear" w:color="auto" w:fill="auto"/>
            <w:hideMark/>
          </w:tcPr>
          <w:p w14:paraId="7028CB4E"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14.</w:t>
            </w:r>
          </w:p>
        </w:tc>
        <w:tc>
          <w:tcPr>
            <w:tcW w:w="1584" w:type="pct"/>
            <w:tcBorders>
              <w:top w:val="single" w:sz="4" w:space="0" w:color="auto"/>
              <w:bottom w:val="single" w:sz="4" w:space="0" w:color="auto"/>
            </w:tcBorders>
            <w:shd w:val="clear" w:color="auto" w:fill="auto"/>
            <w:hideMark/>
          </w:tcPr>
          <w:p w14:paraId="680C5A8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осигурителната вноска за Учителския пенсионен фонд</w:t>
            </w:r>
          </w:p>
        </w:tc>
        <w:tc>
          <w:tcPr>
            <w:tcW w:w="544" w:type="pct"/>
            <w:tcBorders>
              <w:top w:val="single" w:sz="4" w:space="0" w:color="auto"/>
              <w:bottom w:val="single" w:sz="4" w:space="0" w:color="auto"/>
            </w:tcBorders>
            <w:shd w:val="clear" w:color="auto" w:fill="FBE4D5"/>
            <w:vAlign w:val="center"/>
            <w:hideMark/>
          </w:tcPr>
          <w:p w14:paraId="3CFAF71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02E610B7"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4,3</w:t>
            </w:r>
          </w:p>
        </w:tc>
        <w:tc>
          <w:tcPr>
            <w:tcW w:w="674" w:type="pct"/>
            <w:tcBorders>
              <w:top w:val="single" w:sz="4" w:space="0" w:color="auto"/>
              <w:bottom w:val="single" w:sz="4" w:space="0" w:color="auto"/>
            </w:tcBorders>
            <w:shd w:val="clear" w:color="auto" w:fill="auto"/>
            <w:vAlign w:val="center"/>
            <w:hideMark/>
          </w:tcPr>
          <w:p w14:paraId="4F1BEA6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4,3</w:t>
            </w:r>
          </w:p>
        </w:tc>
        <w:tc>
          <w:tcPr>
            <w:tcW w:w="674" w:type="pct"/>
            <w:tcBorders>
              <w:top w:val="single" w:sz="4" w:space="0" w:color="auto"/>
              <w:bottom w:val="single" w:sz="4" w:space="0" w:color="auto"/>
            </w:tcBorders>
            <w:shd w:val="clear" w:color="auto" w:fill="auto"/>
            <w:vAlign w:val="center"/>
            <w:hideMark/>
          </w:tcPr>
          <w:p w14:paraId="7CFCA53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4,3</w:t>
            </w:r>
          </w:p>
        </w:tc>
        <w:tc>
          <w:tcPr>
            <w:tcW w:w="674" w:type="pct"/>
            <w:tcBorders>
              <w:top w:val="single" w:sz="4" w:space="0" w:color="auto"/>
              <w:bottom w:val="single" w:sz="4" w:space="0" w:color="auto"/>
            </w:tcBorders>
            <w:shd w:val="clear" w:color="auto" w:fill="auto"/>
            <w:vAlign w:val="center"/>
            <w:hideMark/>
          </w:tcPr>
          <w:p w14:paraId="035C505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4,3</w:t>
            </w:r>
          </w:p>
        </w:tc>
      </w:tr>
      <w:tr w:rsidR="00643B7B" w:rsidRPr="00643B7B" w14:paraId="11F540B4" w14:textId="77777777" w:rsidTr="00643B7B">
        <w:trPr>
          <w:trHeight w:val="1035"/>
        </w:trPr>
        <w:tc>
          <w:tcPr>
            <w:tcW w:w="176" w:type="pct"/>
            <w:vMerge w:val="restart"/>
            <w:tcBorders>
              <w:top w:val="single" w:sz="4" w:space="0" w:color="auto"/>
            </w:tcBorders>
            <w:shd w:val="clear" w:color="auto" w:fill="auto"/>
            <w:hideMark/>
          </w:tcPr>
          <w:p w14:paraId="38C74396"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15.</w:t>
            </w:r>
          </w:p>
        </w:tc>
        <w:tc>
          <w:tcPr>
            <w:tcW w:w="1584" w:type="pct"/>
            <w:vMerge w:val="restart"/>
            <w:tcBorders>
              <w:top w:val="single" w:sz="4" w:space="0" w:color="auto"/>
            </w:tcBorders>
            <w:shd w:val="clear" w:color="auto" w:fill="auto"/>
            <w:hideMark/>
          </w:tcPr>
          <w:p w14:paraId="4F78B1C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Размер на осигурителните вноски за допълнително задължително пенсионно осигуряване за работещите при условията на първа и втора категория труд - професионални пенсионни фондове </w:t>
            </w:r>
          </w:p>
        </w:tc>
        <w:tc>
          <w:tcPr>
            <w:tcW w:w="544" w:type="pct"/>
            <w:vMerge w:val="restart"/>
            <w:tcBorders>
              <w:top w:val="single" w:sz="4" w:space="0" w:color="auto"/>
            </w:tcBorders>
            <w:shd w:val="clear" w:color="auto" w:fill="FBE4D5"/>
            <w:vAlign w:val="center"/>
            <w:hideMark/>
          </w:tcPr>
          <w:p w14:paraId="6448E26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tcBorders>
            <w:shd w:val="clear" w:color="auto" w:fill="auto"/>
            <w:vAlign w:val="center"/>
            <w:hideMark/>
          </w:tcPr>
          <w:p w14:paraId="5B236635"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12 на сто - за лицата, работещи при условията на I категория труд;</w:t>
            </w:r>
          </w:p>
        </w:tc>
        <w:tc>
          <w:tcPr>
            <w:tcW w:w="674" w:type="pct"/>
            <w:tcBorders>
              <w:top w:val="single" w:sz="4" w:space="0" w:color="auto"/>
            </w:tcBorders>
            <w:shd w:val="clear" w:color="auto" w:fill="auto"/>
            <w:vAlign w:val="center"/>
            <w:hideMark/>
          </w:tcPr>
          <w:p w14:paraId="7814EDB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12 на сто - за лицата, работещи при условията на I категория труд;</w:t>
            </w:r>
          </w:p>
        </w:tc>
        <w:tc>
          <w:tcPr>
            <w:tcW w:w="674" w:type="pct"/>
            <w:tcBorders>
              <w:top w:val="single" w:sz="4" w:space="0" w:color="auto"/>
            </w:tcBorders>
            <w:shd w:val="clear" w:color="auto" w:fill="auto"/>
            <w:vAlign w:val="center"/>
            <w:hideMark/>
          </w:tcPr>
          <w:p w14:paraId="55EFBBD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12 на сто - за лицата, работещи при условията на I категория труд;</w:t>
            </w:r>
          </w:p>
        </w:tc>
        <w:tc>
          <w:tcPr>
            <w:tcW w:w="674" w:type="pct"/>
            <w:tcBorders>
              <w:top w:val="single" w:sz="4" w:space="0" w:color="auto"/>
            </w:tcBorders>
            <w:shd w:val="clear" w:color="auto" w:fill="auto"/>
            <w:vAlign w:val="center"/>
            <w:hideMark/>
          </w:tcPr>
          <w:p w14:paraId="690578B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12 на сто - за лицата, работещи при условията на I категория труд;</w:t>
            </w:r>
          </w:p>
        </w:tc>
      </w:tr>
      <w:tr w:rsidR="00643B7B" w:rsidRPr="00643B7B" w14:paraId="6FDECC95" w14:textId="77777777" w:rsidTr="00643B7B">
        <w:trPr>
          <w:trHeight w:val="1050"/>
        </w:trPr>
        <w:tc>
          <w:tcPr>
            <w:tcW w:w="176" w:type="pct"/>
            <w:vMerge/>
            <w:tcBorders>
              <w:bottom w:val="single" w:sz="4" w:space="0" w:color="auto"/>
            </w:tcBorders>
            <w:vAlign w:val="center"/>
            <w:hideMark/>
          </w:tcPr>
          <w:p w14:paraId="08BFF7A9" w14:textId="77777777" w:rsidR="00643B7B" w:rsidRPr="00643B7B" w:rsidRDefault="00643B7B" w:rsidP="00643B7B">
            <w:pPr>
              <w:spacing w:after="0"/>
              <w:jc w:val="left"/>
              <w:rPr>
                <w:rFonts w:eastAsia="Times New Roman" w:cs="Times New Roman"/>
                <w:b/>
                <w:bCs/>
                <w:sz w:val="20"/>
                <w:szCs w:val="20"/>
              </w:rPr>
            </w:pPr>
          </w:p>
        </w:tc>
        <w:tc>
          <w:tcPr>
            <w:tcW w:w="1584" w:type="pct"/>
            <w:vMerge/>
            <w:tcBorders>
              <w:bottom w:val="single" w:sz="4" w:space="0" w:color="auto"/>
            </w:tcBorders>
            <w:vAlign w:val="center"/>
            <w:hideMark/>
          </w:tcPr>
          <w:p w14:paraId="478CBFB2" w14:textId="77777777" w:rsidR="00643B7B" w:rsidRPr="00643B7B" w:rsidRDefault="00643B7B" w:rsidP="00643B7B">
            <w:pPr>
              <w:spacing w:after="0"/>
              <w:jc w:val="left"/>
              <w:rPr>
                <w:rFonts w:eastAsia="Times New Roman" w:cs="Times New Roman"/>
                <w:sz w:val="20"/>
                <w:szCs w:val="20"/>
              </w:rPr>
            </w:pPr>
          </w:p>
        </w:tc>
        <w:tc>
          <w:tcPr>
            <w:tcW w:w="544" w:type="pct"/>
            <w:vMerge/>
            <w:tcBorders>
              <w:bottom w:val="single" w:sz="4" w:space="0" w:color="auto"/>
            </w:tcBorders>
            <w:shd w:val="clear" w:color="auto" w:fill="FBE4D5"/>
            <w:vAlign w:val="center"/>
            <w:hideMark/>
          </w:tcPr>
          <w:p w14:paraId="7DA2FD6E"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70E1692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7 на сто - за лицата, работещи при условията на II категория труд</w:t>
            </w:r>
          </w:p>
        </w:tc>
        <w:tc>
          <w:tcPr>
            <w:tcW w:w="674" w:type="pct"/>
            <w:tcBorders>
              <w:bottom w:val="single" w:sz="4" w:space="0" w:color="auto"/>
            </w:tcBorders>
            <w:shd w:val="clear" w:color="auto" w:fill="auto"/>
            <w:vAlign w:val="center"/>
            <w:hideMark/>
          </w:tcPr>
          <w:p w14:paraId="128B271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7 на сто - за лицата, работещи при условията на II категория труд</w:t>
            </w:r>
          </w:p>
        </w:tc>
        <w:tc>
          <w:tcPr>
            <w:tcW w:w="674" w:type="pct"/>
            <w:tcBorders>
              <w:bottom w:val="single" w:sz="4" w:space="0" w:color="auto"/>
            </w:tcBorders>
            <w:shd w:val="clear" w:color="auto" w:fill="auto"/>
            <w:vAlign w:val="center"/>
            <w:hideMark/>
          </w:tcPr>
          <w:p w14:paraId="7F66E92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7 на сто - за лицата, работещи при условията на II категория труд</w:t>
            </w:r>
          </w:p>
        </w:tc>
        <w:tc>
          <w:tcPr>
            <w:tcW w:w="674" w:type="pct"/>
            <w:tcBorders>
              <w:bottom w:val="single" w:sz="4" w:space="0" w:color="auto"/>
            </w:tcBorders>
            <w:shd w:val="clear" w:color="auto" w:fill="auto"/>
            <w:vAlign w:val="center"/>
            <w:hideMark/>
          </w:tcPr>
          <w:p w14:paraId="2A0A800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7 на сто - за лицата, работещи при условията на II категория труд</w:t>
            </w:r>
          </w:p>
        </w:tc>
      </w:tr>
      <w:tr w:rsidR="00643B7B" w:rsidRPr="00643B7B" w14:paraId="2A7FC825" w14:textId="77777777" w:rsidTr="00643B7B">
        <w:trPr>
          <w:trHeight w:val="510"/>
        </w:trPr>
        <w:tc>
          <w:tcPr>
            <w:tcW w:w="176" w:type="pct"/>
            <w:tcBorders>
              <w:top w:val="single" w:sz="4" w:space="0" w:color="auto"/>
              <w:bottom w:val="single" w:sz="4" w:space="0" w:color="auto"/>
            </w:tcBorders>
            <w:shd w:val="clear" w:color="auto" w:fill="auto"/>
            <w:hideMark/>
          </w:tcPr>
          <w:p w14:paraId="515B5ED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16.</w:t>
            </w:r>
          </w:p>
        </w:tc>
        <w:tc>
          <w:tcPr>
            <w:tcW w:w="1584" w:type="pct"/>
            <w:tcBorders>
              <w:top w:val="single" w:sz="4" w:space="0" w:color="auto"/>
              <w:bottom w:val="single" w:sz="4" w:space="0" w:color="auto"/>
            </w:tcBorders>
            <w:shd w:val="clear" w:color="auto" w:fill="auto"/>
            <w:hideMark/>
          </w:tcPr>
          <w:p w14:paraId="39537CD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вноската за фонд „Гарантирани вземания на работниците и служителите“</w:t>
            </w:r>
          </w:p>
        </w:tc>
        <w:tc>
          <w:tcPr>
            <w:tcW w:w="544" w:type="pct"/>
            <w:tcBorders>
              <w:top w:val="single" w:sz="4" w:space="0" w:color="auto"/>
              <w:bottom w:val="single" w:sz="4" w:space="0" w:color="auto"/>
            </w:tcBorders>
            <w:shd w:val="clear" w:color="auto" w:fill="FBE4D5"/>
            <w:vAlign w:val="center"/>
            <w:hideMark/>
          </w:tcPr>
          <w:p w14:paraId="52E8DFD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tcBorders>
              <w:top w:val="single" w:sz="4" w:space="0" w:color="auto"/>
              <w:bottom w:val="single" w:sz="4" w:space="0" w:color="auto"/>
            </w:tcBorders>
            <w:shd w:val="clear" w:color="auto" w:fill="auto"/>
            <w:vAlign w:val="center"/>
            <w:hideMark/>
          </w:tcPr>
          <w:p w14:paraId="4ADFA9CC"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0</w:t>
            </w:r>
          </w:p>
        </w:tc>
        <w:tc>
          <w:tcPr>
            <w:tcW w:w="674" w:type="pct"/>
            <w:tcBorders>
              <w:top w:val="single" w:sz="4" w:space="0" w:color="auto"/>
              <w:bottom w:val="single" w:sz="4" w:space="0" w:color="auto"/>
            </w:tcBorders>
            <w:shd w:val="clear" w:color="auto" w:fill="auto"/>
            <w:vAlign w:val="center"/>
            <w:hideMark/>
          </w:tcPr>
          <w:p w14:paraId="0181D28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c>
          <w:tcPr>
            <w:tcW w:w="674" w:type="pct"/>
            <w:tcBorders>
              <w:top w:val="single" w:sz="4" w:space="0" w:color="auto"/>
              <w:bottom w:val="single" w:sz="4" w:space="0" w:color="auto"/>
            </w:tcBorders>
            <w:shd w:val="clear" w:color="auto" w:fill="auto"/>
            <w:vAlign w:val="center"/>
            <w:hideMark/>
          </w:tcPr>
          <w:p w14:paraId="6C76293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c>
          <w:tcPr>
            <w:tcW w:w="674" w:type="pct"/>
            <w:tcBorders>
              <w:top w:val="single" w:sz="4" w:space="0" w:color="auto"/>
              <w:bottom w:val="single" w:sz="4" w:space="0" w:color="auto"/>
            </w:tcBorders>
            <w:shd w:val="clear" w:color="auto" w:fill="auto"/>
            <w:vAlign w:val="center"/>
            <w:hideMark/>
          </w:tcPr>
          <w:p w14:paraId="0C18B26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0</w:t>
            </w:r>
          </w:p>
        </w:tc>
      </w:tr>
      <w:tr w:rsidR="00643B7B" w:rsidRPr="00643B7B" w14:paraId="10984E49" w14:textId="77777777" w:rsidTr="00D97B1D">
        <w:trPr>
          <w:trHeight w:val="1530"/>
        </w:trPr>
        <w:tc>
          <w:tcPr>
            <w:tcW w:w="176" w:type="pct"/>
            <w:tcBorders>
              <w:top w:val="single" w:sz="4" w:space="0" w:color="auto"/>
              <w:bottom w:val="single" w:sz="4" w:space="0" w:color="auto"/>
            </w:tcBorders>
            <w:shd w:val="clear" w:color="auto" w:fill="auto"/>
            <w:hideMark/>
          </w:tcPr>
          <w:p w14:paraId="032E00E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17.</w:t>
            </w:r>
          </w:p>
        </w:tc>
        <w:tc>
          <w:tcPr>
            <w:tcW w:w="1584" w:type="pct"/>
            <w:tcBorders>
              <w:top w:val="single" w:sz="4" w:space="0" w:color="auto"/>
              <w:bottom w:val="single" w:sz="4" w:space="0" w:color="auto"/>
            </w:tcBorders>
            <w:shd w:val="clear" w:color="auto" w:fill="auto"/>
            <w:hideMark/>
          </w:tcPr>
          <w:p w14:paraId="16E60A2B"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Линия на бедност</w:t>
            </w:r>
          </w:p>
        </w:tc>
        <w:tc>
          <w:tcPr>
            <w:tcW w:w="544" w:type="pct"/>
            <w:tcBorders>
              <w:top w:val="single" w:sz="4" w:space="0" w:color="auto"/>
              <w:bottom w:val="single" w:sz="4" w:space="0" w:color="auto"/>
            </w:tcBorders>
            <w:shd w:val="clear" w:color="auto" w:fill="FBE4D5"/>
            <w:vAlign w:val="center"/>
            <w:hideMark/>
          </w:tcPr>
          <w:p w14:paraId="1220E27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129C238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326,20</w:t>
            </w:r>
          </w:p>
        </w:tc>
        <w:tc>
          <w:tcPr>
            <w:tcW w:w="674" w:type="pct"/>
            <w:tcBorders>
              <w:top w:val="single" w:sz="4" w:space="0" w:color="auto"/>
              <w:bottom w:val="single" w:sz="4" w:space="0" w:color="auto"/>
            </w:tcBorders>
            <w:shd w:val="clear" w:color="auto" w:fill="auto"/>
            <w:vAlign w:val="center"/>
            <w:hideMark/>
          </w:tcPr>
          <w:p w14:paraId="0B0CC6E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390,63</w:t>
            </w:r>
          </w:p>
        </w:tc>
        <w:tc>
          <w:tcPr>
            <w:tcW w:w="674" w:type="pct"/>
            <w:tcBorders>
              <w:top w:val="single" w:sz="4" w:space="0" w:color="auto"/>
              <w:bottom w:val="single" w:sz="4" w:space="0" w:color="auto"/>
            </w:tcBorders>
            <w:shd w:val="clear" w:color="auto" w:fill="auto"/>
            <w:vAlign w:val="center"/>
            <w:hideMark/>
          </w:tcPr>
          <w:p w14:paraId="0436FD8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Определена в съответствие с Методика за определяне на линията на бедност за страната, приета с ПМС № 241 от 2019 г.</w:t>
            </w:r>
          </w:p>
        </w:tc>
        <w:tc>
          <w:tcPr>
            <w:tcW w:w="674" w:type="pct"/>
            <w:tcBorders>
              <w:top w:val="single" w:sz="4" w:space="0" w:color="auto"/>
              <w:bottom w:val="single" w:sz="4" w:space="0" w:color="auto"/>
            </w:tcBorders>
            <w:shd w:val="clear" w:color="auto" w:fill="auto"/>
            <w:vAlign w:val="center"/>
            <w:hideMark/>
          </w:tcPr>
          <w:p w14:paraId="4CA9290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Определена в съответствие с Методика за определяне на линията на бедност за страната, приета с ПМС № 241 от 2019 г.</w:t>
            </w:r>
          </w:p>
        </w:tc>
      </w:tr>
      <w:tr w:rsidR="00643B7B" w:rsidRPr="009B2A06" w14:paraId="4CBB2E45" w14:textId="77777777" w:rsidTr="00D97B1D">
        <w:trPr>
          <w:trHeight w:val="1020"/>
        </w:trPr>
        <w:tc>
          <w:tcPr>
            <w:tcW w:w="176" w:type="pct"/>
            <w:tcBorders>
              <w:top w:val="single" w:sz="4" w:space="0" w:color="auto"/>
              <w:bottom w:val="single" w:sz="4" w:space="0" w:color="auto"/>
            </w:tcBorders>
            <w:shd w:val="clear" w:color="auto" w:fill="auto"/>
            <w:hideMark/>
          </w:tcPr>
          <w:p w14:paraId="3DFFFE5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18.</w:t>
            </w:r>
          </w:p>
        </w:tc>
        <w:tc>
          <w:tcPr>
            <w:tcW w:w="1584" w:type="pct"/>
            <w:tcBorders>
              <w:top w:val="single" w:sz="4" w:space="0" w:color="auto"/>
              <w:bottom w:val="single" w:sz="4" w:space="0" w:color="auto"/>
            </w:tcBorders>
            <w:shd w:val="clear" w:color="auto" w:fill="auto"/>
            <w:hideMark/>
          </w:tcPr>
          <w:p w14:paraId="20CD35C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Максимален месечен размер на осигурителния доход през календарната година</w:t>
            </w:r>
          </w:p>
        </w:tc>
        <w:tc>
          <w:tcPr>
            <w:tcW w:w="544" w:type="pct"/>
            <w:tcBorders>
              <w:top w:val="single" w:sz="4" w:space="0" w:color="auto"/>
              <w:bottom w:val="single" w:sz="4" w:space="0" w:color="auto"/>
            </w:tcBorders>
            <w:shd w:val="clear" w:color="auto" w:fill="FBE4D5"/>
            <w:vAlign w:val="center"/>
            <w:hideMark/>
          </w:tcPr>
          <w:p w14:paraId="7B9616B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47F38157"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1 917,34 , считано от</w:t>
            </w:r>
            <w:r w:rsidRPr="00643B7B">
              <w:rPr>
                <w:rFonts w:eastAsia="Times New Roman" w:cs="Times New Roman"/>
                <w:i/>
                <w:iCs/>
                <w:sz w:val="20"/>
                <w:szCs w:val="20"/>
              </w:rPr>
              <w:br/>
              <w:t>1 януари;</w:t>
            </w:r>
            <w:r w:rsidRPr="00643B7B">
              <w:rPr>
                <w:rFonts w:eastAsia="Times New Roman" w:cs="Times New Roman"/>
                <w:i/>
                <w:iCs/>
                <w:sz w:val="20"/>
                <w:szCs w:val="20"/>
              </w:rPr>
              <w:br/>
              <w:t>2 111,64, считано от</w:t>
            </w:r>
            <w:r w:rsidRPr="00643B7B">
              <w:rPr>
                <w:rFonts w:eastAsia="Times New Roman" w:cs="Times New Roman"/>
                <w:i/>
                <w:iCs/>
                <w:sz w:val="20"/>
                <w:szCs w:val="20"/>
              </w:rPr>
              <w:br/>
              <w:t>1 април</w:t>
            </w:r>
          </w:p>
        </w:tc>
        <w:tc>
          <w:tcPr>
            <w:tcW w:w="674" w:type="pct"/>
            <w:tcBorders>
              <w:top w:val="single" w:sz="4" w:space="0" w:color="auto"/>
              <w:bottom w:val="single" w:sz="4" w:space="0" w:color="auto"/>
            </w:tcBorders>
            <w:shd w:val="clear" w:color="auto" w:fill="auto"/>
            <w:vAlign w:val="center"/>
            <w:hideMark/>
          </w:tcPr>
          <w:p w14:paraId="63B5CC6E" w14:textId="77777777" w:rsidR="00643B7B" w:rsidRPr="009B2A06" w:rsidRDefault="00643B7B" w:rsidP="00643B7B">
            <w:pPr>
              <w:spacing w:after="0"/>
              <w:jc w:val="center"/>
              <w:rPr>
                <w:rFonts w:eastAsia="Times New Roman" w:cs="Times New Roman"/>
                <w:sz w:val="20"/>
                <w:szCs w:val="20"/>
              </w:rPr>
            </w:pPr>
            <w:r w:rsidRPr="009B2A06">
              <w:rPr>
                <w:rFonts w:eastAsia="Times New Roman" w:cs="Times New Roman"/>
                <w:sz w:val="20"/>
                <w:szCs w:val="20"/>
              </w:rPr>
              <w:t xml:space="preserve">2 </w:t>
            </w:r>
            <w:r w:rsidR="009B2A06" w:rsidRPr="009B2A06">
              <w:rPr>
                <w:rFonts w:eastAsia="Times New Roman" w:cs="Times New Roman"/>
                <w:sz w:val="20"/>
                <w:szCs w:val="20"/>
              </w:rPr>
              <w:t>300</w:t>
            </w:r>
          </w:p>
        </w:tc>
        <w:tc>
          <w:tcPr>
            <w:tcW w:w="674" w:type="pct"/>
            <w:tcBorders>
              <w:top w:val="single" w:sz="4" w:space="0" w:color="auto"/>
              <w:bottom w:val="single" w:sz="4" w:space="0" w:color="auto"/>
            </w:tcBorders>
            <w:shd w:val="clear" w:color="auto" w:fill="auto"/>
            <w:vAlign w:val="center"/>
            <w:hideMark/>
          </w:tcPr>
          <w:p w14:paraId="50709265" w14:textId="77777777" w:rsidR="00643B7B" w:rsidRPr="009B2A06" w:rsidRDefault="00643B7B" w:rsidP="00643B7B">
            <w:pPr>
              <w:spacing w:after="0"/>
              <w:jc w:val="center"/>
              <w:rPr>
                <w:rFonts w:eastAsia="Times New Roman" w:cs="Times New Roman"/>
                <w:sz w:val="20"/>
                <w:szCs w:val="20"/>
              </w:rPr>
            </w:pPr>
            <w:r w:rsidRPr="009B2A06">
              <w:rPr>
                <w:rFonts w:eastAsia="Times New Roman" w:cs="Times New Roman"/>
                <w:sz w:val="20"/>
                <w:szCs w:val="20"/>
              </w:rPr>
              <w:t>2 505</w:t>
            </w:r>
          </w:p>
        </w:tc>
        <w:tc>
          <w:tcPr>
            <w:tcW w:w="674" w:type="pct"/>
            <w:tcBorders>
              <w:top w:val="single" w:sz="4" w:space="0" w:color="auto"/>
              <w:bottom w:val="single" w:sz="4" w:space="0" w:color="auto"/>
            </w:tcBorders>
            <w:shd w:val="clear" w:color="auto" w:fill="auto"/>
            <w:vAlign w:val="center"/>
            <w:hideMark/>
          </w:tcPr>
          <w:p w14:paraId="09ACFEE4" w14:textId="77777777" w:rsidR="00643B7B" w:rsidRPr="009B2A06" w:rsidRDefault="00643B7B" w:rsidP="00643B7B">
            <w:pPr>
              <w:spacing w:after="0"/>
              <w:jc w:val="center"/>
              <w:rPr>
                <w:rFonts w:eastAsia="Times New Roman" w:cs="Times New Roman"/>
                <w:sz w:val="20"/>
                <w:szCs w:val="20"/>
              </w:rPr>
            </w:pPr>
            <w:r w:rsidRPr="009B2A06">
              <w:rPr>
                <w:rFonts w:eastAsia="Times New Roman" w:cs="Times New Roman"/>
                <w:sz w:val="20"/>
                <w:szCs w:val="20"/>
              </w:rPr>
              <w:t>2 659</w:t>
            </w:r>
          </w:p>
        </w:tc>
      </w:tr>
      <w:tr w:rsidR="00643B7B" w:rsidRPr="00643B7B" w14:paraId="533524C2" w14:textId="77777777" w:rsidTr="00643B7B">
        <w:trPr>
          <w:trHeight w:val="1020"/>
        </w:trPr>
        <w:tc>
          <w:tcPr>
            <w:tcW w:w="176" w:type="pct"/>
            <w:tcBorders>
              <w:top w:val="single" w:sz="4" w:space="0" w:color="auto"/>
              <w:bottom w:val="single" w:sz="4" w:space="0" w:color="auto"/>
            </w:tcBorders>
            <w:shd w:val="clear" w:color="auto" w:fill="auto"/>
            <w:hideMark/>
          </w:tcPr>
          <w:p w14:paraId="43EAE4C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lastRenderedPageBreak/>
              <w:t>19.</w:t>
            </w:r>
          </w:p>
        </w:tc>
        <w:tc>
          <w:tcPr>
            <w:tcW w:w="1584" w:type="pct"/>
            <w:tcBorders>
              <w:top w:val="single" w:sz="4" w:space="0" w:color="auto"/>
              <w:bottom w:val="single" w:sz="4" w:space="0" w:color="auto"/>
            </w:tcBorders>
            <w:shd w:val="clear" w:color="auto" w:fill="auto"/>
            <w:hideMark/>
          </w:tcPr>
          <w:p w14:paraId="2558A793"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Минимален месечен размер на осигурителния доход през календарната година за самоосигуряващите се лица</w:t>
            </w:r>
          </w:p>
        </w:tc>
        <w:tc>
          <w:tcPr>
            <w:tcW w:w="544" w:type="pct"/>
            <w:tcBorders>
              <w:top w:val="single" w:sz="4" w:space="0" w:color="auto"/>
              <w:bottom w:val="single" w:sz="4" w:space="0" w:color="auto"/>
            </w:tcBorders>
            <w:shd w:val="clear" w:color="auto" w:fill="FBE4D5"/>
            <w:vAlign w:val="center"/>
            <w:hideMark/>
          </w:tcPr>
          <w:p w14:paraId="55218C1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03083875"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xml:space="preserve">477, 04, считано от </w:t>
            </w:r>
            <w:r w:rsidRPr="00643B7B">
              <w:rPr>
                <w:rFonts w:eastAsia="Times New Roman" w:cs="Times New Roman"/>
                <w:i/>
                <w:iCs/>
                <w:sz w:val="20"/>
                <w:szCs w:val="20"/>
              </w:rPr>
              <w:br/>
              <w:t>1 януари;</w:t>
            </w:r>
            <w:r w:rsidRPr="00643B7B">
              <w:rPr>
                <w:rFonts w:eastAsia="Times New Roman" w:cs="Times New Roman"/>
                <w:i/>
                <w:iCs/>
                <w:sz w:val="20"/>
                <w:szCs w:val="20"/>
              </w:rPr>
              <w:br/>
              <w:t xml:space="preserve">550,66, считано от </w:t>
            </w:r>
            <w:r w:rsidRPr="00643B7B">
              <w:rPr>
                <w:rFonts w:eastAsia="Times New Roman" w:cs="Times New Roman"/>
                <w:i/>
                <w:iCs/>
                <w:sz w:val="20"/>
                <w:szCs w:val="20"/>
              </w:rPr>
              <w:br/>
              <w:t>1 април</w:t>
            </w:r>
          </w:p>
        </w:tc>
        <w:tc>
          <w:tcPr>
            <w:tcW w:w="674" w:type="pct"/>
            <w:tcBorders>
              <w:top w:val="single" w:sz="4" w:space="0" w:color="auto"/>
              <w:bottom w:val="single" w:sz="4" w:space="0" w:color="auto"/>
            </w:tcBorders>
            <w:shd w:val="clear" w:color="auto" w:fill="auto"/>
            <w:vAlign w:val="center"/>
            <w:hideMark/>
          </w:tcPr>
          <w:p w14:paraId="6D6A9BC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xml:space="preserve">На равнището на прогнозния размер на МРЗ </w:t>
            </w:r>
          </w:p>
        </w:tc>
        <w:tc>
          <w:tcPr>
            <w:tcW w:w="674" w:type="pct"/>
            <w:tcBorders>
              <w:top w:val="single" w:sz="4" w:space="0" w:color="auto"/>
              <w:bottom w:val="single" w:sz="4" w:space="0" w:color="auto"/>
            </w:tcBorders>
            <w:shd w:val="clear" w:color="auto" w:fill="auto"/>
            <w:vAlign w:val="center"/>
            <w:hideMark/>
          </w:tcPr>
          <w:p w14:paraId="2DE6C86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xml:space="preserve">На равнището на прогнозния размер на МРЗ </w:t>
            </w:r>
          </w:p>
        </w:tc>
        <w:tc>
          <w:tcPr>
            <w:tcW w:w="674" w:type="pct"/>
            <w:tcBorders>
              <w:top w:val="single" w:sz="4" w:space="0" w:color="auto"/>
              <w:bottom w:val="single" w:sz="4" w:space="0" w:color="auto"/>
            </w:tcBorders>
            <w:shd w:val="clear" w:color="auto" w:fill="auto"/>
            <w:vAlign w:val="center"/>
            <w:hideMark/>
          </w:tcPr>
          <w:p w14:paraId="09A327A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xml:space="preserve">На равнището на прогнозния размер на МРЗ </w:t>
            </w:r>
          </w:p>
        </w:tc>
      </w:tr>
      <w:tr w:rsidR="00643B7B" w:rsidRPr="00643B7B" w14:paraId="5653DF35" w14:textId="77777777" w:rsidTr="00643B7B">
        <w:trPr>
          <w:trHeight w:val="510"/>
        </w:trPr>
        <w:tc>
          <w:tcPr>
            <w:tcW w:w="176" w:type="pct"/>
            <w:tcBorders>
              <w:top w:val="single" w:sz="4" w:space="0" w:color="auto"/>
            </w:tcBorders>
            <w:shd w:val="clear" w:color="auto" w:fill="auto"/>
            <w:hideMark/>
          </w:tcPr>
          <w:p w14:paraId="38D0005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20.</w:t>
            </w:r>
          </w:p>
        </w:tc>
        <w:tc>
          <w:tcPr>
            <w:tcW w:w="1584" w:type="pct"/>
            <w:tcBorders>
              <w:top w:val="single" w:sz="4" w:space="0" w:color="auto"/>
            </w:tcBorders>
            <w:shd w:val="clear" w:color="auto" w:fill="auto"/>
            <w:hideMark/>
          </w:tcPr>
          <w:p w14:paraId="1EA8F51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Разпределение на осигурителните вноски между осигурители и осигурени лица</w:t>
            </w:r>
          </w:p>
        </w:tc>
        <w:tc>
          <w:tcPr>
            <w:tcW w:w="544" w:type="pct"/>
            <w:vMerge w:val="restart"/>
            <w:tcBorders>
              <w:top w:val="single" w:sz="4" w:space="0" w:color="auto"/>
            </w:tcBorders>
            <w:shd w:val="clear" w:color="auto" w:fill="FBE4D5"/>
            <w:vAlign w:val="center"/>
            <w:hideMark/>
          </w:tcPr>
          <w:p w14:paraId="52CF997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013F8530"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7CE527D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7E35BBF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6E79EBB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37E03876" w14:textId="77777777" w:rsidTr="00643B7B">
        <w:trPr>
          <w:trHeight w:val="300"/>
        </w:trPr>
        <w:tc>
          <w:tcPr>
            <w:tcW w:w="176" w:type="pct"/>
            <w:shd w:val="clear" w:color="auto" w:fill="auto"/>
            <w:hideMark/>
          </w:tcPr>
          <w:p w14:paraId="6AA6E279"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1F4B1D37"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1FAC97FB"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3B4F393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69530CA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321977C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1614D29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58448604" w14:textId="77777777" w:rsidTr="00643B7B">
        <w:trPr>
          <w:trHeight w:val="765"/>
        </w:trPr>
        <w:tc>
          <w:tcPr>
            <w:tcW w:w="176" w:type="pct"/>
            <w:shd w:val="clear" w:color="auto" w:fill="auto"/>
            <w:hideMark/>
          </w:tcPr>
          <w:p w14:paraId="2FE2CA8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20.1.</w:t>
            </w:r>
          </w:p>
        </w:tc>
        <w:tc>
          <w:tcPr>
            <w:tcW w:w="1584" w:type="pct"/>
            <w:shd w:val="clear" w:color="auto" w:fill="auto"/>
            <w:hideMark/>
          </w:tcPr>
          <w:p w14:paraId="2A8077B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Разпределение на осигурителните вноски между осигурители и осигурени лица за фонд „Общо заболяване и майчинство“ и фонд „Безработица“</w:t>
            </w:r>
          </w:p>
        </w:tc>
        <w:tc>
          <w:tcPr>
            <w:tcW w:w="544" w:type="pct"/>
            <w:shd w:val="clear" w:color="auto" w:fill="FBE4D5"/>
            <w:vAlign w:val="center"/>
            <w:hideMark/>
          </w:tcPr>
          <w:p w14:paraId="1D7D2C5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съотношение</w:t>
            </w:r>
          </w:p>
        </w:tc>
        <w:tc>
          <w:tcPr>
            <w:tcW w:w="674" w:type="pct"/>
            <w:shd w:val="clear" w:color="auto" w:fill="auto"/>
            <w:vAlign w:val="center"/>
            <w:hideMark/>
          </w:tcPr>
          <w:p w14:paraId="661B4B1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60:40  </w:t>
            </w:r>
          </w:p>
        </w:tc>
        <w:tc>
          <w:tcPr>
            <w:tcW w:w="674" w:type="pct"/>
            <w:shd w:val="clear" w:color="auto" w:fill="auto"/>
            <w:vAlign w:val="center"/>
            <w:hideMark/>
          </w:tcPr>
          <w:p w14:paraId="401D903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60:40  </w:t>
            </w:r>
          </w:p>
        </w:tc>
        <w:tc>
          <w:tcPr>
            <w:tcW w:w="674" w:type="pct"/>
            <w:shd w:val="clear" w:color="auto" w:fill="auto"/>
            <w:vAlign w:val="center"/>
            <w:hideMark/>
          </w:tcPr>
          <w:p w14:paraId="49338C4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60:40  </w:t>
            </w:r>
          </w:p>
        </w:tc>
        <w:tc>
          <w:tcPr>
            <w:tcW w:w="674" w:type="pct"/>
            <w:shd w:val="clear" w:color="auto" w:fill="auto"/>
            <w:vAlign w:val="center"/>
            <w:hideMark/>
          </w:tcPr>
          <w:p w14:paraId="5998DC3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60:40  </w:t>
            </w:r>
          </w:p>
        </w:tc>
      </w:tr>
      <w:tr w:rsidR="00643B7B" w:rsidRPr="00643B7B" w14:paraId="25663504" w14:textId="77777777" w:rsidTr="00643B7B">
        <w:trPr>
          <w:trHeight w:val="855"/>
        </w:trPr>
        <w:tc>
          <w:tcPr>
            <w:tcW w:w="176" w:type="pct"/>
            <w:vMerge w:val="restart"/>
            <w:shd w:val="clear" w:color="auto" w:fill="auto"/>
            <w:hideMark/>
          </w:tcPr>
          <w:p w14:paraId="57D61A19"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20.2.</w:t>
            </w:r>
          </w:p>
        </w:tc>
        <w:tc>
          <w:tcPr>
            <w:tcW w:w="1584" w:type="pct"/>
            <w:vMerge w:val="restart"/>
            <w:shd w:val="clear" w:color="auto" w:fill="auto"/>
            <w:hideMark/>
          </w:tcPr>
          <w:p w14:paraId="4BB4185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осигурителната вноска за фонд „Пенсии“ за осигурители и осигурени лица</w:t>
            </w:r>
          </w:p>
        </w:tc>
        <w:tc>
          <w:tcPr>
            <w:tcW w:w="544" w:type="pct"/>
            <w:vMerge w:val="restart"/>
            <w:shd w:val="clear" w:color="auto" w:fill="FBE4D5"/>
            <w:vAlign w:val="center"/>
            <w:hideMark/>
          </w:tcPr>
          <w:p w14:paraId="57165A4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w:t>
            </w:r>
          </w:p>
        </w:tc>
        <w:tc>
          <w:tcPr>
            <w:tcW w:w="674" w:type="pct"/>
            <w:shd w:val="clear" w:color="auto" w:fill="auto"/>
            <w:vAlign w:val="center"/>
            <w:hideMark/>
          </w:tcPr>
          <w:p w14:paraId="0F91669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11,02:8,78 за лицата родени преди 1 януари 1960 г.</w:t>
            </w:r>
          </w:p>
        </w:tc>
        <w:tc>
          <w:tcPr>
            <w:tcW w:w="674" w:type="pct"/>
            <w:shd w:val="clear" w:color="auto" w:fill="auto"/>
            <w:vAlign w:val="center"/>
            <w:hideMark/>
          </w:tcPr>
          <w:p w14:paraId="5819E681" w14:textId="77777777" w:rsidR="00643B7B" w:rsidRPr="00643B7B" w:rsidRDefault="00643B7B" w:rsidP="00643B7B">
            <w:pPr>
              <w:spacing w:after="0"/>
              <w:jc w:val="center"/>
              <w:rPr>
                <w:rFonts w:eastAsia="Times New Roman" w:cs="Times New Roman"/>
                <w:iCs/>
                <w:sz w:val="20"/>
                <w:szCs w:val="20"/>
              </w:rPr>
            </w:pPr>
            <w:r w:rsidRPr="00643B7B">
              <w:rPr>
                <w:rFonts w:eastAsia="Times New Roman" w:cs="Times New Roman"/>
                <w:iCs/>
                <w:sz w:val="20"/>
                <w:szCs w:val="20"/>
              </w:rPr>
              <w:t>11,02:8,78 за лицата родени преди 1 януари 1960 г.</w:t>
            </w:r>
          </w:p>
        </w:tc>
        <w:tc>
          <w:tcPr>
            <w:tcW w:w="674" w:type="pct"/>
            <w:shd w:val="clear" w:color="auto" w:fill="auto"/>
            <w:vAlign w:val="center"/>
            <w:hideMark/>
          </w:tcPr>
          <w:p w14:paraId="74ACC46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11,58:9,22 за лицата родени преди 1 януари 1960 г.</w:t>
            </w:r>
          </w:p>
        </w:tc>
        <w:tc>
          <w:tcPr>
            <w:tcW w:w="674" w:type="pct"/>
            <w:shd w:val="clear" w:color="auto" w:fill="auto"/>
            <w:vAlign w:val="center"/>
            <w:hideMark/>
          </w:tcPr>
          <w:p w14:paraId="22F829B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12,7:10,1 за лицата родени преди 1 януари 1960 г.</w:t>
            </w:r>
          </w:p>
        </w:tc>
      </w:tr>
      <w:tr w:rsidR="00643B7B" w:rsidRPr="00643B7B" w14:paraId="43814218" w14:textId="77777777" w:rsidTr="00643B7B">
        <w:trPr>
          <w:trHeight w:val="840"/>
        </w:trPr>
        <w:tc>
          <w:tcPr>
            <w:tcW w:w="176" w:type="pct"/>
            <w:vMerge/>
            <w:vAlign w:val="center"/>
            <w:hideMark/>
          </w:tcPr>
          <w:p w14:paraId="5D0CAFDF" w14:textId="77777777" w:rsidR="00643B7B" w:rsidRPr="00643B7B" w:rsidRDefault="00643B7B" w:rsidP="00643B7B">
            <w:pPr>
              <w:spacing w:after="0"/>
              <w:jc w:val="left"/>
              <w:rPr>
                <w:rFonts w:eastAsia="Times New Roman" w:cs="Times New Roman"/>
                <w:b/>
                <w:bCs/>
                <w:sz w:val="20"/>
                <w:szCs w:val="20"/>
              </w:rPr>
            </w:pPr>
          </w:p>
        </w:tc>
        <w:tc>
          <w:tcPr>
            <w:tcW w:w="1584" w:type="pct"/>
            <w:vMerge/>
            <w:vAlign w:val="center"/>
            <w:hideMark/>
          </w:tcPr>
          <w:p w14:paraId="4AC3DA8C" w14:textId="77777777" w:rsidR="00643B7B" w:rsidRPr="00643B7B" w:rsidRDefault="00643B7B" w:rsidP="00643B7B">
            <w:pPr>
              <w:spacing w:after="0"/>
              <w:jc w:val="left"/>
              <w:rPr>
                <w:rFonts w:eastAsia="Times New Roman" w:cs="Times New Roman"/>
                <w:sz w:val="20"/>
                <w:szCs w:val="20"/>
              </w:rPr>
            </w:pPr>
          </w:p>
        </w:tc>
        <w:tc>
          <w:tcPr>
            <w:tcW w:w="544" w:type="pct"/>
            <w:vMerge/>
            <w:shd w:val="clear" w:color="auto" w:fill="FBE4D5"/>
            <w:vAlign w:val="center"/>
            <w:hideMark/>
          </w:tcPr>
          <w:p w14:paraId="56A41336"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6F81DD1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8,22:6,58 за лицата, родени след 31 декември 1959 г.</w:t>
            </w:r>
          </w:p>
        </w:tc>
        <w:tc>
          <w:tcPr>
            <w:tcW w:w="674" w:type="pct"/>
            <w:shd w:val="clear" w:color="auto" w:fill="auto"/>
            <w:vAlign w:val="center"/>
            <w:hideMark/>
          </w:tcPr>
          <w:p w14:paraId="640C0A28" w14:textId="77777777" w:rsidR="00643B7B" w:rsidRPr="00643B7B" w:rsidRDefault="00643B7B" w:rsidP="00643B7B">
            <w:pPr>
              <w:spacing w:after="0"/>
              <w:jc w:val="center"/>
              <w:rPr>
                <w:rFonts w:eastAsia="Times New Roman" w:cs="Times New Roman"/>
                <w:iCs/>
                <w:sz w:val="20"/>
                <w:szCs w:val="20"/>
              </w:rPr>
            </w:pPr>
            <w:r w:rsidRPr="00643B7B">
              <w:rPr>
                <w:rFonts w:eastAsia="Times New Roman" w:cs="Times New Roman"/>
                <w:iCs/>
                <w:sz w:val="20"/>
                <w:szCs w:val="20"/>
              </w:rPr>
              <w:t>8,22:6,58 за лицата, родени след 31 декември 1959 г.</w:t>
            </w:r>
          </w:p>
        </w:tc>
        <w:tc>
          <w:tcPr>
            <w:tcW w:w="674" w:type="pct"/>
            <w:shd w:val="clear" w:color="auto" w:fill="auto"/>
            <w:vAlign w:val="center"/>
            <w:hideMark/>
          </w:tcPr>
          <w:p w14:paraId="3CEE86F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8,78:7,02 за лицата, родени след 31 декември 1959 г.</w:t>
            </w:r>
          </w:p>
        </w:tc>
        <w:tc>
          <w:tcPr>
            <w:tcW w:w="674" w:type="pct"/>
            <w:shd w:val="clear" w:color="auto" w:fill="auto"/>
            <w:vAlign w:val="center"/>
            <w:hideMark/>
          </w:tcPr>
          <w:p w14:paraId="25BC4A7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9,9:7,9 за лицата, родени след 31 декември 1959 г.</w:t>
            </w:r>
          </w:p>
        </w:tc>
      </w:tr>
      <w:tr w:rsidR="00643B7B" w:rsidRPr="00643B7B" w14:paraId="03B611D7" w14:textId="77777777" w:rsidTr="00643B7B">
        <w:trPr>
          <w:trHeight w:val="510"/>
        </w:trPr>
        <w:tc>
          <w:tcPr>
            <w:tcW w:w="176" w:type="pct"/>
            <w:tcBorders>
              <w:bottom w:val="single" w:sz="4" w:space="0" w:color="auto"/>
            </w:tcBorders>
            <w:shd w:val="clear" w:color="auto" w:fill="auto"/>
            <w:hideMark/>
          </w:tcPr>
          <w:p w14:paraId="50D1798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20.3.</w:t>
            </w:r>
          </w:p>
        </w:tc>
        <w:tc>
          <w:tcPr>
            <w:tcW w:w="1584" w:type="pct"/>
            <w:tcBorders>
              <w:bottom w:val="single" w:sz="4" w:space="0" w:color="auto"/>
            </w:tcBorders>
            <w:shd w:val="clear" w:color="auto" w:fill="auto"/>
            <w:hideMark/>
          </w:tcPr>
          <w:p w14:paraId="0F2FC54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Разпределение на здравноосигурителната вноска между осигурители и осигурени лица</w:t>
            </w:r>
          </w:p>
        </w:tc>
        <w:tc>
          <w:tcPr>
            <w:tcW w:w="544" w:type="pct"/>
            <w:tcBorders>
              <w:bottom w:val="single" w:sz="4" w:space="0" w:color="auto"/>
            </w:tcBorders>
            <w:shd w:val="clear" w:color="auto" w:fill="FBE4D5"/>
            <w:vAlign w:val="center"/>
            <w:hideMark/>
          </w:tcPr>
          <w:p w14:paraId="36AEEB3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съотношение</w:t>
            </w:r>
          </w:p>
        </w:tc>
        <w:tc>
          <w:tcPr>
            <w:tcW w:w="674" w:type="pct"/>
            <w:tcBorders>
              <w:bottom w:val="single" w:sz="4" w:space="0" w:color="auto"/>
            </w:tcBorders>
            <w:shd w:val="clear" w:color="auto" w:fill="auto"/>
            <w:vAlign w:val="center"/>
            <w:hideMark/>
          </w:tcPr>
          <w:p w14:paraId="6F83457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60:40  </w:t>
            </w:r>
          </w:p>
        </w:tc>
        <w:tc>
          <w:tcPr>
            <w:tcW w:w="674" w:type="pct"/>
            <w:tcBorders>
              <w:bottom w:val="single" w:sz="4" w:space="0" w:color="auto"/>
            </w:tcBorders>
            <w:shd w:val="clear" w:color="auto" w:fill="auto"/>
            <w:vAlign w:val="center"/>
            <w:hideMark/>
          </w:tcPr>
          <w:p w14:paraId="1A0D034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60:40  </w:t>
            </w:r>
          </w:p>
        </w:tc>
        <w:tc>
          <w:tcPr>
            <w:tcW w:w="674" w:type="pct"/>
            <w:tcBorders>
              <w:bottom w:val="single" w:sz="4" w:space="0" w:color="auto"/>
            </w:tcBorders>
            <w:shd w:val="clear" w:color="auto" w:fill="auto"/>
            <w:vAlign w:val="center"/>
            <w:hideMark/>
          </w:tcPr>
          <w:p w14:paraId="0043B03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60:40  </w:t>
            </w:r>
          </w:p>
        </w:tc>
        <w:tc>
          <w:tcPr>
            <w:tcW w:w="674" w:type="pct"/>
            <w:tcBorders>
              <w:bottom w:val="single" w:sz="4" w:space="0" w:color="auto"/>
            </w:tcBorders>
            <w:shd w:val="clear" w:color="auto" w:fill="auto"/>
            <w:vAlign w:val="center"/>
            <w:hideMark/>
          </w:tcPr>
          <w:p w14:paraId="3FCBACE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60:40  </w:t>
            </w:r>
          </w:p>
        </w:tc>
      </w:tr>
      <w:tr w:rsidR="00643B7B" w:rsidRPr="00643B7B" w14:paraId="1A98EDB0" w14:textId="77777777" w:rsidTr="00643B7B">
        <w:trPr>
          <w:trHeight w:val="765"/>
        </w:trPr>
        <w:tc>
          <w:tcPr>
            <w:tcW w:w="176" w:type="pct"/>
            <w:tcBorders>
              <w:top w:val="single" w:sz="4" w:space="0" w:color="auto"/>
              <w:bottom w:val="single" w:sz="4" w:space="0" w:color="auto"/>
            </w:tcBorders>
            <w:shd w:val="clear" w:color="auto" w:fill="auto"/>
            <w:hideMark/>
          </w:tcPr>
          <w:p w14:paraId="7AD70BC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21.</w:t>
            </w:r>
          </w:p>
        </w:tc>
        <w:tc>
          <w:tcPr>
            <w:tcW w:w="1584" w:type="pct"/>
            <w:tcBorders>
              <w:top w:val="single" w:sz="4" w:space="0" w:color="auto"/>
              <w:bottom w:val="single" w:sz="4" w:space="0" w:color="auto"/>
            </w:tcBorders>
            <w:shd w:val="clear" w:color="auto" w:fill="auto"/>
            <w:hideMark/>
          </w:tcPr>
          <w:p w14:paraId="26EB53EB"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Минимален размер на пенсията за осигурителен стаж и възраст</w:t>
            </w:r>
          </w:p>
        </w:tc>
        <w:tc>
          <w:tcPr>
            <w:tcW w:w="544" w:type="pct"/>
            <w:tcBorders>
              <w:top w:val="single" w:sz="4" w:space="0" w:color="auto"/>
              <w:bottom w:val="single" w:sz="4" w:space="0" w:color="auto"/>
            </w:tcBorders>
            <w:shd w:val="clear" w:color="auto" w:fill="FBE4D5"/>
            <w:vAlign w:val="center"/>
            <w:hideMark/>
          </w:tcPr>
          <w:p w14:paraId="2CFF1FA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bottom w:val="single" w:sz="4" w:space="0" w:color="auto"/>
            </w:tcBorders>
            <w:shd w:val="clear" w:color="auto" w:fill="auto"/>
            <w:vAlign w:val="center"/>
            <w:hideMark/>
          </w:tcPr>
          <w:p w14:paraId="526D6BB5"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4AC9E12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3DCEC22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3FFAFBC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Увеличение с процента по чл. 100 от КСО, считано от 1 юли</w:t>
            </w:r>
          </w:p>
        </w:tc>
      </w:tr>
      <w:tr w:rsidR="00643B7B" w:rsidRPr="00643B7B" w14:paraId="37243FE5" w14:textId="77777777" w:rsidTr="00786024">
        <w:trPr>
          <w:trHeight w:val="510"/>
        </w:trPr>
        <w:tc>
          <w:tcPr>
            <w:tcW w:w="176" w:type="pct"/>
            <w:tcBorders>
              <w:top w:val="single" w:sz="4" w:space="0" w:color="auto"/>
              <w:bottom w:val="single" w:sz="4" w:space="0" w:color="auto"/>
            </w:tcBorders>
            <w:shd w:val="clear" w:color="auto" w:fill="auto"/>
            <w:hideMark/>
          </w:tcPr>
          <w:p w14:paraId="77E332DB"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22.</w:t>
            </w:r>
          </w:p>
        </w:tc>
        <w:tc>
          <w:tcPr>
            <w:tcW w:w="1584" w:type="pct"/>
            <w:tcBorders>
              <w:top w:val="single" w:sz="4" w:space="0" w:color="auto"/>
              <w:bottom w:val="single" w:sz="4" w:space="0" w:color="auto"/>
            </w:tcBorders>
            <w:shd w:val="clear" w:color="auto" w:fill="auto"/>
            <w:hideMark/>
          </w:tcPr>
          <w:p w14:paraId="6222E50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Максимален размер на получаваните една или повече пенсии</w:t>
            </w:r>
          </w:p>
        </w:tc>
        <w:tc>
          <w:tcPr>
            <w:tcW w:w="544" w:type="pct"/>
            <w:tcBorders>
              <w:top w:val="single" w:sz="4" w:space="0" w:color="auto"/>
              <w:bottom w:val="single" w:sz="4" w:space="0" w:color="auto"/>
            </w:tcBorders>
            <w:shd w:val="clear" w:color="auto" w:fill="FBE4D5"/>
            <w:vAlign w:val="center"/>
            <w:hideMark/>
          </w:tcPr>
          <w:p w14:paraId="6FBA40B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5750DB1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1 738,39</w:t>
            </w:r>
          </w:p>
        </w:tc>
        <w:tc>
          <w:tcPr>
            <w:tcW w:w="674" w:type="pct"/>
            <w:tcBorders>
              <w:top w:val="single" w:sz="4" w:space="0" w:color="auto"/>
              <w:bottom w:val="single" w:sz="4" w:space="0" w:color="auto"/>
            </w:tcBorders>
            <w:shd w:val="clear" w:color="auto" w:fill="auto"/>
            <w:vAlign w:val="center"/>
            <w:hideMark/>
          </w:tcPr>
          <w:p w14:paraId="53F2911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1 738,40</w:t>
            </w:r>
          </w:p>
        </w:tc>
        <w:tc>
          <w:tcPr>
            <w:tcW w:w="674" w:type="pct"/>
            <w:tcBorders>
              <w:top w:val="single" w:sz="4" w:space="0" w:color="auto"/>
              <w:bottom w:val="single" w:sz="4" w:space="0" w:color="auto"/>
            </w:tcBorders>
            <w:shd w:val="clear" w:color="auto" w:fill="auto"/>
            <w:vAlign w:val="center"/>
            <w:hideMark/>
          </w:tcPr>
          <w:p w14:paraId="1BB624D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1 738,40</w:t>
            </w:r>
          </w:p>
        </w:tc>
        <w:tc>
          <w:tcPr>
            <w:tcW w:w="674" w:type="pct"/>
            <w:tcBorders>
              <w:top w:val="single" w:sz="4" w:space="0" w:color="auto"/>
              <w:bottom w:val="single" w:sz="4" w:space="0" w:color="auto"/>
            </w:tcBorders>
            <w:shd w:val="clear" w:color="auto" w:fill="auto"/>
            <w:vAlign w:val="center"/>
            <w:hideMark/>
          </w:tcPr>
          <w:p w14:paraId="35AFDFA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1 738,40</w:t>
            </w:r>
          </w:p>
        </w:tc>
      </w:tr>
      <w:tr w:rsidR="00643B7B" w:rsidRPr="00643B7B" w14:paraId="113355E8" w14:textId="77777777" w:rsidTr="00786024">
        <w:trPr>
          <w:trHeight w:val="765"/>
        </w:trPr>
        <w:tc>
          <w:tcPr>
            <w:tcW w:w="176" w:type="pct"/>
            <w:tcBorders>
              <w:top w:val="single" w:sz="4" w:space="0" w:color="auto"/>
              <w:bottom w:val="single" w:sz="4" w:space="0" w:color="auto"/>
            </w:tcBorders>
            <w:shd w:val="clear" w:color="auto" w:fill="auto"/>
            <w:hideMark/>
          </w:tcPr>
          <w:p w14:paraId="04B40472"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23.</w:t>
            </w:r>
          </w:p>
        </w:tc>
        <w:tc>
          <w:tcPr>
            <w:tcW w:w="1584" w:type="pct"/>
            <w:tcBorders>
              <w:top w:val="single" w:sz="4" w:space="0" w:color="auto"/>
              <w:bottom w:val="single" w:sz="4" w:space="0" w:color="auto"/>
            </w:tcBorders>
            <w:shd w:val="clear" w:color="auto" w:fill="auto"/>
            <w:hideMark/>
          </w:tcPr>
          <w:p w14:paraId="091B2B23"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Пенсионна политика</w:t>
            </w:r>
          </w:p>
        </w:tc>
        <w:tc>
          <w:tcPr>
            <w:tcW w:w="544" w:type="pct"/>
            <w:tcBorders>
              <w:top w:val="single" w:sz="4" w:space="0" w:color="auto"/>
              <w:bottom w:val="single" w:sz="4" w:space="0" w:color="auto"/>
            </w:tcBorders>
            <w:shd w:val="clear" w:color="auto" w:fill="FBE4D5"/>
            <w:vAlign w:val="center"/>
            <w:hideMark/>
          </w:tcPr>
          <w:p w14:paraId="7252872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bottom w:val="single" w:sz="4" w:space="0" w:color="auto"/>
            </w:tcBorders>
            <w:shd w:val="clear" w:color="auto" w:fill="auto"/>
            <w:vAlign w:val="center"/>
            <w:hideMark/>
          </w:tcPr>
          <w:p w14:paraId="6317A7C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Увеличение с процента по чл. 100 от КСО, считано от 1 юли</w:t>
            </w:r>
          </w:p>
        </w:tc>
        <w:tc>
          <w:tcPr>
            <w:tcW w:w="674" w:type="pct"/>
            <w:tcBorders>
              <w:top w:val="single" w:sz="4" w:space="0" w:color="auto"/>
              <w:bottom w:val="single" w:sz="4" w:space="0" w:color="auto"/>
            </w:tcBorders>
            <w:shd w:val="clear" w:color="auto" w:fill="auto"/>
            <w:vAlign w:val="center"/>
            <w:hideMark/>
          </w:tcPr>
          <w:p w14:paraId="1D8D4C0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xml:space="preserve">Осъвременяване съгласно чл. 100 от КСО, считано от 1 юли </w:t>
            </w:r>
          </w:p>
        </w:tc>
        <w:tc>
          <w:tcPr>
            <w:tcW w:w="674" w:type="pct"/>
            <w:tcBorders>
              <w:top w:val="single" w:sz="4" w:space="0" w:color="auto"/>
              <w:bottom w:val="single" w:sz="4" w:space="0" w:color="auto"/>
            </w:tcBorders>
            <w:shd w:val="clear" w:color="auto" w:fill="auto"/>
            <w:vAlign w:val="center"/>
            <w:hideMark/>
          </w:tcPr>
          <w:p w14:paraId="50A95E6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xml:space="preserve">Осъвременяване съгласно чл. 100 от КСО, считано от 1 юли </w:t>
            </w:r>
          </w:p>
        </w:tc>
        <w:tc>
          <w:tcPr>
            <w:tcW w:w="674" w:type="pct"/>
            <w:tcBorders>
              <w:top w:val="single" w:sz="4" w:space="0" w:color="auto"/>
              <w:bottom w:val="single" w:sz="4" w:space="0" w:color="auto"/>
            </w:tcBorders>
            <w:shd w:val="clear" w:color="auto" w:fill="auto"/>
            <w:vAlign w:val="center"/>
            <w:hideMark/>
          </w:tcPr>
          <w:p w14:paraId="0C96D34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xml:space="preserve">Осъвременяване съгласно чл. 100 от КСО, считано от 1 юли </w:t>
            </w:r>
          </w:p>
        </w:tc>
      </w:tr>
      <w:tr w:rsidR="00643B7B" w:rsidRPr="00643B7B" w14:paraId="18AC67EA" w14:textId="77777777" w:rsidTr="00786024">
        <w:trPr>
          <w:trHeight w:val="1020"/>
        </w:trPr>
        <w:tc>
          <w:tcPr>
            <w:tcW w:w="176" w:type="pct"/>
            <w:tcBorders>
              <w:top w:val="single" w:sz="4" w:space="0" w:color="auto"/>
              <w:bottom w:val="single" w:sz="4" w:space="0" w:color="auto"/>
            </w:tcBorders>
            <w:shd w:val="clear" w:color="auto" w:fill="auto"/>
            <w:hideMark/>
          </w:tcPr>
          <w:p w14:paraId="7973715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24.</w:t>
            </w:r>
          </w:p>
        </w:tc>
        <w:tc>
          <w:tcPr>
            <w:tcW w:w="1584" w:type="pct"/>
            <w:tcBorders>
              <w:top w:val="single" w:sz="4" w:space="0" w:color="auto"/>
              <w:bottom w:val="single" w:sz="4" w:space="0" w:color="auto"/>
            </w:tcBorders>
            <w:shd w:val="clear" w:color="auto" w:fill="auto"/>
            <w:hideMark/>
          </w:tcPr>
          <w:p w14:paraId="5CCFB1B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месечното парично обезщетение за отглеждане на дете до 2-годишна възраст и обезщетение за отглеждане на дете до 8-годишна възраст от бащата (осиновителя)</w:t>
            </w:r>
          </w:p>
        </w:tc>
        <w:tc>
          <w:tcPr>
            <w:tcW w:w="544" w:type="pct"/>
            <w:tcBorders>
              <w:top w:val="single" w:sz="4" w:space="0" w:color="auto"/>
              <w:bottom w:val="single" w:sz="4" w:space="0" w:color="auto"/>
            </w:tcBorders>
            <w:shd w:val="clear" w:color="auto" w:fill="FBE4D5"/>
            <w:vAlign w:val="center"/>
            <w:hideMark/>
          </w:tcPr>
          <w:p w14:paraId="26E2237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4C7809A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398,81</w:t>
            </w:r>
          </w:p>
        </w:tc>
        <w:tc>
          <w:tcPr>
            <w:tcW w:w="674" w:type="pct"/>
            <w:tcBorders>
              <w:top w:val="single" w:sz="4" w:space="0" w:color="auto"/>
              <w:bottom w:val="single" w:sz="4" w:space="0" w:color="auto"/>
            </w:tcBorders>
            <w:shd w:val="clear" w:color="auto" w:fill="auto"/>
            <w:vAlign w:val="center"/>
            <w:hideMark/>
          </w:tcPr>
          <w:p w14:paraId="341697E5" w14:textId="77777777" w:rsidR="00643B7B" w:rsidRPr="00643B7B" w:rsidRDefault="00643B7B" w:rsidP="00643B7B">
            <w:pPr>
              <w:spacing w:after="0"/>
              <w:jc w:val="center"/>
              <w:rPr>
                <w:rFonts w:eastAsia="Times New Roman" w:cs="Times New Roman"/>
                <w:sz w:val="20"/>
                <w:szCs w:val="20"/>
                <w:lang w:val="en-US"/>
              </w:rPr>
            </w:pPr>
            <w:r w:rsidRPr="00643B7B">
              <w:rPr>
                <w:rFonts w:eastAsia="Times New Roman" w:cs="Times New Roman"/>
                <w:sz w:val="20"/>
                <w:szCs w:val="20"/>
                <w:lang w:val="en-US"/>
              </w:rPr>
              <w:t>460</w:t>
            </w:r>
            <w:r w:rsidRPr="00643B7B">
              <w:rPr>
                <w:rFonts w:eastAsia="Times New Roman" w:cs="Times New Roman"/>
                <w:sz w:val="20"/>
                <w:szCs w:val="20"/>
              </w:rPr>
              <w:t>,</w:t>
            </w:r>
            <w:r w:rsidRPr="00643B7B">
              <w:rPr>
                <w:rFonts w:eastAsia="Times New Roman" w:cs="Times New Roman"/>
                <w:sz w:val="20"/>
                <w:szCs w:val="20"/>
                <w:lang w:val="en-US"/>
              </w:rPr>
              <w:t>17</w:t>
            </w:r>
          </w:p>
        </w:tc>
        <w:tc>
          <w:tcPr>
            <w:tcW w:w="674" w:type="pct"/>
            <w:tcBorders>
              <w:top w:val="single" w:sz="4" w:space="0" w:color="auto"/>
              <w:bottom w:val="single" w:sz="4" w:space="0" w:color="auto"/>
            </w:tcBorders>
            <w:shd w:val="clear" w:color="auto" w:fill="auto"/>
            <w:vAlign w:val="center"/>
            <w:hideMark/>
          </w:tcPr>
          <w:p w14:paraId="61CDF25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lang w:val="en-US"/>
              </w:rPr>
              <w:t>460</w:t>
            </w:r>
            <w:r w:rsidRPr="00643B7B">
              <w:rPr>
                <w:rFonts w:eastAsia="Times New Roman" w:cs="Times New Roman"/>
                <w:sz w:val="20"/>
                <w:szCs w:val="20"/>
              </w:rPr>
              <w:t>,</w:t>
            </w:r>
            <w:r w:rsidRPr="00643B7B">
              <w:rPr>
                <w:rFonts w:eastAsia="Times New Roman" w:cs="Times New Roman"/>
                <w:sz w:val="20"/>
                <w:szCs w:val="20"/>
                <w:lang w:val="en-US"/>
              </w:rPr>
              <w:t>17</w:t>
            </w:r>
          </w:p>
        </w:tc>
        <w:tc>
          <w:tcPr>
            <w:tcW w:w="674" w:type="pct"/>
            <w:tcBorders>
              <w:top w:val="single" w:sz="4" w:space="0" w:color="auto"/>
              <w:bottom w:val="single" w:sz="4" w:space="0" w:color="auto"/>
            </w:tcBorders>
            <w:shd w:val="clear" w:color="auto" w:fill="auto"/>
            <w:vAlign w:val="center"/>
            <w:hideMark/>
          </w:tcPr>
          <w:p w14:paraId="34D6349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lang w:val="en-US"/>
              </w:rPr>
              <w:t>460</w:t>
            </w:r>
            <w:r w:rsidRPr="00643B7B">
              <w:rPr>
                <w:rFonts w:eastAsia="Times New Roman" w:cs="Times New Roman"/>
                <w:sz w:val="20"/>
                <w:szCs w:val="20"/>
              </w:rPr>
              <w:t>,</w:t>
            </w:r>
            <w:r w:rsidRPr="00643B7B">
              <w:rPr>
                <w:rFonts w:eastAsia="Times New Roman" w:cs="Times New Roman"/>
                <w:sz w:val="20"/>
                <w:szCs w:val="20"/>
                <w:lang w:val="en-US"/>
              </w:rPr>
              <w:t>17</w:t>
            </w:r>
          </w:p>
        </w:tc>
      </w:tr>
      <w:tr w:rsidR="00643B7B" w:rsidRPr="00643B7B" w14:paraId="17758BE9" w14:textId="77777777" w:rsidTr="00643B7B">
        <w:trPr>
          <w:trHeight w:val="1275"/>
        </w:trPr>
        <w:tc>
          <w:tcPr>
            <w:tcW w:w="176" w:type="pct"/>
            <w:tcBorders>
              <w:top w:val="single" w:sz="4" w:space="0" w:color="auto"/>
              <w:bottom w:val="single" w:sz="4" w:space="0" w:color="auto"/>
            </w:tcBorders>
            <w:shd w:val="clear" w:color="auto" w:fill="auto"/>
            <w:hideMark/>
          </w:tcPr>
          <w:p w14:paraId="291B346E"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lastRenderedPageBreak/>
              <w:t>25.</w:t>
            </w:r>
          </w:p>
        </w:tc>
        <w:tc>
          <w:tcPr>
            <w:tcW w:w="1584" w:type="pct"/>
            <w:tcBorders>
              <w:top w:val="single" w:sz="4" w:space="0" w:color="auto"/>
              <w:bottom w:val="single" w:sz="4" w:space="0" w:color="auto"/>
            </w:tcBorders>
            <w:shd w:val="clear" w:color="auto" w:fill="auto"/>
            <w:hideMark/>
          </w:tcPr>
          <w:p w14:paraId="13B7313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средномесечния доход по чл. 4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75E6AE0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DAEB66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414,15, считано от</w:t>
            </w:r>
            <w:r w:rsidRPr="00643B7B">
              <w:rPr>
                <w:rFonts w:eastAsia="Times New Roman" w:cs="Times New Roman"/>
                <w:i/>
                <w:iCs/>
                <w:sz w:val="20"/>
                <w:szCs w:val="20"/>
              </w:rPr>
              <w:br/>
              <w:t>1 януари;</w:t>
            </w:r>
            <w:r w:rsidRPr="00643B7B">
              <w:rPr>
                <w:rFonts w:eastAsia="Times New Roman" w:cs="Times New Roman"/>
                <w:i/>
                <w:iCs/>
                <w:sz w:val="20"/>
                <w:szCs w:val="20"/>
              </w:rPr>
              <w:br/>
              <w:t>439,71, считано от</w:t>
            </w:r>
            <w:r w:rsidRPr="00643B7B">
              <w:rPr>
                <w:rFonts w:eastAsia="Times New Roman" w:cs="Times New Roman"/>
                <w:i/>
                <w:iCs/>
                <w:sz w:val="20"/>
                <w:szCs w:val="20"/>
              </w:rPr>
              <w:br/>
              <w:t>1 април</w:t>
            </w:r>
          </w:p>
        </w:tc>
        <w:tc>
          <w:tcPr>
            <w:tcW w:w="674" w:type="pct"/>
            <w:tcBorders>
              <w:top w:val="single" w:sz="4" w:space="0" w:color="auto"/>
              <w:bottom w:val="single" w:sz="4" w:space="0" w:color="auto"/>
            </w:tcBorders>
            <w:shd w:val="clear" w:color="auto" w:fill="auto"/>
            <w:vAlign w:val="center"/>
            <w:hideMark/>
          </w:tcPr>
          <w:p w14:paraId="22987D7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466</w:t>
            </w:r>
          </w:p>
        </w:tc>
        <w:tc>
          <w:tcPr>
            <w:tcW w:w="674" w:type="pct"/>
            <w:tcBorders>
              <w:top w:val="single" w:sz="4" w:space="0" w:color="auto"/>
              <w:bottom w:val="single" w:sz="4" w:space="0" w:color="auto"/>
            </w:tcBorders>
            <w:shd w:val="clear" w:color="auto" w:fill="auto"/>
            <w:vAlign w:val="center"/>
            <w:hideMark/>
          </w:tcPr>
          <w:p w14:paraId="4F10FA5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466</w:t>
            </w:r>
          </w:p>
        </w:tc>
        <w:tc>
          <w:tcPr>
            <w:tcW w:w="674" w:type="pct"/>
            <w:tcBorders>
              <w:top w:val="single" w:sz="4" w:space="0" w:color="auto"/>
              <w:bottom w:val="single" w:sz="4" w:space="0" w:color="auto"/>
            </w:tcBorders>
            <w:shd w:val="clear" w:color="auto" w:fill="auto"/>
            <w:vAlign w:val="center"/>
            <w:hideMark/>
          </w:tcPr>
          <w:p w14:paraId="5961C95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466</w:t>
            </w:r>
          </w:p>
        </w:tc>
      </w:tr>
      <w:tr w:rsidR="00643B7B" w:rsidRPr="00643B7B" w14:paraId="2AC62FA3" w14:textId="77777777" w:rsidTr="00643B7B">
        <w:trPr>
          <w:trHeight w:val="1020"/>
        </w:trPr>
        <w:tc>
          <w:tcPr>
            <w:tcW w:w="176" w:type="pct"/>
            <w:tcBorders>
              <w:top w:val="single" w:sz="4" w:space="0" w:color="auto"/>
              <w:bottom w:val="single" w:sz="4" w:space="0" w:color="auto"/>
            </w:tcBorders>
            <w:shd w:val="clear" w:color="auto" w:fill="auto"/>
            <w:hideMark/>
          </w:tcPr>
          <w:p w14:paraId="13852ECE"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26.</w:t>
            </w:r>
          </w:p>
        </w:tc>
        <w:tc>
          <w:tcPr>
            <w:tcW w:w="1584" w:type="pct"/>
            <w:tcBorders>
              <w:top w:val="single" w:sz="4" w:space="0" w:color="auto"/>
              <w:bottom w:val="single" w:sz="4" w:space="0" w:color="auto"/>
            </w:tcBorders>
            <w:shd w:val="clear" w:color="auto" w:fill="auto"/>
            <w:hideMark/>
          </w:tcPr>
          <w:p w14:paraId="7761616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средномесечния доход по чл. 4а, ал. 2, т.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6DE2EB6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356DF52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363,02 считано от 1 януари ;</w:t>
            </w:r>
          </w:p>
          <w:p w14:paraId="5661F90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388,58 считано от 1 април</w:t>
            </w:r>
          </w:p>
        </w:tc>
        <w:tc>
          <w:tcPr>
            <w:tcW w:w="674" w:type="pct"/>
            <w:tcBorders>
              <w:top w:val="single" w:sz="4" w:space="0" w:color="auto"/>
              <w:bottom w:val="single" w:sz="4" w:space="0" w:color="auto"/>
            </w:tcBorders>
            <w:shd w:val="clear" w:color="auto" w:fill="auto"/>
            <w:vAlign w:val="center"/>
            <w:hideMark/>
          </w:tcPr>
          <w:p w14:paraId="079BA66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415</w:t>
            </w:r>
          </w:p>
        </w:tc>
        <w:tc>
          <w:tcPr>
            <w:tcW w:w="674" w:type="pct"/>
            <w:tcBorders>
              <w:top w:val="single" w:sz="4" w:space="0" w:color="auto"/>
              <w:bottom w:val="single" w:sz="4" w:space="0" w:color="auto"/>
            </w:tcBorders>
            <w:shd w:val="clear" w:color="auto" w:fill="auto"/>
            <w:vAlign w:val="center"/>
            <w:hideMark/>
          </w:tcPr>
          <w:p w14:paraId="794AEED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415</w:t>
            </w:r>
          </w:p>
        </w:tc>
        <w:tc>
          <w:tcPr>
            <w:tcW w:w="674" w:type="pct"/>
            <w:tcBorders>
              <w:top w:val="single" w:sz="4" w:space="0" w:color="auto"/>
              <w:bottom w:val="single" w:sz="4" w:space="0" w:color="auto"/>
            </w:tcBorders>
            <w:shd w:val="clear" w:color="auto" w:fill="auto"/>
            <w:vAlign w:val="center"/>
            <w:hideMark/>
          </w:tcPr>
          <w:p w14:paraId="4AB8B35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415</w:t>
            </w:r>
          </w:p>
        </w:tc>
      </w:tr>
      <w:tr w:rsidR="00643B7B" w:rsidRPr="00643B7B" w14:paraId="0D559D76" w14:textId="77777777" w:rsidTr="00643B7B">
        <w:trPr>
          <w:trHeight w:val="1785"/>
        </w:trPr>
        <w:tc>
          <w:tcPr>
            <w:tcW w:w="176" w:type="pct"/>
            <w:tcBorders>
              <w:top w:val="single" w:sz="4" w:space="0" w:color="auto"/>
              <w:bottom w:val="single" w:sz="4" w:space="0" w:color="auto"/>
            </w:tcBorders>
            <w:shd w:val="clear" w:color="auto" w:fill="auto"/>
            <w:hideMark/>
          </w:tcPr>
          <w:p w14:paraId="101E37D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27.</w:t>
            </w:r>
          </w:p>
        </w:tc>
        <w:tc>
          <w:tcPr>
            <w:tcW w:w="1584" w:type="pct"/>
            <w:tcBorders>
              <w:top w:val="single" w:sz="4" w:space="0" w:color="auto"/>
              <w:bottom w:val="single" w:sz="4" w:space="0" w:color="auto"/>
            </w:tcBorders>
            <w:shd w:val="clear" w:color="auto" w:fill="auto"/>
            <w:hideMark/>
          </w:tcPr>
          <w:p w14:paraId="724FF7DB"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средномесечния доход по чл. 4а, ал. 2, т. 2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00E48FD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5B6EC135"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xml:space="preserve">от 363,021 до </w:t>
            </w:r>
          </w:p>
          <w:p w14:paraId="42F6FE7F"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414,15 включително, считано от 1 януари;</w:t>
            </w:r>
          </w:p>
          <w:p w14:paraId="188E3730"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xml:space="preserve">от 388,581 до </w:t>
            </w:r>
          </w:p>
          <w:p w14:paraId="22E7F93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439,71 включително, считано от 1 април</w:t>
            </w:r>
          </w:p>
        </w:tc>
        <w:tc>
          <w:tcPr>
            <w:tcW w:w="674" w:type="pct"/>
            <w:tcBorders>
              <w:top w:val="single" w:sz="4" w:space="0" w:color="auto"/>
              <w:bottom w:val="single" w:sz="4" w:space="0" w:color="auto"/>
            </w:tcBorders>
            <w:shd w:val="clear" w:color="auto" w:fill="auto"/>
            <w:vAlign w:val="center"/>
            <w:hideMark/>
          </w:tcPr>
          <w:p w14:paraId="385179F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от 415,01 до 466 включително</w:t>
            </w:r>
          </w:p>
        </w:tc>
        <w:tc>
          <w:tcPr>
            <w:tcW w:w="674" w:type="pct"/>
            <w:tcBorders>
              <w:top w:val="single" w:sz="4" w:space="0" w:color="auto"/>
              <w:bottom w:val="single" w:sz="4" w:space="0" w:color="auto"/>
            </w:tcBorders>
            <w:shd w:val="clear" w:color="auto" w:fill="auto"/>
            <w:vAlign w:val="center"/>
            <w:hideMark/>
          </w:tcPr>
          <w:p w14:paraId="28C0ECA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от 415,01 до 466 включително</w:t>
            </w:r>
          </w:p>
        </w:tc>
        <w:tc>
          <w:tcPr>
            <w:tcW w:w="674" w:type="pct"/>
            <w:tcBorders>
              <w:top w:val="single" w:sz="4" w:space="0" w:color="auto"/>
              <w:bottom w:val="single" w:sz="4" w:space="0" w:color="auto"/>
            </w:tcBorders>
            <w:shd w:val="clear" w:color="auto" w:fill="auto"/>
            <w:vAlign w:val="center"/>
            <w:hideMark/>
          </w:tcPr>
          <w:p w14:paraId="0C434FB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от 415,01 до 466 включително</w:t>
            </w:r>
          </w:p>
        </w:tc>
      </w:tr>
      <w:tr w:rsidR="00643B7B" w:rsidRPr="00643B7B" w14:paraId="4A173CDB" w14:textId="77777777" w:rsidTr="00643B7B">
        <w:trPr>
          <w:trHeight w:val="510"/>
        </w:trPr>
        <w:tc>
          <w:tcPr>
            <w:tcW w:w="176" w:type="pct"/>
            <w:tcBorders>
              <w:top w:val="single" w:sz="4" w:space="0" w:color="auto"/>
              <w:bottom w:val="single" w:sz="4" w:space="0" w:color="auto"/>
            </w:tcBorders>
            <w:shd w:val="clear" w:color="auto" w:fill="auto"/>
            <w:hideMark/>
          </w:tcPr>
          <w:p w14:paraId="28866F0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28.</w:t>
            </w:r>
          </w:p>
        </w:tc>
        <w:tc>
          <w:tcPr>
            <w:tcW w:w="1584" w:type="pct"/>
            <w:tcBorders>
              <w:top w:val="single" w:sz="4" w:space="0" w:color="auto"/>
              <w:bottom w:val="single" w:sz="4" w:space="0" w:color="auto"/>
            </w:tcBorders>
            <w:shd w:val="clear" w:color="auto" w:fill="auto"/>
            <w:hideMark/>
          </w:tcPr>
          <w:p w14:paraId="485DBA4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еднократната помощ при бременност по чл. 5а,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4EC1119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5FCD6E41"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115,04</w:t>
            </w:r>
          </w:p>
        </w:tc>
        <w:tc>
          <w:tcPr>
            <w:tcW w:w="674" w:type="pct"/>
            <w:tcBorders>
              <w:top w:val="single" w:sz="4" w:space="0" w:color="auto"/>
              <w:bottom w:val="single" w:sz="4" w:space="0" w:color="auto"/>
            </w:tcBorders>
            <w:shd w:val="clear" w:color="auto" w:fill="auto"/>
            <w:vAlign w:val="center"/>
            <w:hideMark/>
          </w:tcPr>
          <w:p w14:paraId="670B929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116</w:t>
            </w:r>
          </w:p>
        </w:tc>
        <w:tc>
          <w:tcPr>
            <w:tcW w:w="674" w:type="pct"/>
            <w:tcBorders>
              <w:top w:val="single" w:sz="4" w:space="0" w:color="auto"/>
              <w:bottom w:val="single" w:sz="4" w:space="0" w:color="auto"/>
            </w:tcBorders>
            <w:shd w:val="clear" w:color="auto" w:fill="auto"/>
            <w:vAlign w:val="center"/>
            <w:hideMark/>
          </w:tcPr>
          <w:p w14:paraId="4204C3E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116</w:t>
            </w:r>
          </w:p>
        </w:tc>
        <w:tc>
          <w:tcPr>
            <w:tcW w:w="674" w:type="pct"/>
            <w:tcBorders>
              <w:top w:val="single" w:sz="4" w:space="0" w:color="auto"/>
              <w:bottom w:val="single" w:sz="4" w:space="0" w:color="auto"/>
            </w:tcBorders>
            <w:shd w:val="clear" w:color="auto" w:fill="auto"/>
            <w:vAlign w:val="center"/>
            <w:hideMark/>
          </w:tcPr>
          <w:p w14:paraId="4BDBCB6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116</w:t>
            </w:r>
          </w:p>
        </w:tc>
      </w:tr>
      <w:tr w:rsidR="00643B7B" w:rsidRPr="00643B7B" w14:paraId="69950EE9" w14:textId="77777777" w:rsidTr="00643B7B">
        <w:trPr>
          <w:trHeight w:val="510"/>
        </w:trPr>
        <w:tc>
          <w:tcPr>
            <w:tcW w:w="176" w:type="pct"/>
            <w:tcBorders>
              <w:top w:val="single" w:sz="4" w:space="0" w:color="auto"/>
            </w:tcBorders>
            <w:shd w:val="clear" w:color="auto" w:fill="auto"/>
            <w:hideMark/>
          </w:tcPr>
          <w:p w14:paraId="788682D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29.</w:t>
            </w:r>
          </w:p>
        </w:tc>
        <w:tc>
          <w:tcPr>
            <w:tcW w:w="1584" w:type="pct"/>
            <w:tcBorders>
              <w:top w:val="single" w:sz="4" w:space="0" w:color="auto"/>
            </w:tcBorders>
            <w:shd w:val="clear" w:color="auto" w:fill="auto"/>
            <w:hideMark/>
          </w:tcPr>
          <w:p w14:paraId="5B5721F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еднократната помощ при раждане на живо дете по чл. 6, ал. 1 от Закона за семейни помощи за деца</w:t>
            </w:r>
          </w:p>
        </w:tc>
        <w:tc>
          <w:tcPr>
            <w:tcW w:w="544" w:type="pct"/>
            <w:vMerge w:val="restart"/>
            <w:tcBorders>
              <w:top w:val="single" w:sz="4" w:space="0" w:color="auto"/>
            </w:tcBorders>
            <w:shd w:val="clear" w:color="auto" w:fill="FBE4D5"/>
            <w:vAlign w:val="center"/>
            <w:hideMark/>
          </w:tcPr>
          <w:p w14:paraId="38BDE34F"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67C60F7C" w14:textId="77777777" w:rsidR="00643B7B" w:rsidRPr="00643B7B" w:rsidRDefault="00643B7B" w:rsidP="00643B7B">
            <w:pPr>
              <w:spacing w:after="0"/>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344CF452" w14:textId="77777777" w:rsidR="00643B7B" w:rsidRPr="00643B7B" w:rsidRDefault="00643B7B" w:rsidP="00643B7B">
            <w:pPr>
              <w:spacing w:after="0"/>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0745B354" w14:textId="77777777" w:rsidR="00643B7B" w:rsidRPr="00643B7B" w:rsidRDefault="00643B7B" w:rsidP="00643B7B">
            <w:pPr>
              <w:spacing w:after="0"/>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17FD4036" w14:textId="77777777" w:rsidR="00643B7B" w:rsidRPr="00643B7B" w:rsidRDefault="00643B7B" w:rsidP="00643B7B">
            <w:pPr>
              <w:spacing w:after="0"/>
              <w:rPr>
                <w:rFonts w:eastAsia="Times New Roman" w:cs="Times New Roman"/>
                <w:sz w:val="20"/>
                <w:szCs w:val="20"/>
              </w:rPr>
            </w:pPr>
            <w:r w:rsidRPr="00643B7B">
              <w:rPr>
                <w:rFonts w:eastAsia="Times New Roman" w:cs="Times New Roman"/>
                <w:sz w:val="20"/>
                <w:szCs w:val="20"/>
              </w:rPr>
              <w:t> </w:t>
            </w:r>
          </w:p>
        </w:tc>
      </w:tr>
      <w:tr w:rsidR="00643B7B" w:rsidRPr="00643B7B" w14:paraId="3A9D9D94" w14:textId="77777777" w:rsidTr="00643B7B">
        <w:trPr>
          <w:trHeight w:val="300"/>
        </w:trPr>
        <w:tc>
          <w:tcPr>
            <w:tcW w:w="176" w:type="pct"/>
            <w:shd w:val="clear" w:color="auto" w:fill="auto"/>
            <w:hideMark/>
          </w:tcPr>
          <w:p w14:paraId="166A02C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w:t>
            </w:r>
          </w:p>
        </w:tc>
        <w:tc>
          <w:tcPr>
            <w:tcW w:w="1584" w:type="pct"/>
            <w:shd w:val="clear" w:color="auto" w:fill="auto"/>
            <w:hideMark/>
          </w:tcPr>
          <w:p w14:paraId="7BFA1323"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43BD2D69"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B83ED2F"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1F2F0E5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6B454F5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5D0241A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487E94A7" w14:textId="77777777" w:rsidTr="00643B7B">
        <w:trPr>
          <w:trHeight w:val="300"/>
        </w:trPr>
        <w:tc>
          <w:tcPr>
            <w:tcW w:w="176" w:type="pct"/>
            <w:shd w:val="clear" w:color="auto" w:fill="auto"/>
            <w:hideMark/>
          </w:tcPr>
          <w:p w14:paraId="4BB2FE8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29.1.</w:t>
            </w:r>
          </w:p>
        </w:tc>
        <w:tc>
          <w:tcPr>
            <w:tcW w:w="1584" w:type="pct"/>
            <w:shd w:val="clear" w:color="auto" w:fill="auto"/>
            <w:hideMark/>
          </w:tcPr>
          <w:p w14:paraId="2CDC1B2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първо дете</w:t>
            </w:r>
          </w:p>
        </w:tc>
        <w:tc>
          <w:tcPr>
            <w:tcW w:w="544" w:type="pct"/>
            <w:vMerge w:val="restart"/>
            <w:shd w:val="clear" w:color="auto" w:fill="FBE4D5"/>
            <w:vAlign w:val="center"/>
            <w:hideMark/>
          </w:tcPr>
          <w:p w14:paraId="130A55E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shd w:val="clear" w:color="auto" w:fill="auto"/>
            <w:vAlign w:val="center"/>
            <w:hideMark/>
          </w:tcPr>
          <w:p w14:paraId="0E8F25C4"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191,73</w:t>
            </w:r>
          </w:p>
        </w:tc>
        <w:tc>
          <w:tcPr>
            <w:tcW w:w="674" w:type="pct"/>
            <w:shd w:val="clear" w:color="auto" w:fill="auto"/>
            <w:vAlign w:val="center"/>
            <w:hideMark/>
          </w:tcPr>
          <w:p w14:paraId="24A87A5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192</w:t>
            </w:r>
          </w:p>
        </w:tc>
        <w:tc>
          <w:tcPr>
            <w:tcW w:w="674" w:type="pct"/>
            <w:shd w:val="clear" w:color="auto" w:fill="auto"/>
            <w:vAlign w:val="center"/>
            <w:hideMark/>
          </w:tcPr>
          <w:p w14:paraId="6E692C0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192</w:t>
            </w:r>
          </w:p>
        </w:tc>
        <w:tc>
          <w:tcPr>
            <w:tcW w:w="674" w:type="pct"/>
            <w:shd w:val="clear" w:color="auto" w:fill="auto"/>
            <w:vAlign w:val="center"/>
            <w:hideMark/>
          </w:tcPr>
          <w:p w14:paraId="53CBB22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192</w:t>
            </w:r>
          </w:p>
        </w:tc>
      </w:tr>
      <w:tr w:rsidR="00643B7B" w:rsidRPr="00643B7B" w14:paraId="502CF0D7" w14:textId="77777777" w:rsidTr="00643B7B">
        <w:trPr>
          <w:trHeight w:val="300"/>
        </w:trPr>
        <w:tc>
          <w:tcPr>
            <w:tcW w:w="176" w:type="pct"/>
            <w:shd w:val="clear" w:color="auto" w:fill="auto"/>
            <w:hideMark/>
          </w:tcPr>
          <w:p w14:paraId="3B19A8A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29.2.</w:t>
            </w:r>
          </w:p>
        </w:tc>
        <w:tc>
          <w:tcPr>
            <w:tcW w:w="1584" w:type="pct"/>
            <w:shd w:val="clear" w:color="auto" w:fill="auto"/>
            <w:hideMark/>
          </w:tcPr>
          <w:p w14:paraId="6266F9C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второ дете</w:t>
            </w:r>
          </w:p>
        </w:tc>
        <w:tc>
          <w:tcPr>
            <w:tcW w:w="544" w:type="pct"/>
            <w:vMerge/>
            <w:shd w:val="clear" w:color="auto" w:fill="FBE4D5"/>
            <w:vAlign w:val="center"/>
            <w:hideMark/>
          </w:tcPr>
          <w:p w14:paraId="238970EF"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6ABE3D4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460,16</w:t>
            </w:r>
          </w:p>
        </w:tc>
        <w:tc>
          <w:tcPr>
            <w:tcW w:w="674" w:type="pct"/>
            <w:shd w:val="clear" w:color="auto" w:fill="auto"/>
            <w:vAlign w:val="center"/>
            <w:hideMark/>
          </w:tcPr>
          <w:p w14:paraId="1F42302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461</w:t>
            </w:r>
          </w:p>
        </w:tc>
        <w:tc>
          <w:tcPr>
            <w:tcW w:w="674" w:type="pct"/>
            <w:shd w:val="clear" w:color="auto" w:fill="auto"/>
            <w:vAlign w:val="center"/>
            <w:hideMark/>
          </w:tcPr>
          <w:p w14:paraId="493D193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461</w:t>
            </w:r>
          </w:p>
        </w:tc>
        <w:tc>
          <w:tcPr>
            <w:tcW w:w="674" w:type="pct"/>
            <w:shd w:val="clear" w:color="auto" w:fill="auto"/>
            <w:vAlign w:val="center"/>
            <w:hideMark/>
          </w:tcPr>
          <w:p w14:paraId="47FD017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461</w:t>
            </w:r>
          </w:p>
        </w:tc>
      </w:tr>
      <w:tr w:rsidR="00643B7B" w:rsidRPr="00643B7B" w14:paraId="4B532A0C" w14:textId="77777777" w:rsidTr="00643B7B">
        <w:trPr>
          <w:trHeight w:val="300"/>
        </w:trPr>
        <w:tc>
          <w:tcPr>
            <w:tcW w:w="176" w:type="pct"/>
            <w:shd w:val="clear" w:color="auto" w:fill="auto"/>
            <w:hideMark/>
          </w:tcPr>
          <w:p w14:paraId="67204910"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29.3.</w:t>
            </w:r>
          </w:p>
        </w:tc>
        <w:tc>
          <w:tcPr>
            <w:tcW w:w="1584" w:type="pct"/>
            <w:shd w:val="clear" w:color="auto" w:fill="auto"/>
            <w:hideMark/>
          </w:tcPr>
          <w:p w14:paraId="5C9FC64C"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трето дете</w:t>
            </w:r>
          </w:p>
        </w:tc>
        <w:tc>
          <w:tcPr>
            <w:tcW w:w="544" w:type="pct"/>
            <w:vMerge/>
            <w:shd w:val="clear" w:color="auto" w:fill="FBE4D5"/>
            <w:vAlign w:val="center"/>
            <w:hideMark/>
          </w:tcPr>
          <w:p w14:paraId="7887497E"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791B5896"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230,08</w:t>
            </w:r>
          </w:p>
        </w:tc>
        <w:tc>
          <w:tcPr>
            <w:tcW w:w="674" w:type="pct"/>
            <w:shd w:val="clear" w:color="auto" w:fill="auto"/>
            <w:vAlign w:val="center"/>
            <w:hideMark/>
          </w:tcPr>
          <w:p w14:paraId="29226F6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c>
          <w:tcPr>
            <w:tcW w:w="674" w:type="pct"/>
            <w:shd w:val="clear" w:color="auto" w:fill="auto"/>
            <w:vAlign w:val="center"/>
            <w:hideMark/>
          </w:tcPr>
          <w:p w14:paraId="29186E1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c>
          <w:tcPr>
            <w:tcW w:w="674" w:type="pct"/>
            <w:shd w:val="clear" w:color="auto" w:fill="auto"/>
            <w:vAlign w:val="center"/>
            <w:hideMark/>
          </w:tcPr>
          <w:p w14:paraId="2944B15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r>
      <w:tr w:rsidR="00643B7B" w:rsidRPr="00643B7B" w14:paraId="42F18ADD" w14:textId="77777777" w:rsidTr="004E4646">
        <w:trPr>
          <w:trHeight w:val="300"/>
        </w:trPr>
        <w:tc>
          <w:tcPr>
            <w:tcW w:w="176" w:type="pct"/>
            <w:tcBorders>
              <w:bottom w:val="single" w:sz="4" w:space="0" w:color="auto"/>
            </w:tcBorders>
            <w:shd w:val="clear" w:color="auto" w:fill="auto"/>
            <w:hideMark/>
          </w:tcPr>
          <w:p w14:paraId="5080DBFC"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29.4.</w:t>
            </w:r>
          </w:p>
        </w:tc>
        <w:tc>
          <w:tcPr>
            <w:tcW w:w="1584" w:type="pct"/>
            <w:tcBorders>
              <w:bottom w:val="single" w:sz="4" w:space="0" w:color="auto"/>
            </w:tcBorders>
            <w:shd w:val="clear" w:color="auto" w:fill="auto"/>
            <w:hideMark/>
          </w:tcPr>
          <w:p w14:paraId="7A843347"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четвърто и всяко следващо дете</w:t>
            </w:r>
          </w:p>
        </w:tc>
        <w:tc>
          <w:tcPr>
            <w:tcW w:w="544" w:type="pct"/>
            <w:vMerge/>
            <w:tcBorders>
              <w:bottom w:val="single" w:sz="4" w:space="0" w:color="auto"/>
            </w:tcBorders>
            <w:shd w:val="clear" w:color="auto" w:fill="FBE4D5"/>
            <w:vAlign w:val="center"/>
            <w:hideMark/>
          </w:tcPr>
          <w:p w14:paraId="3CB017BD"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4A8B8BB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153,39</w:t>
            </w:r>
          </w:p>
        </w:tc>
        <w:tc>
          <w:tcPr>
            <w:tcW w:w="674" w:type="pct"/>
            <w:tcBorders>
              <w:bottom w:val="single" w:sz="4" w:space="0" w:color="auto"/>
            </w:tcBorders>
            <w:shd w:val="clear" w:color="auto" w:fill="auto"/>
            <w:vAlign w:val="center"/>
            <w:hideMark/>
          </w:tcPr>
          <w:p w14:paraId="667B03E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154</w:t>
            </w:r>
          </w:p>
        </w:tc>
        <w:tc>
          <w:tcPr>
            <w:tcW w:w="674" w:type="pct"/>
            <w:tcBorders>
              <w:bottom w:val="single" w:sz="4" w:space="0" w:color="auto"/>
            </w:tcBorders>
            <w:shd w:val="clear" w:color="auto" w:fill="auto"/>
            <w:vAlign w:val="center"/>
            <w:hideMark/>
          </w:tcPr>
          <w:p w14:paraId="18529A4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154</w:t>
            </w:r>
          </w:p>
        </w:tc>
        <w:tc>
          <w:tcPr>
            <w:tcW w:w="674" w:type="pct"/>
            <w:tcBorders>
              <w:bottom w:val="single" w:sz="4" w:space="0" w:color="auto"/>
            </w:tcBorders>
            <w:shd w:val="clear" w:color="auto" w:fill="auto"/>
            <w:vAlign w:val="center"/>
            <w:hideMark/>
          </w:tcPr>
          <w:p w14:paraId="33F46C7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154</w:t>
            </w:r>
          </w:p>
        </w:tc>
      </w:tr>
      <w:tr w:rsidR="00643B7B" w:rsidRPr="00643B7B" w14:paraId="38650A1D" w14:textId="77777777" w:rsidTr="004E4646">
        <w:trPr>
          <w:trHeight w:val="1020"/>
        </w:trPr>
        <w:tc>
          <w:tcPr>
            <w:tcW w:w="176" w:type="pct"/>
            <w:tcBorders>
              <w:top w:val="single" w:sz="4" w:space="0" w:color="auto"/>
              <w:bottom w:val="single" w:sz="4" w:space="0" w:color="auto"/>
            </w:tcBorders>
            <w:shd w:val="clear" w:color="auto" w:fill="auto"/>
            <w:hideMark/>
          </w:tcPr>
          <w:p w14:paraId="4769094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30.</w:t>
            </w:r>
          </w:p>
        </w:tc>
        <w:tc>
          <w:tcPr>
            <w:tcW w:w="1584" w:type="pct"/>
            <w:tcBorders>
              <w:top w:val="single" w:sz="4" w:space="0" w:color="auto"/>
              <w:bottom w:val="single" w:sz="4" w:space="0" w:color="auto"/>
            </w:tcBorders>
            <w:shd w:val="clear" w:color="auto" w:fill="auto"/>
            <w:hideMark/>
          </w:tcPr>
          <w:p w14:paraId="23954C6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допълнителната еднократна помощ за дете с установени трайни увреждания 50 и над 50 на сто до навършване на двегодишна възраст по чл. 6, ал. 6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31A09E9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79F1409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51,13</w:t>
            </w:r>
          </w:p>
        </w:tc>
        <w:tc>
          <w:tcPr>
            <w:tcW w:w="674" w:type="pct"/>
            <w:tcBorders>
              <w:top w:val="single" w:sz="4" w:space="0" w:color="auto"/>
              <w:bottom w:val="single" w:sz="4" w:space="0" w:color="auto"/>
            </w:tcBorders>
            <w:shd w:val="clear" w:color="auto" w:fill="auto"/>
            <w:vAlign w:val="center"/>
            <w:hideMark/>
          </w:tcPr>
          <w:p w14:paraId="374838C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52</w:t>
            </w:r>
          </w:p>
        </w:tc>
        <w:tc>
          <w:tcPr>
            <w:tcW w:w="674" w:type="pct"/>
            <w:tcBorders>
              <w:top w:val="single" w:sz="4" w:space="0" w:color="auto"/>
              <w:bottom w:val="single" w:sz="4" w:space="0" w:color="auto"/>
            </w:tcBorders>
            <w:shd w:val="clear" w:color="auto" w:fill="auto"/>
            <w:vAlign w:val="center"/>
            <w:hideMark/>
          </w:tcPr>
          <w:p w14:paraId="68B7D6D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52</w:t>
            </w:r>
          </w:p>
        </w:tc>
        <w:tc>
          <w:tcPr>
            <w:tcW w:w="674" w:type="pct"/>
            <w:tcBorders>
              <w:top w:val="single" w:sz="4" w:space="0" w:color="auto"/>
              <w:bottom w:val="single" w:sz="4" w:space="0" w:color="auto"/>
            </w:tcBorders>
            <w:shd w:val="clear" w:color="auto" w:fill="auto"/>
            <w:vAlign w:val="center"/>
            <w:hideMark/>
          </w:tcPr>
          <w:p w14:paraId="6FB9725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52</w:t>
            </w:r>
          </w:p>
        </w:tc>
      </w:tr>
      <w:tr w:rsidR="00643B7B" w:rsidRPr="00643B7B" w14:paraId="2DE59CFA" w14:textId="77777777" w:rsidTr="004E4646">
        <w:trPr>
          <w:trHeight w:val="765"/>
        </w:trPr>
        <w:tc>
          <w:tcPr>
            <w:tcW w:w="176" w:type="pct"/>
            <w:tcBorders>
              <w:top w:val="single" w:sz="4" w:space="0" w:color="auto"/>
              <w:bottom w:val="single" w:sz="4" w:space="0" w:color="auto"/>
            </w:tcBorders>
            <w:shd w:val="clear" w:color="auto" w:fill="auto"/>
            <w:hideMark/>
          </w:tcPr>
          <w:p w14:paraId="1741DA8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lastRenderedPageBreak/>
              <w:t>31.</w:t>
            </w:r>
          </w:p>
        </w:tc>
        <w:tc>
          <w:tcPr>
            <w:tcW w:w="1584" w:type="pct"/>
            <w:tcBorders>
              <w:top w:val="single" w:sz="4" w:space="0" w:color="auto"/>
              <w:bottom w:val="single" w:sz="4" w:space="0" w:color="auto"/>
            </w:tcBorders>
            <w:shd w:val="clear" w:color="auto" w:fill="auto"/>
            <w:hideMark/>
          </w:tcPr>
          <w:p w14:paraId="5468EDF1"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еднократната помощ при осиновяване  на дете по чл. 6б,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587D174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51F3121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191,73</w:t>
            </w:r>
          </w:p>
        </w:tc>
        <w:tc>
          <w:tcPr>
            <w:tcW w:w="674" w:type="pct"/>
            <w:tcBorders>
              <w:top w:val="single" w:sz="4" w:space="0" w:color="auto"/>
              <w:bottom w:val="single" w:sz="4" w:space="0" w:color="auto"/>
            </w:tcBorders>
            <w:shd w:val="clear" w:color="auto" w:fill="auto"/>
            <w:vAlign w:val="center"/>
            <w:hideMark/>
          </w:tcPr>
          <w:p w14:paraId="750A4D5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192</w:t>
            </w:r>
          </w:p>
        </w:tc>
        <w:tc>
          <w:tcPr>
            <w:tcW w:w="674" w:type="pct"/>
            <w:tcBorders>
              <w:top w:val="single" w:sz="4" w:space="0" w:color="auto"/>
              <w:bottom w:val="single" w:sz="4" w:space="0" w:color="auto"/>
            </w:tcBorders>
            <w:shd w:val="clear" w:color="auto" w:fill="auto"/>
            <w:vAlign w:val="center"/>
            <w:hideMark/>
          </w:tcPr>
          <w:p w14:paraId="2745803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192</w:t>
            </w:r>
          </w:p>
        </w:tc>
        <w:tc>
          <w:tcPr>
            <w:tcW w:w="674" w:type="pct"/>
            <w:tcBorders>
              <w:top w:val="single" w:sz="4" w:space="0" w:color="auto"/>
              <w:bottom w:val="single" w:sz="4" w:space="0" w:color="auto"/>
            </w:tcBorders>
            <w:shd w:val="clear" w:color="auto" w:fill="auto"/>
            <w:vAlign w:val="center"/>
            <w:hideMark/>
          </w:tcPr>
          <w:p w14:paraId="3054524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192</w:t>
            </w:r>
          </w:p>
        </w:tc>
      </w:tr>
      <w:tr w:rsidR="00643B7B" w:rsidRPr="00643B7B" w14:paraId="2A51ED09" w14:textId="77777777" w:rsidTr="00643B7B">
        <w:trPr>
          <w:trHeight w:val="765"/>
        </w:trPr>
        <w:tc>
          <w:tcPr>
            <w:tcW w:w="176" w:type="pct"/>
            <w:tcBorders>
              <w:top w:val="single" w:sz="4" w:space="0" w:color="auto"/>
              <w:bottom w:val="single" w:sz="4" w:space="0" w:color="auto"/>
            </w:tcBorders>
            <w:shd w:val="clear" w:color="auto" w:fill="auto"/>
            <w:hideMark/>
          </w:tcPr>
          <w:p w14:paraId="5CC3F038"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32.</w:t>
            </w:r>
          </w:p>
        </w:tc>
        <w:tc>
          <w:tcPr>
            <w:tcW w:w="1584" w:type="pct"/>
            <w:tcBorders>
              <w:top w:val="single" w:sz="4" w:space="0" w:color="auto"/>
              <w:bottom w:val="single" w:sz="4" w:space="0" w:color="auto"/>
            </w:tcBorders>
            <w:shd w:val="clear" w:color="auto" w:fill="auto"/>
            <w:hideMark/>
          </w:tcPr>
          <w:p w14:paraId="63E3868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еднократната помощ за отглеждане на близнаци  по чл. 6а,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2AAD08B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4B34313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613,55</w:t>
            </w:r>
          </w:p>
        </w:tc>
        <w:tc>
          <w:tcPr>
            <w:tcW w:w="674" w:type="pct"/>
            <w:tcBorders>
              <w:top w:val="single" w:sz="4" w:space="0" w:color="auto"/>
              <w:bottom w:val="single" w:sz="4" w:space="0" w:color="auto"/>
            </w:tcBorders>
            <w:shd w:val="clear" w:color="auto" w:fill="auto"/>
            <w:vAlign w:val="center"/>
            <w:hideMark/>
          </w:tcPr>
          <w:p w14:paraId="2C51EC6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614</w:t>
            </w:r>
          </w:p>
        </w:tc>
        <w:tc>
          <w:tcPr>
            <w:tcW w:w="674" w:type="pct"/>
            <w:tcBorders>
              <w:top w:val="single" w:sz="4" w:space="0" w:color="auto"/>
              <w:bottom w:val="single" w:sz="4" w:space="0" w:color="auto"/>
            </w:tcBorders>
            <w:shd w:val="clear" w:color="auto" w:fill="auto"/>
            <w:vAlign w:val="center"/>
            <w:hideMark/>
          </w:tcPr>
          <w:p w14:paraId="5DE796F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614</w:t>
            </w:r>
          </w:p>
        </w:tc>
        <w:tc>
          <w:tcPr>
            <w:tcW w:w="674" w:type="pct"/>
            <w:tcBorders>
              <w:top w:val="single" w:sz="4" w:space="0" w:color="auto"/>
              <w:bottom w:val="single" w:sz="4" w:space="0" w:color="auto"/>
            </w:tcBorders>
            <w:shd w:val="clear" w:color="auto" w:fill="auto"/>
            <w:vAlign w:val="center"/>
            <w:hideMark/>
          </w:tcPr>
          <w:p w14:paraId="18986B1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614</w:t>
            </w:r>
          </w:p>
        </w:tc>
      </w:tr>
      <w:tr w:rsidR="00643B7B" w:rsidRPr="00643B7B" w14:paraId="3AF7BFBE" w14:textId="77777777" w:rsidTr="00643B7B">
        <w:trPr>
          <w:trHeight w:val="1020"/>
        </w:trPr>
        <w:tc>
          <w:tcPr>
            <w:tcW w:w="176" w:type="pct"/>
            <w:tcBorders>
              <w:top w:val="single" w:sz="4" w:space="0" w:color="auto"/>
              <w:bottom w:val="single" w:sz="4" w:space="0" w:color="auto"/>
            </w:tcBorders>
            <w:shd w:val="clear" w:color="auto" w:fill="auto"/>
            <w:hideMark/>
          </w:tcPr>
          <w:p w14:paraId="23FF4046"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33.</w:t>
            </w:r>
          </w:p>
        </w:tc>
        <w:tc>
          <w:tcPr>
            <w:tcW w:w="1584" w:type="pct"/>
            <w:tcBorders>
              <w:top w:val="single" w:sz="4" w:space="0" w:color="auto"/>
              <w:bottom w:val="single" w:sz="4" w:space="0" w:color="auto"/>
            </w:tcBorders>
            <w:shd w:val="clear" w:color="auto" w:fill="auto"/>
            <w:hideMark/>
          </w:tcPr>
          <w:p w14:paraId="1251744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еднократната помощ за отглеждане на дете от майка (осиновителка) студентка, учаща в редовна форма на обучение, по чл. 8в,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59E6A02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7F9A181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1 472,52</w:t>
            </w:r>
          </w:p>
        </w:tc>
        <w:tc>
          <w:tcPr>
            <w:tcW w:w="674" w:type="pct"/>
            <w:tcBorders>
              <w:top w:val="single" w:sz="4" w:space="0" w:color="auto"/>
              <w:bottom w:val="single" w:sz="4" w:space="0" w:color="auto"/>
            </w:tcBorders>
            <w:shd w:val="clear" w:color="auto" w:fill="auto"/>
            <w:vAlign w:val="center"/>
            <w:hideMark/>
          </w:tcPr>
          <w:p w14:paraId="559BC94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1 473</w:t>
            </w:r>
          </w:p>
        </w:tc>
        <w:tc>
          <w:tcPr>
            <w:tcW w:w="674" w:type="pct"/>
            <w:tcBorders>
              <w:top w:val="single" w:sz="4" w:space="0" w:color="auto"/>
              <w:bottom w:val="single" w:sz="4" w:space="0" w:color="auto"/>
            </w:tcBorders>
            <w:shd w:val="clear" w:color="auto" w:fill="auto"/>
            <w:vAlign w:val="center"/>
            <w:hideMark/>
          </w:tcPr>
          <w:p w14:paraId="5484AFC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1 473</w:t>
            </w:r>
          </w:p>
        </w:tc>
        <w:tc>
          <w:tcPr>
            <w:tcW w:w="674" w:type="pct"/>
            <w:tcBorders>
              <w:top w:val="single" w:sz="4" w:space="0" w:color="auto"/>
              <w:bottom w:val="single" w:sz="4" w:space="0" w:color="auto"/>
            </w:tcBorders>
            <w:shd w:val="clear" w:color="auto" w:fill="auto"/>
            <w:vAlign w:val="center"/>
            <w:hideMark/>
          </w:tcPr>
          <w:p w14:paraId="01587E7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1 473</w:t>
            </w:r>
          </w:p>
        </w:tc>
      </w:tr>
      <w:tr w:rsidR="00643B7B" w:rsidRPr="00643B7B" w14:paraId="49901DB5" w14:textId="77777777" w:rsidTr="00643B7B">
        <w:trPr>
          <w:trHeight w:val="765"/>
        </w:trPr>
        <w:tc>
          <w:tcPr>
            <w:tcW w:w="176" w:type="pct"/>
            <w:tcBorders>
              <w:top w:val="single" w:sz="4" w:space="0" w:color="auto"/>
              <w:bottom w:val="single" w:sz="4" w:space="0" w:color="auto"/>
            </w:tcBorders>
            <w:shd w:val="clear" w:color="auto" w:fill="auto"/>
            <w:hideMark/>
          </w:tcPr>
          <w:p w14:paraId="4D83BE2E"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34.</w:t>
            </w:r>
          </w:p>
        </w:tc>
        <w:tc>
          <w:tcPr>
            <w:tcW w:w="1584" w:type="pct"/>
            <w:tcBorders>
              <w:top w:val="single" w:sz="4" w:space="0" w:color="auto"/>
              <w:bottom w:val="single" w:sz="4" w:space="0" w:color="auto"/>
            </w:tcBorders>
            <w:shd w:val="clear" w:color="auto" w:fill="auto"/>
            <w:hideMark/>
          </w:tcPr>
          <w:p w14:paraId="5223CE11"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месечните помощи за отглеждане на дете до навършване на една година по чл. 8, ал. 1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42A5367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572780B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102,26</w:t>
            </w:r>
          </w:p>
        </w:tc>
        <w:tc>
          <w:tcPr>
            <w:tcW w:w="674" w:type="pct"/>
            <w:tcBorders>
              <w:top w:val="single" w:sz="4" w:space="0" w:color="auto"/>
              <w:bottom w:val="single" w:sz="4" w:space="0" w:color="auto"/>
            </w:tcBorders>
            <w:shd w:val="clear" w:color="auto" w:fill="auto"/>
            <w:vAlign w:val="center"/>
            <w:hideMark/>
          </w:tcPr>
          <w:p w14:paraId="2181041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103</w:t>
            </w:r>
          </w:p>
        </w:tc>
        <w:tc>
          <w:tcPr>
            <w:tcW w:w="674" w:type="pct"/>
            <w:tcBorders>
              <w:top w:val="single" w:sz="4" w:space="0" w:color="auto"/>
              <w:bottom w:val="single" w:sz="4" w:space="0" w:color="auto"/>
            </w:tcBorders>
            <w:shd w:val="clear" w:color="auto" w:fill="auto"/>
            <w:vAlign w:val="center"/>
            <w:hideMark/>
          </w:tcPr>
          <w:p w14:paraId="6D8758A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103</w:t>
            </w:r>
          </w:p>
        </w:tc>
        <w:tc>
          <w:tcPr>
            <w:tcW w:w="674" w:type="pct"/>
            <w:tcBorders>
              <w:top w:val="single" w:sz="4" w:space="0" w:color="auto"/>
              <w:bottom w:val="single" w:sz="4" w:space="0" w:color="auto"/>
            </w:tcBorders>
            <w:shd w:val="clear" w:color="auto" w:fill="auto"/>
            <w:vAlign w:val="center"/>
            <w:hideMark/>
          </w:tcPr>
          <w:p w14:paraId="7C61A8A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103</w:t>
            </w:r>
          </w:p>
        </w:tc>
      </w:tr>
      <w:tr w:rsidR="00643B7B" w:rsidRPr="00643B7B" w14:paraId="4C11C300" w14:textId="77777777" w:rsidTr="00643B7B">
        <w:trPr>
          <w:trHeight w:val="1020"/>
        </w:trPr>
        <w:tc>
          <w:tcPr>
            <w:tcW w:w="176" w:type="pct"/>
            <w:vMerge w:val="restart"/>
            <w:tcBorders>
              <w:top w:val="single" w:sz="4" w:space="0" w:color="auto"/>
            </w:tcBorders>
            <w:shd w:val="clear" w:color="auto" w:fill="auto"/>
            <w:hideMark/>
          </w:tcPr>
          <w:p w14:paraId="38D0792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35.</w:t>
            </w:r>
          </w:p>
        </w:tc>
        <w:tc>
          <w:tcPr>
            <w:tcW w:w="1584" w:type="pct"/>
            <w:tcBorders>
              <w:top w:val="single" w:sz="4" w:space="0" w:color="auto"/>
            </w:tcBorders>
            <w:shd w:val="clear" w:color="auto" w:fill="auto"/>
            <w:hideMark/>
          </w:tcPr>
          <w:p w14:paraId="30C4A33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месечните помощи за отглеждане на дете до завършване на средно образование, но не повече от 20-годишна възраст, по чл. 7, ал. 1 от Закона за семейни помощи за деца</w:t>
            </w:r>
          </w:p>
        </w:tc>
        <w:tc>
          <w:tcPr>
            <w:tcW w:w="544" w:type="pct"/>
            <w:vMerge w:val="restart"/>
            <w:tcBorders>
              <w:top w:val="single" w:sz="4" w:space="0" w:color="auto"/>
            </w:tcBorders>
            <w:shd w:val="clear" w:color="auto" w:fill="FBE4D5"/>
            <w:vAlign w:val="center"/>
            <w:hideMark/>
          </w:tcPr>
          <w:p w14:paraId="02B5300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7BFF0F04"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02F0144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4F47A48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0A7F2DE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3365D6D0" w14:textId="77777777" w:rsidTr="00643B7B">
        <w:trPr>
          <w:trHeight w:val="300"/>
        </w:trPr>
        <w:tc>
          <w:tcPr>
            <w:tcW w:w="176" w:type="pct"/>
            <w:vMerge/>
            <w:vAlign w:val="center"/>
            <w:hideMark/>
          </w:tcPr>
          <w:p w14:paraId="6072B209"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2B24F7B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443FBEEF"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5C8CAB0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1B8AA52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30EDBE8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2BB3FFB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47DFF8EE" w14:textId="77777777" w:rsidTr="00643B7B">
        <w:trPr>
          <w:trHeight w:val="300"/>
        </w:trPr>
        <w:tc>
          <w:tcPr>
            <w:tcW w:w="176" w:type="pct"/>
            <w:shd w:val="clear" w:color="auto" w:fill="auto"/>
            <w:hideMark/>
          </w:tcPr>
          <w:p w14:paraId="64EEC06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35.1.</w:t>
            </w:r>
          </w:p>
        </w:tc>
        <w:tc>
          <w:tcPr>
            <w:tcW w:w="1584" w:type="pct"/>
            <w:shd w:val="clear" w:color="auto" w:fill="auto"/>
            <w:hideMark/>
          </w:tcPr>
          <w:p w14:paraId="36581D44"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семейство с едно дете </w:t>
            </w:r>
          </w:p>
        </w:tc>
        <w:tc>
          <w:tcPr>
            <w:tcW w:w="544" w:type="pct"/>
            <w:vMerge w:val="restart"/>
            <w:shd w:val="clear" w:color="auto" w:fill="FBE4D5"/>
            <w:vAlign w:val="center"/>
            <w:hideMark/>
          </w:tcPr>
          <w:p w14:paraId="6D67781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shd w:val="clear" w:color="auto" w:fill="auto"/>
            <w:vAlign w:val="center"/>
            <w:hideMark/>
          </w:tcPr>
          <w:p w14:paraId="3577FC81"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25,56</w:t>
            </w:r>
          </w:p>
        </w:tc>
        <w:tc>
          <w:tcPr>
            <w:tcW w:w="674" w:type="pct"/>
            <w:shd w:val="clear" w:color="auto" w:fill="auto"/>
            <w:vAlign w:val="center"/>
            <w:hideMark/>
          </w:tcPr>
          <w:p w14:paraId="571EA00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26</w:t>
            </w:r>
          </w:p>
        </w:tc>
        <w:tc>
          <w:tcPr>
            <w:tcW w:w="674" w:type="pct"/>
            <w:shd w:val="clear" w:color="auto" w:fill="auto"/>
            <w:vAlign w:val="center"/>
            <w:hideMark/>
          </w:tcPr>
          <w:p w14:paraId="4CEE0B1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26</w:t>
            </w:r>
          </w:p>
        </w:tc>
        <w:tc>
          <w:tcPr>
            <w:tcW w:w="674" w:type="pct"/>
            <w:shd w:val="clear" w:color="auto" w:fill="auto"/>
            <w:vAlign w:val="center"/>
            <w:hideMark/>
          </w:tcPr>
          <w:p w14:paraId="632CC72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26</w:t>
            </w:r>
          </w:p>
        </w:tc>
      </w:tr>
      <w:tr w:rsidR="00643B7B" w:rsidRPr="00643B7B" w14:paraId="60C2DAAF" w14:textId="77777777" w:rsidTr="00643B7B">
        <w:trPr>
          <w:trHeight w:val="300"/>
        </w:trPr>
        <w:tc>
          <w:tcPr>
            <w:tcW w:w="176" w:type="pct"/>
            <w:shd w:val="clear" w:color="auto" w:fill="auto"/>
            <w:hideMark/>
          </w:tcPr>
          <w:p w14:paraId="765DA849"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35.2.</w:t>
            </w:r>
          </w:p>
        </w:tc>
        <w:tc>
          <w:tcPr>
            <w:tcW w:w="1584" w:type="pct"/>
            <w:shd w:val="clear" w:color="auto" w:fill="auto"/>
            <w:hideMark/>
          </w:tcPr>
          <w:p w14:paraId="020DF2F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семейство с две деца</w:t>
            </w:r>
          </w:p>
        </w:tc>
        <w:tc>
          <w:tcPr>
            <w:tcW w:w="544" w:type="pct"/>
            <w:vMerge/>
            <w:shd w:val="clear" w:color="auto" w:fill="FBE4D5"/>
            <w:vAlign w:val="center"/>
            <w:hideMark/>
          </w:tcPr>
          <w:p w14:paraId="6C2E4CFC"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74C514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56,24</w:t>
            </w:r>
          </w:p>
        </w:tc>
        <w:tc>
          <w:tcPr>
            <w:tcW w:w="674" w:type="pct"/>
            <w:shd w:val="clear" w:color="auto" w:fill="auto"/>
            <w:vAlign w:val="center"/>
            <w:hideMark/>
          </w:tcPr>
          <w:p w14:paraId="55D76A7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57</w:t>
            </w:r>
          </w:p>
        </w:tc>
        <w:tc>
          <w:tcPr>
            <w:tcW w:w="674" w:type="pct"/>
            <w:shd w:val="clear" w:color="auto" w:fill="auto"/>
            <w:vAlign w:val="center"/>
            <w:hideMark/>
          </w:tcPr>
          <w:p w14:paraId="441BFDE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57</w:t>
            </w:r>
          </w:p>
        </w:tc>
        <w:tc>
          <w:tcPr>
            <w:tcW w:w="674" w:type="pct"/>
            <w:shd w:val="clear" w:color="auto" w:fill="auto"/>
            <w:vAlign w:val="center"/>
            <w:hideMark/>
          </w:tcPr>
          <w:p w14:paraId="00E8098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57</w:t>
            </w:r>
          </w:p>
        </w:tc>
      </w:tr>
      <w:tr w:rsidR="00643B7B" w:rsidRPr="00643B7B" w14:paraId="08DFE1A9" w14:textId="77777777" w:rsidTr="00643B7B">
        <w:trPr>
          <w:trHeight w:val="300"/>
        </w:trPr>
        <w:tc>
          <w:tcPr>
            <w:tcW w:w="176" w:type="pct"/>
            <w:shd w:val="clear" w:color="auto" w:fill="auto"/>
            <w:hideMark/>
          </w:tcPr>
          <w:p w14:paraId="2E4C467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35.3.</w:t>
            </w:r>
          </w:p>
        </w:tc>
        <w:tc>
          <w:tcPr>
            <w:tcW w:w="1584" w:type="pct"/>
            <w:shd w:val="clear" w:color="auto" w:fill="auto"/>
            <w:hideMark/>
          </w:tcPr>
          <w:p w14:paraId="3F380ED5"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семейство с три деца </w:t>
            </w:r>
          </w:p>
        </w:tc>
        <w:tc>
          <w:tcPr>
            <w:tcW w:w="544" w:type="pct"/>
            <w:vMerge/>
            <w:shd w:val="clear" w:color="auto" w:fill="FBE4D5"/>
            <w:vAlign w:val="center"/>
            <w:hideMark/>
          </w:tcPr>
          <w:p w14:paraId="649DE5C8"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188512C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84,36</w:t>
            </w:r>
          </w:p>
        </w:tc>
        <w:tc>
          <w:tcPr>
            <w:tcW w:w="674" w:type="pct"/>
            <w:shd w:val="clear" w:color="auto" w:fill="auto"/>
            <w:vAlign w:val="center"/>
            <w:hideMark/>
          </w:tcPr>
          <w:p w14:paraId="442E566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85</w:t>
            </w:r>
          </w:p>
        </w:tc>
        <w:tc>
          <w:tcPr>
            <w:tcW w:w="674" w:type="pct"/>
            <w:shd w:val="clear" w:color="auto" w:fill="auto"/>
            <w:vAlign w:val="center"/>
            <w:hideMark/>
          </w:tcPr>
          <w:p w14:paraId="40B6704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85</w:t>
            </w:r>
          </w:p>
        </w:tc>
        <w:tc>
          <w:tcPr>
            <w:tcW w:w="674" w:type="pct"/>
            <w:shd w:val="clear" w:color="auto" w:fill="auto"/>
            <w:vAlign w:val="center"/>
            <w:hideMark/>
          </w:tcPr>
          <w:p w14:paraId="31FE6E7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85</w:t>
            </w:r>
          </w:p>
        </w:tc>
      </w:tr>
      <w:tr w:rsidR="00643B7B" w:rsidRPr="00643B7B" w14:paraId="6D76B401" w14:textId="77777777" w:rsidTr="00643B7B">
        <w:trPr>
          <w:trHeight w:val="525"/>
        </w:trPr>
        <w:tc>
          <w:tcPr>
            <w:tcW w:w="176" w:type="pct"/>
            <w:tcBorders>
              <w:bottom w:val="single" w:sz="4" w:space="0" w:color="auto"/>
            </w:tcBorders>
            <w:shd w:val="clear" w:color="auto" w:fill="auto"/>
            <w:hideMark/>
          </w:tcPr>
          <w:p w14:paraId="0FE0C67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35.4.</w:t>
            </w:r>
          </w:p>
        </w:tc>
        <w:tc>
          <w:tcPr>
            <w:tcW w:w="1584" w:type="pct"/>
            <w:tcBorders>
              <w:bottom w:val="single" w:sz="4" w:space="0" w:color="auto"/>
            </w:tcBorders>
            <w:shd w:val="clear" w:color="auto" w:fill="auto"/>
            <w:hideMark/>
          </w:tcPr>
          <w:p w14:paraId="3D2BAF28"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семейство с четири деца, като за всяко следващо дете в семейството помощта за семейството расте с 11 евро.</w:t>
            </w:r>
          </w:p>
        </w:tc>
        <w:tc>
          <w:tcPr>
            <w:tcW w:w="544" w:type="pct"/>
            <w:vMerge/>
            <w:tcBorders>
              <w:bottom w:val="single" w:sz="4" w:space="0" w:color="auto"/>
            </w:tcBorders>
            <w:shd w:val="clear" w:color="auto" w:fill="FBE4D5"/>
            <w:vAlign w:val="center"/>
            <w:hideMark/>
          </w:tcPr>
          <w:p w14:paraId="4FEB7423"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16D33E0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89,48</w:t>
            </w:r>
          </w:p>
        </w:tc>
        <w:tc>
          <w:tcPr>
            <w:tcW w:w="674" w:type="pct"/>
            <w:tcBorders>
              <w:bottom w:val="single" w:sz="4" w:space="0" w:color="auto"/>
            </w:tcBorders>
            <w:shd w:val="clear" w:color="auto" w:fill="auto"/>
            <w:vAlign w:val="center"/>
            <w:hideMark/>
          </w:tcPr>
          <w:p w14:paraId="410062A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90</w:t>
            </w:r>
          </w:p>
        </w:tc>
        <w:tc>
          <w:tcPr>
            <w:tcW w:w="674" w:type="pct"/>
            <w:tcBorders>
              <w:bottom w:val="single" w:sz="4" w:space="0" w:color="auto"/>
            </w:tcBorders>
            <w:shd w:val="clear" w:color="auto" w:fill="auto"/>
            <w:vAlign w:val="center"/>
            <w:hideMark/>
          </w:tcPr>
          <w:p w14:paraId="46D6342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90</w:t>
            </w:r>
          </w:p>
        </w:tc>
        <w:tc>
          <w:tcPr>
            <w:tcW w:w="674" w:type="pct"/>
            <w:tcBorders>
              <w:bottom w:val="single" w:sz="4" w:space="0" w:color="auto"/>
            </w:tcBorders>
            <w:shd w:val="clear" w:color="auto" w:fill="auto"/>
            <w:vAlign w:val="center"/>
            <w:hideMark/>
          </w:tcPr>
          <w:p w14:paraId="229C9E6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90</w:t>
            </w:r>
          </w:p>
        </w:tc>
      </w:tr>
      <w:tr w:rsidR="00643B7B" w:rsidRPr="00643B7B" w14:paraId="6A434097" w14:textId="77777777" w:rsidTr="004E4646">
        <w:trPr>
          <w:trHeight w:val="510"/>
        </w:trPr>
        <w:tc>
          <w:tcPr>
            <w:tcW w:w="176" w:type="pct"/>
            <w:tcBorders>
              <w:top w:val="single" w:sz="4" w:space="0" w:color="auto"/>
              <w:bottom w:val="single" w:sz="4" w:space="0" w:color="auto"/>
            </w:tcBorders>
            <w:shd w:val="clear" w:color="auto" w:fill="auto"/>
            <w:hideMark/>
          </w:tcPr>
          <w:p w14:paraId="7DE4869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36.</w:t>
            </w:r>
          </w:p>
        </w:tc>
        <w:tc>
          <w:tcPr>
            <w:tcW w:w="1584" w:type="pct"/>
            <w:tcBorders>
              <w:top w:val="single" w:sz="4" w:space="0" w:color="auto"/>
              <w:bottom w:val="single" w:sz="4" w:space="0" w:color="auto"/>
            </w:tcBorders>
            <w:shd w:val="clear" w:color="auto" w:fill="auto"/>
            <w:hideMark/>
          </w:tcPr>
          <w:p w14:paraId="430C555A"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месечната помощ за отглеждане на близнаци по чл. 7, ал. 6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4B333955"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072B5157"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38,35</w:t>
            </w:r>
          </w:p>
        </w:tc>
        <w:tc>
          <w:tcPr>
            <w:tcW w:w="674" w:type="pct"/>
            <w:tcBorders>
              <w:top w:val="single" w:sz="4" w:space="0" w:color="auto"/>
              <w:bottom w:val="single" w:sz="4" w:space="0" w:color="auto"/>
            </w:tcBorders>
            <w:shd w:val="clear" w:color="auto" w:fill="auto"/>
            <w:vAlign w:val="center"/>
            <w:hideMark/>
          </w:tcPr>
          <w:p w14:paraId="23DC39D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39</w:t>
            </w:r>
          </w:p>
        </w:tc>
        <w:tc>
          <w:tcPr>
            <w:tcW w:w="674" w:type="pct"/>
            <w:tcBorders>
              <w:top w:val="single" w:sz="4" w:space="0" w:color="auto"/>
              <w:bottom w:val="single" w:sz="4" w:space="0" w:color="auto"/>
            </w:tcBorders>
            <w:shd w:val="clear" w:color="auto" w:fill="auto"/>
            <w:vAlign w:val="center"/>
            <w:hideMark/>
          </w:tcPr>
          <w:p w14:paraId="52A2DE2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39</w:t>
            </w:r>
          </w:p>
        </w:tc>
        <w:tc>
          <w:tcPr>
            <w:tcW w:w="674" w:type="pct"/>
            <w:tcBorders>
              <w:top w:val="single" w:sz="4" w:space="0" w:color="auto"/>
              <w:bottom w:val="single" w:sz="4" w:space="0" w:color="auto"/>
            </w:tcBorders>
            <w:shd w:val="clear" w:color="auto" w:fill="auto"/>
            <w:vAlign w:val="center"/>
            <w:hideMark/>
          </w:tcPr>
          <w:p w14:paraId="4D30F56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39</w:t>
            </w:r>
          </w:p>
        </w:tc>
      </w:tr>
      <w:tr w:rsidR="00643B7B" w:rsidRPr="00643B7B" w14:paraId="11265C04" w14:textId="77777777" w:rsidTr="004E4646">
        <w:trPr>
          <w:trHeight w:val="1530"/>
        </w:trPr>
        <w:tc>
          <w:tcPr>
            <w:tcW w:w="176" w:type="pct"/>
            <w:vMerge w:val="restart"/>
            <w:tcBorders>
              <w:top w:val="single" w:sz="4" w:space="0" w:color="auto"/>
              <w:bottom w:val="single" w:sz="4" w:space="0" w:color="auto"/>
            </w:tcBorders>
            <w:shd w:val="clear" w:color="auto" w:fill="auto"/>
            <w:hideMark/>
          </w:tcPr>
          <w:p w14:paraId="3111C855"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37.</w:t>
            </w:r>
          </w:p>
        </w:tc>
        <w:tc>
          <w:tcPr>
            <w:tcW w:w="1584" w:type="pct"/>
            <w:tcBorders>
              <w:top w:val="single" w:sz="4" w:space="0" w:color="auto"/>
              <w:bottom w:val="single" w:sz="4" w:space="0" w:color="auto"/>
            </w:tcBorders>
            <w:shd w:val="clear" w:color="auto" w:fill="auto"/>
            <w:hideMark/>
          </w:tcPr>
          <w:p w14:paraId="123F38CD"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месечната помощ за отглеждане на дете с трайно увреждане по чл. 8д от Закона за семейни помощи за деца за родители (осиновители), семейства на роднини или близки и доброволни приемни семейства, при които са настанени деца с трайни увреждания</w:t>
            </w:r>
          </w:p>
        </w:tc>
        <w:tc>
          <w:tcPr>
            <w:tcW w:w="544" w:type="pct"/>
            <w:vMerge w:val="restart"/>
            <w:tcBorders>
              <w:top w:val="single" w:sz="4" w:space="0" w:color="auto"/>
              <w:bottom w:val="single" w:sz="4" w:space="0" w:color="auto"/>
            </w:tcBorders>
            <w:shd w:val="clear" w:color="auto" w:fill="FBE4D5"/>
            <w:vAlign w:val="center"/>
            <w:hideMark/>
          </w:tcPr>
          <w:p w14:paraId="1E72D4B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bottom w:val="single" w:sz="4" w:space="0" w:color="auto"/>
            </w:tcBorders>
            <w:shd w:val="clear" w:color="auto" w:fill="auto"/>
            <w:vAlign w:val="center"/>
            <w:hideMark/>
          </w:tcPr>
          <w:p w14:paraId="3657F5F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bottom w:val="single" w:sz="4" w:space="0" w:color="auto"/>
            </w:tcBorders>
            <w:shd w:val="clear" w:color="auto" w:fill="auto"/>
            <w:vAlign w:val="center"/>
            <w:hideMark/>
          </w:tcPr>
          <w:p w14:paraId="6784752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bottom w:val="single" w:sz="4" w:space="0" w:color="auto"/>
            </w:tcBorders>
            <w:shd w:val="clear" w:color="auto" w:fill="auto"/>
            <w:vAlign w:val="center"/>
            <w:hideMark/>
          </w:tcPr>
          <w:p w14:paraId="5F9014C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bottom w:val="single" w:sz="4" w:space="0" w:color="auto"/>
            </w:tcBorders>
            <w:shd w:val="clear" w:color="auto" w:fill="auto"/>
            <w:vAlign w:val="center"/>
            <w:hideMark/>
          </w:tcPr>
          <w:p w14:paraId="35797FB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1250AC2A" w14:textId="77777777" w:rsidTr="004E4646">
        <w:trPr>
          <w:trHeight w:val="300"/>
        </w:trPr>
        <w:tc>
          <w:tcPr>
            <w:tcW w:w="176" w:type="pct"/>
            <w:vMerge/>
            <w:tcBorders>
              <w:top w:val="single" w:sz="4" w:space="0" w:color="auto"/>
            </w:tcBorders>
            <w:vAlign w:val="center"/>
            <w:hideMark/>
          </w:tcPr>
          <w:p w14:paraId="07A4BD94" w14:textId="77777777" w:rsidR="00643B7B" w:rsidRPr="00643B7B" w:rsidRDefault="00643B7B" w:rsidP="00643B7B">
            <w:pPr>
              <w:spacing w:after="0"/>
              <w:jc w:val="left"/>
              <w:rPr>
                <w:rFonts w:eastAsia="Times New Roman" w:cs="Times New Roman"/>
                <w:b/>
                <w:bCs/>
                <w:sz w:val="20"/>
                <w:szCs w:val="20"/>
              </w:rPr>
            </w:pPr>
          </w:p>
        </w:tc>
        <w:tc>
          <w:tcPr>
            <w:tcW w:w="1584" w:type="pct"/>
            <w:tcBorders>
              <w:top w:val="single" w:sz="4" w:space="0" w:color="auto"/>
            </w:tcBorders>
            <w:shd w:val="clear" w:color="auto" w:fill="auto"/>
            <w:hideMark/>
          </w:tcPr>
          <w:p w14:paraId="56098C1D"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tcBorders>
              <w:top w:val="single" w:sz="4" w:space="0" w:color="auto"/>
            </w:tcBorders>
            <w:shd w:val="clear" w:color="auto" w:fill="FBE4D5"/>
            <w:vAlign w:val="center"/>
            <w:hideMark/>
          </w:tcPr>
          <w:p w14:paraId="47511AF6" w14:textId="77777777" w:rsidR="00643B7B" w:rsidRPr="00643B7B" w:rsidRDefault="00643B7B" w:rsidP="00643B7B">
            <w:pPr>
              <w:spacing w:after="0"/>
              <w:jc w:val="left"/>
              <w:rPr>
                <w:rFonts w:eastAsia="Times New Roman" w:cs="Times New Roman"/>
                <w:sz w:val="20"/>
                <w:szCs w:val="20"/>
              </w:rPr>
            </w:pPr>
          </w:p>
        </w:tc>
        <w:tc>
          <w:tcPr>
            <w:tcW w:w="674" w:type="pct"/>
            <w:tcBorders>
              <w:top w:val="single" w:sz="4" w:space="0" w:color="auto"/>
            </w:tcBorders>
            <w:shd w:val="clear" w:color="auto" w:fill="auto"/>
            <w:vAlign w:val="center"/>
            <w:hideMark/>
          </w:tcPr>
          <w:p w14:paraId="0D8434D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23EB33E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1132258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4BD7011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47604B70" w14:textId="77777777" w:rsidTr="00643B7B">
        <w:trPr>
          <w:trHeight w:val="765"/>
        </w:trPr>
        <w:tc>
          <w:tcPr>
            <w:tcW w:w="176" w:type="pct"/>
            <w:shd w:val="clear" w:color="auto" w:fill="auto"/>
            <w:hideMark/>
          </w:tcPr>
          <w:p w14:paraId="3BE98992"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37.1.</w:t>
            </w:r>
          </w:p>
        </w:tc>
        <w:tc>
          <w:tcPr>
            <w:tcW w:w="1584" w:type="pct"/>
            <w:shd w:val="clear" w:color="auto" w:fill="auto"/>
            <w:hideMark/>
          </w:tcPr>
          <w:p w14:paraId="094F765E"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дете с определени 90 и над 90 на сто вид и степен на увреждане или степен на трайно намалена работоспособност </w:t>
            </w:r>
          </w:p>
        </w:tc>
        <w:tc>
          <w:tcPr>
            <w:tcW w:w="544" w:type="pct"/>
            <w:vMerge w:val="restart"/>
            <w:shd w:val="clear" w:color="auto" w:fill="FBE4D5"/>
            <w:vAlign w:val="center"/>
            <w:hideMark/>
          </w:tcPr>
          <w:p w14:paraId="487C9CD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shd w:val="clear" w:color="auto" w:fill="auto"/>
            <w:vAlign w:val="center"/>
            <w:hideMark/>
          </w:tcPr>
          <w:p w14:paraId="6F99896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603,32</w:t>
            </w:r>
          </w:p>
        </w:tc>
        <w:tc>
          <w:tcPr>
            <w:tcW w:w="674" w:type="pct"/>
            <w:shd w:val="clear" w:color="auto" w:fill="auto"/>
            <w:vAlign w:val="center"/>
            <w:hideMark/>
          </w:tcPr>
          <w:p w14:paraId="7039B93E"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w:t>
            </w:r>
          </w:p>
        </w:tc>
        <w:tc>
          <w:tcPr>
            <w:tcW w:w="674" w:type="pct"/>
            <w:shd w:val="clear" w:color="auto" w:fill="auto"/>
            <w:vAlign w:val="center"/>
            <w:hideMark/>
          </w:tcPr>
          <w:p w14:paraId="7184649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w:t>
            </w:r>
          </w:p>
        </w:tc>
        <w:tc>
          <w:tcPr>
            <w:tcW w:w="674" w:type="pct"/>
            <w:shd w:val="clear" w:color="auto" w:fill="auto"/>
            <w:vAlign w:val="center"/>
            <w:hideMark/>
          </w:tcPr>
          <w:p w14:paraId="7F14432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604</w:t>
            </w:r>
          </w:p>
        </w:tc>
      </w:tr>
      <w:tr w:rsidR="00643B7B" w:rsidRPr="00643B7B" w14:paraId="1CF69678" w14:textId="77777777" w:rsidTr="00643B7B">
        <w:trPr>
          <w:trHeight w:val="765"/>
        </w:trPr>
        <w:tc>
          <w:tcPr>
            <w:tcW w:w="176" w:type="pct"/>
            <w:shd w:val="clear" w:color="auto" w:fill="auto"/>
            <w:hideMark/>
          </w:tcPr>
          <w:p w14:paraId="543AEAAB"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37.2.</w:t>
            </w:r>
          </w:p>
        </w:tc>
        <w:tc>
          <w:tcPr>
            <w:tcW w:w="1584" w:type="pct"/>
            <w:shd w:val="clear" w:color="auto" w:fill="auto"/>
            <w:hideMark/>
          </w:tcPr>
          <w:p w14:paraId="734979E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дете с определени от 70 до 90 на сто вид и степен на увреждане или степен на трайно намалена работоспособност</w:t>
            </w:r>
          </w:p>
        </w:tc>
        <w:tc>
          <w:tcPr>
            <w:tcW w:w="544" w:type="pct"/>
            <w:vMerge/>
            <w:shd w:val="clear" w:color="auto" w:fill="FBE4D5"/>
            <w:vAlign w:val="center"/>
            <w:hideMark/>
          </w:tcPr>
          <w:p w14:paraId="64D7C187"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4428540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291,00</w:t>
            </w:r>
          </w:p>
        </w:tc>
        <w:tc>
          <w:tcPr>
            <w:tcW w:w="674" w:type="pct"/>
            <w:shd w:val="clear" w:color="auto" w:fill="auto"/>
            <w:vAlign w:val="center"/>
            <w:hideMark/>
          </w:tcPr>
          <w:p w14:paraId="5A2D41C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292</w:t>
            </w:r>
          </w:p>
        </w:tc>
        <w:tc>
          <w:tcPr>
            <w:tcW w:w="674" w:type="pct"/>
            <w:shd w:val="clear" w:color="auto" w:fill="auto"/>
            <w:vAlign w:val="center"/>
            <w:hideMark/>
          </w:tcPr>
          <w:p w14:paraId="15422F7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292</w:t>
            </w:r>
          </w:p>
        </w:tc>
        <w:tc>
          <w:tcPr>
            <w:tcW w:w="674" w:type="pct"/>
            <w:shd w:val="clear" w:color="auto" w:fill="auto"/>
            <w:vAlign w:val="center"/>
            <w:hideMark/>
          </w:tcPr>
          <w:p w14:paraId="2723A17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292</w:t>
            </w:r>
          </w:p>
        </w:tc>
      </w:tr>
      <w:tr w:rsidR="00643B7B" w:rsidRPr="00643B7B" w14:paraId="7D9854A8" w14:textId="77777777" w:rsidTr="00643B7B">
        <w:trPr>
          <w:trHeight w:val="765"/>
        </w:trPr>
        <w:tc>
          <w:tcPr>
            <w:tcW w:w="176" w:type="pct"/>
            <w:tcBorders>
              <w:bottom w:val="single" w:sz="4" w:space="0" w:color="auto"/>
            </w:tcBorders>
            <w:shd w:val="clear" w:color="auto" w:fill="auto"/>
            <w:hideMark/>
          </w:tcPr>
          <w:p w14:paraId="3AF74892"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37.3.</w:t>
            </w:r>
          </w:p>
        </w:tc>
        <w:tc>
          <w:tcPr>
            <w:tcW w:w="1584" w:type="pct"/>
            <w:tcBorders>
              <w:bottom w:val="single" w:sz="4" w:space="0" w:color="auto"/>
            </w:tcBorders>
            <w:shd w:val="clear" w:color="auto" w:fill="auto"/>
            <w:hideMark/>
          </w:tcPr>
          <w:p w14:paraId="3BA7CDC0"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дете с определени от 50 до 70 на сто вид и степен на увреждане или степен на трайно намалена работоспособност</w:t>
            </w:r>
          </w:p>
        </w:tc>
        <w:tc>
          <w:tcPr>
            <w:tcW w:w="544" w:type="pct"/>
            <w:vMerge/>
            <w:tcBorders>
              <w:bottom w:val="single" w:sz="4" w:space="0" w:color="auto"/>
            </w:tcBorders>
            <w:shd w:val="clear" w:color="auto" w:fill="FBE4D5"/>
            <w:vAlign w:val="center"/>
            <w:hideMark/>
          </w:tcPr>
          <w:p w14:paraId="2F8D07E2"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5074275E"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230,08</w:t>
            </w:r>
          </w:p>
        </w:tc>
        <w:tc>
          <w:tcPr>
            <w:tcW w:w="674" w:type="pct"/>
            <w:tcBorders>
              <w:bottom w:val="single" w:sz="4" w:space="0" w:color="auto"/>
            </w:tcBorders>
            <w:shd w:val="clear" w:color="auto" w:fill="auto"/>
            <w:vAlign w:val="center"/>
            <w:hideMark/>
          </w:tcPr>
          <w:p w14:paraId="131718D1"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781FD15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77AE87B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r>
      <w:tr w:rsidR="00643B7B" w:rsidRPr="00643B7B" w14:paraId="5F1BC435" w14:textId="77777777" w:rsidTr="00643B7B">
        <w:trPr>
          <w:trHeight w:val="1020"/>
        </w:trPr>
        <w:tc>
          <w:tcPr>
            <w:tcW w:w="176" w:type="pct"/>
            <w:vMerge w:val="restart"/>
            <w:tcBorders>
              <w:top w:val="single" w:sz="4" w:space="0" w:color="auto"/>
            </w:tcBorders>
            <w:shd w:val="clear" w:color="auto" w:fill="auto"/>
            <w:hideMark/>
          </w:tcPr>
          <w:p w14:paraId="57F4BC9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38.</w:t>
            </w:r>
          </w:p>
        </w:tc>
        <w:tc>
          <w:tcPr>
            <w:tcW w:w="1584" w:type="pct"/>
            <w:tcBorders>
              <w:top w:val="single" w:sz="4" w:space="0" w:color="auto"/>
            </w:tcBorders>
            <w:shd w:val="clear" w:color="auto" w:fill="auto"/>
            <w:hideMark/>
          </w:tcPr>
          <w:p w14:paraId="62F508E2"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месечната помощ за отглеждане на дете с трайно увреждане по чл. 8д от Закона за семейни помощи за деца за професионални приемни семейства, при които са настанени деца с трайни увреждания</w:t>
            </w:r>
          </w:p>
        </w:tc>
        <w:tc>
          <w:tcPr>
            <w:tcW w:w="544" w:type="pct"/>
            <w:vMerge w:val="restart"/>
            <w:tcBorders>
              <w:top w:val="single" w:sz="4" w:space="0" w:color="auto"/>
            </w:tcBorders>
            <w:shd w:val="clear" w:color="auto" w:fill="FBE4D5"/>
            <w:vAlign w:val="center"/>
            <w:hideMark/>
          </w:tcPr>
          <w:p w14:paraId="6D62C03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00759A7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tcBorders>
              <w:top w:val="single" w:sz="4" w:space="0" w:color="auto"/>
            </w:tcBorders>
            <w:shd w:val="clear" w:color="auto" w:fill="auto"/>
            <w:vAlign w:val="center"/>
            <w:hideMark/>
          </w:tcPr>
          <w:p w14:paraId="3AB4550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332F8A9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tcBorders>
              <w:top w:val="single" w:sz="4" w:space="0" w:color="auto"/>
            </w:tcBorders>
            <w:shd w:val="clear" w:color="auto" w:fill="auto"/>
            <w:vAlign w:val="center"/>
            <w:hideMark/>
          </w:tcPr>
          <w:p w14:paraId="41E3E6D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062301C6" w14:textId="77777777" w:rsidTr="00643B7B">
        <w:trPr>
          <w:trHeight w:val="300"/>
        </w:trPr>
        <w:tc>
          <w:tcPr>
            <w:tcW w:w="176" w:type="pct"/>
            <w:vMerge/>
            <w:vAlign w:val="center"/>
            <w:hideMark/>
          </w:tcPr>
          <w:p w14:paraId="474319FE" w14:textId="77777777" w:rsidR="00643B7B" w:rsidRPr="00643B7B" w:rsidRDefault="00643B7B" w:rsidP="00643B7B">
            <w:pPr>
              <w:spacing w:after="0"/>
              <w:jc w:val="left"/>
              <w:rPr>
                <w:rFonts w:eastAsia="Times New Roman" w:cs="Times New Roman"/>
                <w:b/>
                <w:bCs/>
                <w:sz w:val="20"/>
                <w:szCs w:val="20"/>
              </w:rPr>
            </w:pPr>
          </w:p>
        </w:tc>
        <w:tc>
          <w:tcPr>
            <w:tcW w:w="1584" w:type="pct"/>
            <w:shd w:val="clear" w:color="auto" w:fill="auto"/>
            <w:hideMark/>
          </w:tcPr>
          <w:p w14:paraId="7448FEF6"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в т.ч.:</w:t>
            </w:r>
          </w:p>
        </w:tc>
        <w:tc>
          <w:tcPr>
            <w:tcW w:w="544" w:type="pct"/>
            <w:vMerge/>
            <w:shd w:val="clear" w:color="auto" w:fill="FBE4D5"/>
            <w:vAlign w:val="center"/>
            <w:hideMark/>
          </w:tcPr>
          <w:p w14:paraId="2F6A0D78"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12936FD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 </w:t>
            </w:r>
          </w:p>
        </w:tc>
        <w:tc>
          <w:tcPr>
            <w:tcW w:w="674" w:type="pct"/>
            <w:shd w:val="clear" w:color="auto" w:fill="auto"/>
            <w:vAlign w:val="center"/>
            <w:hideMark/>
          </w:tcPr>
          <w:p w14:paraId="3D373EC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0B6F91A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c>
          <w:tcPr>
            <w:tcW w:w="674" w:type="pct"/>
            <w:shd w:val="clear" w:color="auto" w:fill="auto"/>
            <w:vAlign w:val="center"/>
            <w:hideMark/>
          </w:tcPr>
          <w:p w14:paraId="5232E90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 </w:t>
            </w:r>
          </w:p>
        </w:tc>
      </w:tr>
      <w:tr w:rsidR="00643B7B" w:rsidRPr="00643B7B" w14:paraId="1FCB65A1" w14:textId="77777777" w:rsidTr="00643B7B">
        <w:trPr>
          <w:trHeight w:val="765"/>
        </w:trPr>
        <w:tc>
          <w:tcPr>
            <w:tcW w:w="176" w:type="pct"/>
            <w:shd w:val="clear" w:color="auto" w:fill="auto"/>
            <w:hideMark/>
          </w:tcPr>
          <w:p w14:paraId="0807B3F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38.1.</w:t>
            </w:r>
          </w:p>
        </w:tc>
        <w:tc>
          <w:tcPr>
            <w:tcW w:w="1584" w:type="pct"/>
            <w:shd w:val="clear" w:color="auto" w:fill="auto"/>
            <w:hideMark/>
          </w:tcPr>
          <w:p w14:paraId="2A8EE212"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дете с определени 90 и над 90 на сто вид и степен на увреждане или степен на трайно намалена работоспособност </w:t>
            </w:r>
          </w:p>
        </w:tc>
        <w:tc>
          <w:tcPr>
            <w:tcW w:w="544" w:type="pct"/>
            <w:vMerge w:val="restart"/>
            <w:shd w:val="clear" w:color="auto" w:fill="FBE4D5"/>
            <w:vAlign w:val="center"/>
            <w:hideMark/>
          </w:tcPr>
          <w:p w14:paraId="468384E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shd w:val="clear" w:color="auto" w:fill="auto"/>
            <w:vAlign w:val="center"/>
            <w:hideMark/>
          </w:tcPr>
          <w:p w14:paraId="3E8DC2B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317,00</w:t>
            </w:r>
          </w:p>
        </w:tc>
        <w:tc>
          <w:tcPr>
            <w:tcW w:w="674" w:type="pct"/>
            <w:shd w:val="clear" w:color="auto" w:fill="auto"/>
            <w:vAlign w:val="center"/>
            <w:hideMark/>
          </w:tcPr>
          <w:p w14:paraId="5F73E6E8"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318</w:t>
            </w:r>
          </w:p>
        </w:tc>
        <w:tc>
          <w:tcPr>
            <w:tcW w:w="674" w:type="pct"/>
            <w:shd w:val="clear" w:color="auto" w:fill="auto"/>
            <w:vAlign w:val="center"/>
            <w:hideMark/>
          </w:tcPr>
          <w:p w14:paraId="7C6E38D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318</w:t>
            </w:r>
          </w:p>
        </w:tc>
        <w:tc>
          <w:tcPr>
            <w:tcW w:w="674" w:type="pct"/>
            <w:shd w:val="clear" w:color="auto" w:fill="auto"/>
            <w:vAlign w:val="center"/>
            <w:hideMark/>
          </w:tcPr>
          <w:p w14:paraId="2B881CF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318</w:t>
            </w:r>
          </w:p>
        </w:tc>
      </w:tr>
      <w:tr w:rsidR="00643B7B" w:rsidRPr="00643B7B" w14:paraId="5D38CB77" w14:textId="77777777" w:rsidTr="00643B7B">
        <w:trPr>
          <w:trHeight w:val="765"/>
        </w:trPr>
        <w:tc>
          <w:tcPr>
            <w:tcW w:w="176" w:type="pct"/>
            <w:shd w:val="clear" w:color="auto" w:fill="auto"/>
            <w:hideMark/>
          </w:tcPr>
          <w:p w14:paraId="590692AD"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38.2.</w:t>
            </w:r>
          </w:p>
        </w:tc>
        <w:tc>
          <w:tcPr>
            <w:tcW w:w="1584" w:type="pct"/>
            <w:shd w:val="clear" w:color="auto" w:fill="auto"/>
            <w:hideMark/>
          </w:tcPr>
          <w:p w14:paraId="6C35D1BC"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дете с определени от 70 до 90 на сто вид и степен на увреждане или степен на трайно намалена работоспособност</w:t>
            </w:r>
          </w:p>
        </w:tc>
        <w:tc>
          <w:tcPr>
            <w:tcW w:w="544" w:type="pct"/>
            <w:vMerge/>
            <w:shd w:val="clear" w:color="auto" w:fill="FBE4D5"/>
            <w:vAlign w:val="center"/>
            <w:hideMark/>
          </w:tcPr>
          <w:p w14:paraId="67BBFFCC" w14:textId="77777777" w:rsidR="00643B7B" w:rsidRPr="00643B7B" w:rsidRDefault="00643B7B" w:rsidP="00643B7B">
            <w:pPr>
              <w:spacing w:after="0"/>
              <w:jc w:val="left"/>
              <w:rPr>
                <w:rFonts w:eastAsia="Times New Roman" w:cs="Times New Roman"/>
                <w:sz w:val="20"/>
                <w:szCs w:val="20"/>
              </w:rPr>
            </w:pPr>
          </w:p>
        </w:tc>
        <w:tc>
          <w:tcPr>
            <w:tcW w:w="674" w:type="pct"/>
            <w:shd w:val="clear" w:color="auto" w:fill="auto"/>
            <w:vAlign w:val="center"/>
            <w:hideMark/>
          </w:tcPr>
          <w:p w14:paraId="3251218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270,98</w:t>
            </w:r>
          </w:p>
        </w:tc>
        <w:tc>
          <w:tcPr>
            <w:tcW w:w="674" w:type="pct"/>
            <w:shd w:val="clear" w:color="auto" w:fill="auto"/>
            <w:vAlign w:val="center"/>
            <w:hideMark/>
          </w:tcPr>
          <w:p w14:paraId="6D8031E0"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271</w:t>
            </w:r>
          </w:p>
        </w:tc>
        <w:tc>
          <w:tcPr>
            <w:tcW w:w="674" w:type="pct"/>
            <w:shd w:val="clear" w:color="auto" w:fill="auto"/>
            <w:vAlign w:val="center"/>
            <w:hideMark/>
          </w:tcPr>
          <w:p w14:paraId="6A06458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271</w:t>
            </w:r>
          </w:p>
        </w:tc>
        <w:tc>
          <w:tcPr>
            <w:tcW w:w="674" w:type="pct"/>
            <w:shd w:val="clear" w:color="auto" w:fill="auto"/>
            <w:vAlign w:val="center"/>
            <w:hideMark/>
          </w:tcPr>
          <w:p w14:paraId="0DA710B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271</w:t>
            </w:r>
          </w:p>
        </w:tc>
      </w:tr>
      <w:tr w:rsidR="00643B7B" w:rsidRPr="00643B7B" w14:paraId="460AA7DB" w14:textId="77777777" w:rsidTr="00643B7B">
        <w:trPr>
          <w:trHeight w:val="765"/>
        </w:trPr>
        <w:tc>
          <w:tcPr>
            <w:tcW w:w="176" w:type="pct"/>
            <w:tcBorders>
              <w:bottom w:val="single" w:sz="4" w:space="0" w:color="auto"/>
            </w:tcBorders>
            <w:shd w:val="clear" w:color="auto" w:fill="auto"/>
            <w:hideMark/>
          </w:tcPr>
          <w:p w14:paraId="66E27AA8"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38.3.</w:t>
            </w:r>
          </w:p>
        </w:tc>
        <w:tc>
          <w:tcPr>
            <w:tcW w:w="1584" w:type="pct"/>
            <w:tcBorders>
              <w:bottom w:val="single" w:sz="4" w:space="0" w:color="auto"/>
            </w:tcBorders>
            <w:shd w:val="clear" w:color="auto" w:fill="auto"/>
            <w:hideMark/>
          </w:tcPr>
          <w:p w14:paraId="1988647D"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 xml:space="preserve"> - за дете с определени от 50 до 70 на сто вид и степен на увреждане или степен на трайно намалена работоспособност</w:t>
            </w:r>
          </w:p>
        </w:tc>
        <w:tc>
          <w:tcPr>
            <w:tcW w:w="544" w:type="pct"/>
            <w:vMerge/>
            <w:tcBorders>
              <w:bottom w:val="single" w:sz="4" w:space="0" w:color="auto"/>
            </w:tcBorders>
            <w:shd w:val="clear" w:color="auto" w:fill="FBE4D5"/>
            <w:vAlign w:val="center"/>
            <w:hideMark/>
          </w:tcPr>
          <w:p w14:paraId="2083C0A4" w14:textId="77777777" w:rsidR="00643B7B" w:rsidRPr="00643B7B" w:rsidRDefault="00643B7B" w:rsidP="00643B7B">
            <w:pPr>
              <w:spacing w:after="0"/>
              <w:jc w:val="left"/>
              <w:rPr>
                <w:rFonts w:eastAsia="Times New Roman" w:cs="Times New Roman"/>
                <w:sz w:val="20"/>
                <w:szCs w:val="20"/>
              </w:rPr>
            </w:pPr>
          </w:p>
        </w:tc>
        <w:tc>
          <w:tcPr>
            <w:tcW w:w="674" w:type="pct"/>
            <w:tcBorders>
              <w:bottom w:val="single" w:sz="4" w:space="0" w:color="auto"/>
            </w:tcBorders>
            <w:shd w:val="clear" w:color="auto" w:fill="auto"/>
            <w:vAlign w:val="center"/>
            <w:hideMark/>
          </w:tcPr>
          <w:p w14:paraId="7982140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230,08</w:t>
            </w:r>
          </w:p>
        </w:tc>
        <w:tc>
          <w:tcPr>
            <w:tcW w:w="674" w:type="pct"/>
            <w:tcBorders>
              <w:bottom w:val="single" w:sz="4" w:space="0" w:color="auto"/>
            </w:tcBorders>
            <w:shd w:val="clear" w:color="auto" w:fill="auto"/>
            <w:vAlign w:val="center"/>
            <w:hideMark/>
          </w:tcPr>
          <w:p w14:paraId="0E46BF63"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4B28FC06"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c>
          <w:tcPr>
            <w:tcW w:w="674" w:type="pct"/>
            <w:tcBorders>
              <w:bottom w:val="single" w:sz="4" w:space="0" w:color="auto"/>
            </w:tcBorders>
            <w:shd w:val="clear" w:color="auto" w:fill="auto"/>
            <w:vAlign w:val="center"/>
            <w:hideMark/>
          </w:tcPr>
          <w:p w14:paraId="7E5961D2"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231</w:t>
            </w:r>
          </w:p>
        </w:tc>
      </w:tr>
      <w:tr w:rsidR="00643B7B" w:rsidRPr="00643B7B" w14:paraId="57BB8662" w14:textId="77777777" w:rsidTr="00643B7B">
        <w:trPr>
          <w:trHeight w:val="510"/>
        </w:trPr>
        <w:tc>
          <w:tcPr>
            <w:tcW w:w="176" w:type="pct"/>
            <w:tcBorders>
              <w:top w:val="single" w:sz="4" w:space="0" w:color="auto"/>
              <w:bottom w:val="single" w:sz="4" w:space="0" w:color="auto"/>
            </w:tcBorders>
            <w:shd w:val="clear" w:color="auto" w:fill="auto"/>
            <w:hideMark/>
          </w:tcPr>
          <w:p w14:paraId="21D64C0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39.</w:t>
            </w:r>
          </w:p>
        </w:tc>
        <w:tc>
          <w:tcPr>
            <w:tcW w:w="1584" w:type="pct"/>
            <w:tcBorders>
              <w:top w:val="single" w:sz="4" w:space="0" w:color="auto"/>
              <w:bottom w:val="single" w:sz="4" w:space="0" w:color="auto"/>
            </w:tcBorders>
            <w:shd w:val="clear" w:color="auto" w:fill="auto"/>
            <w:hideMark/>
          </w:tcPr>
          <w:p w14:paraId="3530AA93"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месечната помощ за дете без право на наследствена пенсия от починал родител</w:t>
            </w:r>
          </w:p>
        </w:tc>
        <w:tc>
          <w:tcPr>
            <w:tcW w:w="544" w:type="pct"/>
            <w:tcBorders>
              <w:top w:val="single" w:sz="4" w:space="0" w:color="auto"/>
              <w:bottom w:val="single" w:sz="4" w:space="0" w:color="auto"/>
            </w:tcBorders>
            <w:shd w:val="clear" w:color="auto" w:fill="FBE4D5"/>
            <w:vAlign w:val="center"/>
            <w:hideMark/>
          </w:tcPr>
          <w:p w14:paraId="270C9C0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29CB5F9D"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76,69</w:t>
            </w:r>
          </w:p>
        </w:tc>
        <w:tc>
          <w:tcPr>
            <w:tcW w:w="674" w:type="pct"/>
            <w:tcBorders>
              <w:top w:val="single" w:sz="4" w:space="0" w:color="auto"/>
              <w:bottom w:val="single" w:sz="4" w:space="0" w:color="auto"/>
            </w:tcBorders>
            <w:shd w:val="clear" w:color="auto" w:fill="auto"/>
            <w:vAlign w:val="center"/>
            <w:hideMark/>
          </w:tcPr>
          <w:p w14:paraId="7A1FC90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77</w:t>
            </w:r>
          </w:p>
        </w:tc>
        <w:tc>
          <w:tcPr>
            <w:tcW w:w="674" w:type="pct"/>
            <w:tcBorders>
              <w:top w:val="single" w:sz="4" w:space="0" w:color="auto"/>
              <w:bottom w:val="single" w:sz="4" w:space="0" w:color="auto"/>
            </w:tcBorders>
            <w:shd w:val="clear" w:color="auto" w:fill="auto"/>
            <w:vAlign w:val="center"/>
            <w:hideMark/>
          </w:tcPr>
          <w:p w14:paraId="3070C85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77</w:t>
            </w:r>
          </w:p>
        </w:tc>
        <w:tc>
          <w:tcPr>
            <w:tcW w:w="674" w:type="pct"/>
            <w:tcBorders>
              <w:top w:val="single" w:sz="4" w:space="0" w:color="auto"/>
              <w:bottom w:val="single" w:sz="4" w:space="0" w:color="auto"/>
            </w:tcBorders>
            <w:shd w:val="clear" w:color="auto" w:fill="auto"/>
            <w:vAlign w:val="center"/>
            <w:hideMark/>
          </w:tcPr>
          <w:p w14:paraId="71C2C2E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77</w:t>
            </w:r>
          </w:p>
        </w:tc>
      </w:tr>
      <w:tr w:rsidR="00643B7B" w:rsidRPr="00643B7B" w14:paraId="6FCE44BB" w14:textId="77777777" w:rsidTr="00643B7B">
        <w:trPr>
          <w:trHeight w:val="510"/>
        </w:trPr>
        <w:tc>
          <w:tcPr>
            <w:tcW w:w="176" w:type="pct"/>
            <w:tcBorders>
              <w:top w:val="single" w:sz="4" w:space="0" w:color="auto"/>
              <w:bottom w:val="single" w:sz="4" w:space="0" w:color="auto"/>
            </w:tcBorders>
            <w:shd w:val="clear" w:color="auto" w:fill="auto"/>
            <w:hideMark/>
          </w:tcPr>
          <w:p w14:paraId="501F4A9F"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40.</w:t>
            </w:r>
          </w:p>
        </w:tc>
        <w:tc>
          <w:tcPr>
            <w:tcW w:w="1584" w:type="pct"/>
            <w:tcBorders>
              <w:top w:val="single" w:sz="4" w:space="0" w:color="auto"/>
              <w:bottom w:val="single" w:sz="4" w:space="0" w:color="auto"/>
            </w:tcBorders>
            <w:shd w:val="clear" w:color="auto" w:fill="auto"/>
            <w:hideMark/>
          </w:tcPr>
          <w:p w14:paraId="5B7E9A9D"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еднократната помощ за ученици по чл. 10а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22FE659C"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148CCCB8"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153,39</w:t>
            </w:r>
          </w:p>
        </w:tc>
        <w:tc>
          <w:tcPr>
            <w:tcW w:w="674" w:type="pct"/>
            <w:tcBorders>
              <w:top w:val="single" w:sz="4" w:space="0" w:color="auto"/>
              <w:bottom w:val="single" w:sz="4" w:space="0" w:color="auto"/>
            </w:tcBorders>
            <w:shd w:val="clear" w:color="auto" w:fill="auto"/>
            <w:vAlign w:val="center"/>
            <w:hideMark/>
          </w:tcPr>
          <w:p w14:paraId="7896676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3D0A2CA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4A6069F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154</w:t>
            </w:r>
          </w:p>
        </w:tc>
      </w:tr>
      <w:tr w:rsidR="00643B7B" w:rsidRPr="00643B7B" w14:paraId="2708F1E2" w14:textId="77777777" w:rsidTr="004E4646">
        <w:trPr>
          <w:trHeight w:val="510"/>
        </w:trPr>
        <w:tc>
          <w:tcPr>
            <w:tcW w:w="176" w:type="pct"/>
            <w:tcBorders>
              <w:top w:val="single" w:sz="4" w:space="0" w:color="auto"/>
              <w:bottom w:val="single" w:sz="4" w:space="0" w:color="auto"/>
            </w:tcBorders>
            <w:shd w:val="clear" w:color="auto" w:fill="auto"/>
            <w:hideMark/>
          </w:tcPr>
          <w:p w14:paraId="572F9A84"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 xml:space="preserve">41. </w:t>
            </w:r>
          </w:p>
        </w:tc>
        <w:tc>
          <w:tcPr>
            <w:tcW w:w="1584" w:type="pct"/>
            <w:tcBorders>
              <w:top w:val="single" w:sz="4" w:space="0" w:color="auto"/>
              <w:bottom w:val="single" w:sz="4" w:space="0" w:color="auto"/>
            </w:tcBorders>
            <w:shd w:val="clear" w:color="auto" w:fill="auto"/>
            <w:hideMark/>
          </w:tcPr>
          <w:p w14:paraId="5847990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Размер на еднократната помощ за ученици в осми клас, по чл. 10б от Закона за семейни помощи за деца</w:t>
            </w:r>
          </w:p>
        </w:tc>
        <w:tc>
          <w:tcPr>
            <w:tcW w:w="544" w:type="pct"/>
            <w:tcBorders>
              <w:top w:val="single" w:sz="4" w:space="0" w:color="auto"/>
              <w:bottom w:val="single" w:sz="4" w:space="0" w:color="auto"/>
            </w:tcBorders>
            <w:shd w:val="clear" w:color="auto" w:fill="FBE4D5"/>
            <w:vAlign w:val="center"/>
            <w:hideMark/>
          </w:tcPr>
          <w:p w14:paraId="4DC6DB5D"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60DA6A9B"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153,39</w:t>
            </w:r>
          </w:p>
        </w:tc>
        <w:tc>
          <w:tcPr>
            <w:tcW w:w="674" w:type="pct"/>
            <w:tcBorders>
              <w:top w:val="single" w:sz="4" w:space="0" w:color="auto"/>
              <w:bottom w:val="single" w:sz="4" w:space="0" w:color="auto"/>
            </w:tcBorders>
            <w:shd w:val="clear" w:color="auto" w:fill="auto"/>
            <w:vAlign w:val="center"/>
            <w:hideMark/>
          </w:tcPr>
          <w:p w14:paraId="3638A4C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36158842"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154</w:t>
            </w:r>
          </w:p>
        </w:tc>
        <w:tc>
          <w:tcPr>
            <w:tcW w:w="674" w:type="pct"/>
            <w:tcBorders>
              <w:top w:val="single" w:sz="4" w:space="0" w:color="auto"/>
              <w:bottom w:val="single" w:sz="4" w:space="0" w:color="auto"/>
            </w:tcBorders>
            <w:shd w:val="clear" w:color="auto" w:fill="auto"/>
            <w:vAlign w:val="center"/>
            <w:hideMark/>
          </w:tcPr>
          <w:p w14:paraId="7319276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154</w:t>
            </w:r>
          </w:p>
        </w:tc>
      </w:tr>
      <w:tr w:rsidR="00643B7B" w:rsidRPr="00643B7B" w14:paraId="184D2E01" w14:textId="77777777" w:rsidTr="004E4646">
        <w:trPr>
          <w:trHeight w:val="765"/>
        </w:trPr>
        <w:tc>
          <w:tcPr>
            <w:tcW w:w="176" w:type="pct"/>
            <w:tcBorders>
              <w:top w:val="single" w:sz="4" w:space="0" w:color="auto"/>
              <w:bottom w:val="single" w:sz="4" w:space="0" w:color="auto"/>
            </w:tcBorders>
            <w:shd w:val="clear" w:color="auto" w:fill="auto"/>
            <w:hideMark/>
          </w:tcPr>
          <w:p w14:paraId="1D343AC1"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t>42.</w:t>
            </w:r>
          </w:p>
        </w:tc>
        <w:tc>
          <w:tcPr>
            <w:tcW w:w="1584" w:type="pct"/>
            <w:tcBorders>
              <w:top w:val="single" w:sz="4" w:space="0" w:color="auto"/>
              <w:bottom w:val="single" w:sz="4" w:space="0" w:color="auto"/>
            </w:tcBorders>
            <w:shd w:val="clear" w:color="auto" w:fill="auto"/>
            <w:hideMark/>
          </w:tcPr>
          <w:p w14:paraId="77BEB4CF"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Минимален дневен размер на обезщетението за безработица по чл. 54б, ал. 2 от Кодекса за социално осигуряване</w:t>
            </w:r>
          </w:p>
        </w:tc>
        <w:tc>
          <w:tcPr>
            <w:tcW w:w="544" w:type="pct"/>
            <w:tcBorders>
              <w:top w:val="single" w:sz="4" w:space="0" w:color="auto"/>
              <w:bottom w:val="single" w:sz="4" w:space="0" w:color="auto"/>
            </w:tcBorders>
            <w:shd w:val="clear" w:color="auto" w:fill="FBE4D5"/>
            <w:vAlign w:val="center"/>
            <w:hideMark/>
          </w:tcPr>
          <w:p w14:paraId="6A2B59F7"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1C2740CF"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9,20</w:t>
            </w:r>
          </w:p>
        </w:tc>
        <w:tc>
          <w:tcPr>
            <w:tcW w:w="674" w:type="pct"/>
            <w:tcBorders>
              <w:top w:val="single" w:sz="4" w:space="0" w:color="auto"/>
              <w:bottom w:val="single" w:sz="4" w:space="0" w:color="auto"/>
            </w:tcBorders>
            <w:shd w:val="clear" w:color="auto" w:fill="auto"/>
            <w:vAlign w:val="center"/>
            <w:hideMark/>
          </w:tcPr>
          <w:p w14:paraId="28EE0424"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9,21</w:t>
            </w:r>
          </w:p>
        </w:tc>
        <w:tc>
          <w:tcPr>
            <w:tcW w:w="674" w:type="pct"/>
            <w:tcBorders>
              <w:top w:val="single" w:sz="4" w:space="0" w:color="auto"/>
              <w:bottom w:val="single" w:sz="4" w:space="0" w:color="auto"/>
            </w:tcBorders>
            <w:shd w:val="clear" w:color="auto" w:fill="auto"/>
            <w:vAlign w:val="center"/>
            <w:hideMark/>
          </w:tcPr>
          <w:p w14:paraId="4E21A2BB"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9,21</w:t>
            </w:r>
          </w:p>
        </w:tc>
        <w:tc>
          <w:tcPr>
            <w:tcW w:w="674" w:type="pct"/>
            <w:tcBorders>
              <w:top w:val="single" w:sz="4" w:space="0" w:color="auto"/>
              <w:bottom w:val="single" w:sz="4" w:space="0" w:color="auto"/>
            </w:tcBorders>
            <w:shd w:val="clear" w:color="auto" w:fill="auto"/>
            <w:vAlign w:val="center"/>
            <w:hideMark/>
          </w:tcPr>
          <w:p w14:paraId="7B6CCEF9"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9,21</w:t>
            </w:r>
          </w:p>
        </w:tc>
      </w:tr>
      <w:tr w:rsidR="00643B7B" w:rsidRPr="00643B7B" w14:paraId="558F51D2" w14:textId="77777777" w:rsidTr="004E4646">
        <w:trPr>
          <w:trHeight w:val="765"/>
        </w:trPr>
        <w:tc>
          <w:tcPr>
            <w:tcW w:w="176" w:type="pct"/>
            <w:tcBorders>
              <w:top w:val="single" w:sz="4" w:space="0" w:color="auto"/>
              <w:bottom w:val="single" w:sz="4" w:space="0" w:color="auto"/>
            </w:tcBorders>
            <w:shd w:val="clear" w:color="auto" w:fill="auto"/>
            <w:hideMark/>
          </w:tcPr>
          <w:p w14:paraId="63EAA677" w14:textId="77777777" w:rsidR="00643B7B" w:rsidRPr="00643B7B" w:rsidRDefault="00643B7B" w:rsidP="00643B7B">
            <w:pPr>
              <w:spacing w:after="0"/>
              <w:jc w:val="left"/>
              <w:rPr>
                <w:rFonts w:eastAsia="Times New Roman" w:cs="Times New Roman"/>
                <w:b/>
                <w:bCs/>
                <w:sz w:val="20"/>
                <w:szCs w:val="20"/>
              </w:rPr>
            </w:pPr>
            <w:r w:rsidRPr="00643B7B">
              <w:rPr>
                <w:rFonts w:eastAsia="Times New Roman" w:cs="Times New Roman"/>
                <w:b/>
                <w:bCs/>
                <w:sz w:val="20"/>
                <w:szCs w:val="20"/>
              </w:rPr>
              <w:lastRenderedPageBreak/>
              <w:t>43.</w:t>
            </w:r>
          </w:p>
        </w:tc>
        <w:tc>
          <w:tcPr>
            <w:tcW w:w="1584" w:type="pct"/>
            <w:tcBorders>
              <w:top w:val="single" w:sz="4" w:space="0" w:color="auto"/>
              <w:bottom w:val="single" w:sz="4" w:space="0" w:color="auto"/>
            </w:tcBorders>
            <w:shd w:val="clear" w:color="auto" w:fill="auto"/>
            <w:hideMark/>
          </w:tcPr>
          <w:p w14:paraId="3C0115B9" w14:textId="77777777" w:rsidR="00643B7B" w:rsidRPr="00643B7B" w:rsidRDefault="00643B7B" w:rsidP="00643B7B">
            <w:pPr>
              <w:spacing w:after="0"/>
              <w:jc w:val="left"/>
              <w:rPr>
                <w:rFonts w:eastAsia="Times New Roman" w:cs="Times New Roman"/>
                <w:sz w:val="20"/>
                <w:szCs w:val="20"/>
              </w:rPr>
            </w:pPr>
            <w:r w:rsidRPr="00643B7B">
              <w:rPr>
                <w:rFonts w:eastAsia="Times New Roman" w:cs="Times New Roman"/>
                <w:sz w:val="20"/>
                <w:szCs w:val="20"/>
              </w:rPr>
              <w:t>Максимален дневен размер на обезщетението за безработица по чл. 54б, ал. 2 от Кодекса за социално осигуряване</w:t>
            </w:r>
          </w:p>
        </w:tc>
        <w:tc>
          <w:tcPr>
            <w:tcW w:w="544" w:type="pct"/>
            <w:tcBorders>
              <w:top w:val="single" w:sz="4" w:space="0" w:color="auto"/>
              <w:bottom w:val="single" w:sz="4" w:space="0" w:color="auto"/>
            </w:tcBorders>
            <w:shd w:val="clear" w:color="auto" w:fill="FBE4D5"/>
            <w:vAlign w:val="center"/>
            <w:hideMark/>
          </w:tcPr>
          <w:p w14:paraId="10AB22AA" w14:textId="77777777" w:rsidR="00643B7B" w:rsidRPr="00643B7B" w:rsidRDefault="00643B7B" w:rsidP="00643B7B">
            <w:pPr>
              <w:spacing w:after="0"/>
              <w:jc w:val="center"/>
              <w:rPr>
                <w:rFonts w:eastAsia="Times New Roman" w:cs="Times New Roman"/>
                <w:sz w:val="20"/>
                <w:szCs w:val="20"/>
              </w:rPr>
            </w:pPr>
            <w:r w:rsidRPr="00643B7B">
              <w:rPr>
                <w:rFonts w:eastAsia="Times New Roman" w:cs="Times New Roman"/>
                <w:sz w:val="20"/>
                <w:szCs w:val="20"/>
              </w:rPr>
              <w:t>евро</w:t>
            </w:r>
          </w:p>
        </w:tc>
        <w:tc>
          <w:tcPr>
            <w:tcW w:w="674" w:type="pct"/>
            <w:tcBorders>
              <w:top w:val="single" w:sz="4" w:space="0" w:color="auto"/>
              <w:bottom w:val="single" w:sz="4" w:space="0" w:color="auto"/>
            </w:tcBorders>
            <w:shd w:val="clear" w:color="auto" w:fill="auto"/>
            <w:vAlign w:val="center"/>
            <w:hideMark/>
          </w:tcPr>
          <w:p w14:paraId="105DA00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54,78</w:t>
            </w:r>
          </w:p>
        </w:tc>
        <w:tc>
          <w:tcPr>
            <w:tcW w:w="674" w:type="pct"/>
            <w:tcBorders>
              <w:top w:val="single" w:sz="4" w:space="0" w:color="auto"/>
              <w:bottom w:val="single" w:sz="4" w:space="0" w:color="auto"/>
            </w:tcBorders>
            <w:shd w:val="clear" w:color="auto" w:fill="auto"/>
            <w:vAlign w:val="center"/>
            <w:hideMark/>
          </w:tcPr>
          <w:p w14:paraId="72D14FA9"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54,78</w:t>
            </w:r>
          </w:p>
        </w:tc>
        <w:tc>
          <w:tcPr>
            <w:tcW w:w="674" w:type="pct"/>
            <w:tcBorders>
              <w:top w:val="single" w:sz="4" w:space="0" w:color="auto"/>
              <w:bottom w:val="single" w:sz="4" w:space="0" w:color="auto"/>
            </w:tcBorders>
            <w:shd w:val="clear" w:color="auto" w:fill="auto"/>
            <w:vAlign w:val="center"/>
            <w:hideMark/>
          </w:tcPr>
          <w:p w14:paraId="62E9F0CA"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54,78</w:t>
            </w:r>
          </w:p>
        </w:tc>
        <w:tc>
          <w:tcPr>
            <w:tcW w:w="674" w:type="pct"/>
            <w:tcBorders>
              <w:top w:val="single" w:sz="4" w:space="0" w:color="auto"/>
              <w:bottom w:val="single" w:sz="4" w:space="0" w:color="auto"/>
            </w:tcBorders>
            <w:shd w:val="clear" w:color="auto" w:fill="auto"/>
            <w:vAlign w:val="center"/>
            <w:hideMark/>
          </w:tcPr>
          <w:p w14:paraId="43C772E3" w14:textId="77777777" w:rsidR="00643B7B" w:rsidRPr="00643B7B" w:rsidRDefault="00643B7B" w:rsidP="00643B7B">
            <w:pPr>
              <w:spacing w:after="0"/>
              <w:jc w:val="center"/>
              <w:rPr>
                <w:rFonts w:eastAsia="Times New Roman" w:cs="Times New Roman"/>
                <w:i/>
                <w:iCs/>
                <w:sz w:val="20"/>
                <w:szCs w:val="20"/>
              </w:rPr>
            </w:pPr>
            <w:r w:rsidRPr="00643B7B">
              <w:rPr>
                <w:rFonts w:eastAsia="Times New Roman" w:cs="Times New Roman"/>
                <w:i/>
                <w:iCs/>
                <w:sz w:val="20"/>
                <w:szCs w:val="20"/>
              </w:rPr>
              <w:t>54,78</w:t>
            </w:r>
          </w:p>
        </w:tc>
      </w:tr>
    </w:tbl>
    <w:p w14:paraId="7642B995" w14:textId="77777777" w:rsidR="005F2AAC" w:rsidRPr="00AA3F66" w:rsidRDefault="005F2AAC" w:rsidP="00DE2D7B">
      <w:pPr>
        <w:tabs>
          <w:tab w:val="left" w:pos="557"/>
          <w:tab w:val="left" w:pos="5852"/>
          <w:tab w:val="left" w:pos="7359"/>
          <w:tab w:val="left" w:pos="9805"/>
          <w:tab w:val="left" w:pos="12251"/>
        </w:tabs>
        <w:spacing w:after="0"/>
        <w:ind w:right="536"/>
        <w:rPr>
          <w:rFonts w:eastAsia="Times New Roman" w:cs="Times New Roman"/>
          <w:b/>
          <w:sz w:val="20"/>
          <w:szCs w:val="20"/>
        </w:rPr>
        <w:sectPr w:rsidR="005F2AAC" w:rsidRPr="00AA3F66" w:rsidSect="002D7CED">
          <w:footerReference w:type="first" r:id="rId41"/>
          <w:pgSz w:w="16838" w:h="11906" w:orient="landscape" w:code="9"/>
          <w:pgMar w:top="1134" w:right="1134" w:bottom="284" w:left="1134" w:header="709" w:footer="709" w:gutter="0"/>
          <w:cols w:space="708"/>
          <w:titlePg/>
          <w:docGrid w:linePitch="360"/>
        </w:sectPr>
      </w:pPr>
    </w:p>
    <w:p w14:paraId="78D6703A" w14:textId="77777777" w:rsidR="00DE6798" w:rsidRDefault="0063780D" w:rsidP="00BB20F3">
      <w:pPr>
        <w:pStyle w:val="Heading2"/>
      </w:pPr>
      <w:bookmarkStart w:id="572" w:name="_Toc216029377"/>
      <w:bookmarkEnd w:id="559"/>
      <w:bookmarkEnd w:id="560"/>
      <w:bookmarkEnd w:id="561"/>
      <w:bookmarkEnd w:id="562"/>
      <w:bookmarkEnd w:id="563"/>
      <w:bookmarkEnd w:id="564"/>
      <w:bookmarkEnd w:id="565"/>
      <w:bookmarkEnd w:id="566"/>
      <w:bookmarkEnd w:id="567"/>
      <w:bookmarkEnd w:id="568"/>
      <w:bookmarkEnd w:id="569"/>
      <w:bookmarkEnd w:id="570"/>
      <w:bookmarkEnd w:id="571"/>
      <w:r w:rsidRPr="00BB20F3">
        <w:lastRenderedPageBreak/>
        <w:t>Приложение № 3:</w:t>
      </w:r>
      <w:r w:rsidR="004D3C3F" w:rsidRPr="00BB20F3">
        <w:br/>
      </w:r>
      <w:r w:rsidR="00F60E52" w:rsidRPr="00BB20F3">
        <w:t>К</w:t>
      </w:r>
      <w:r w:rsidRPr="00BB20F3">
        <w:t>онсолидирана фискална програма</w:t>
      </w:r>
      <w:r w:rsidRPr="00BB20F3" w:rsidDel="00FE5F37">
        <w:t xml:space="preserve"> </w:t>
      </w:r>
      <w:r w:rsidR="0098294A" w:rsidRPr="00BB20F3">
        <w:t>за периода 202</w:t>
      </w:r>
      <w:r w:rsidR="003B3137" w:rsidRPr="00BB20F3">
        <w:t>3</w:t>
      </w:r>
      <w:r w:rsidRPr="00BB20F3">
        <w:t>-202</w:t>
      </w:r>
      <w:r w:rsidR="00C07C25" w:rsidRPr="00BB20F3">
        <w:t>8</w:t>
      </w:r>
      <w:r w:rsidRPr="00BB20F3">
        <w:t xml:space="preserve"> г.</w:t>
      </w:r>
      <w:bookmarkEnd w:id="572"/>
    </w:p>
    <w:p w14:paraId="559C5EE0" w14:textId="77777777" w:rsidR="00780AC6" w:rsidRDefault="00780AC6" w:rsidP="00780AC6">
      <w:r w:rsidRPr="00780AC6">
        <w:rPr>
          <w:noProof/>
        </w:rPr>
        <w:drawing>
          <wp:inline distT="0" distB="0" distL="0" distR="0" wp14:anchorId="0EC987ED" wp14:editId="64704C9D">
            <wp:extent cx="9521825" cy="501148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1825" cy="5011487"/>
                    </a:xfrm>
                    <a:prstGeom prst="rect">
                      <a:avLst/>
                    </a:prstGeom>
                    <a:noFill/>
                    <a:ln>
                      <a:noFill/>
                    </a:ln>
                  </pic:spPr>
                </pic:pic>
              </a:graphicData>
            </a:graphic>
          </wp:inline>
        </w:drawing>
      </w:r>
    </w:p>
    <w:p w14:paraId="6AF09050" w14:textId="77777777" w:rsidR="00780AC6" w:rsidRDefault="00A43637" w:rsidP="00780AC6">
      <w:r w:rsidRPr="00A43637">
        <w:rPr>
          <w:noProof/>
        </w:rPr>
        <w:lastRenderedPageBreak/>
        <w:drawing>
          <wp:inline distT="0" distB="0" distL="0" distR="0" wp14:anchorId="433801BF" wp14:editId="56A7C6A4">
            <wp:extent cx="9521825" cy="5459883"/>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1825" cy="5459883"/>
                    </a:xfrm>
                    <a:prstGeom prst="rect">
                      <a:avLst/>
                    </a:prstGeom>
                    <a:noFill/>
                    <a:ln>
                      <a:noFill/>
                    </a:ln>
                  </pic:spPr>
                </pic:pic>
              </a:graphicData>
            </a:graphic>
          </wp:inline>
        </w:drawing>
      </w:r>
    </w:p>
    <w:p w14:paraId="29DD3E35" w14:textId="77777777" w:rsidR="00960F5C" w:rsidRPr="00780AC6" w:rsidRDefault="00960F5C" w:rsidP="00780AC6"/>
    <w:p w14:paraId="27A83585" w14:textId="77777777" w:rsidR="002B594E" w:rsidRDefault="002B594E" w:rsidP="002B594E">
      <w:pPr>
        <w:rPr>
          <w:noProof/>
        </w:rPr>
      </w:pPr>
    </w:p>
    <w:p w14:paraId="7B1A06FB" w14:textId="77777777" w:rsidR="00780AC6" w:rsidRDefault="00780AC6" w:rsidP="002B594E"/>
    <w:p w14:paraId="308AB8F4" w14:textId="77777777" w:rsidR="0071544C" w:rsidRPr="0071544C" w:rsidRDefault="00780AC6" w:rsidP="00DE6798">
      <w:r w:rsidRPr="00780AC6">
        <w:rPr>
          <w:noProof/>
        </w:rPr>
        <w:drawing>
          <wp:inline distT="0" distB="0" distL="0" distR="0" wp14:anchorId="7D7C5BA3" wp14:editId="26D48928">
            <wp:extent cx="9521825" cy="5038857"/>
            <wp:effectExtent l="0" t="0" r="317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1825" cy="5038857"/>
                    </a:xfrm>
                    <a:prstGeom prst="rect">
                      <a:avLst/>
                    </a:prstGeom>
                    <a:noFill/>
                    <a:ln>
                      <a:noFill/>
                    </a:ln>
                  </pic:spPr>
                </pic:pic>
              </a:graphicData>
            </a:graphic>
          </wp:inline>
        </w:drawing>
      </w:r>
    </w:p>
    <w:p w14:paraId="54E64686" w14:textId="77777777" w:rsidR="00C352DB" w:rsidRDefault="00C352DB" w:rsidP="00BB20F3"/>
    <w:p w14:paraId="212C7360" w14:textId="77777777" w:rsidR="00202877" w:rsidRPr="00202877" w:rsidRDefault="00202877" w:rsidP="00BB20F3"/>
    <w:p w14:paraId="4152E48B" w14:textId="77777777" w:rsidR="00E93FB1" w:rsidRDefault="00A43637" w:rsidP="00E93FB1">
      <w:r w:rsidRPr="00A43637">
        <w:rPr>
          <w:noProof/>
        </w:rPr>
        <w:lastRenderedPageBreak/>
        <w:drawing>
          <wp:inline distT="0" distB="0" distL="0" distR="0" wp14:anchorId="429E90A2" wp14:editId="581F6D2B">
            <wp:extent cx="9521825" cy="541542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1825" cy="5415426"/>
                    </a:xfrm>
                    <a:prstGeom prst="rect">
                      <a:avLst/>
                    </a:prstGeom>
                    <a:noFill/>
                    <a:ln>
                      <a:noFill/>
                    </a:ln>
                  </pic:spPr>
                </pic:pic>
              </a:graphicData>
            </a:graphic>
          </wp:inline>
        </w:drawing>
      </w:r>
    </w:p>
    <w:p w14:paraId="24168AF4" w14:textId="77777777" w:rsidR="00960F5C" w:rsidRPr="00E93FB1" w:rsidRDefault="00960F5C" w:rsidP="00E93FB1"/>
    <w:p w14:paraId="0FDD800B" w14:textId="77777777" w:rsidR="00C0435A" w:rsidRDefault="00C0435A" w:rsidP="00BB20F3"/>
    <w:p w14:paraId="3F85F1D3" w14:textId="77777777" w:rsidR="002B149E" w:rsidRPr="00DE6798" w:rsidRDefault="002B149E" w:rsidP="00DE6798">
      <w:pPr>
        <w:pStyle w:val="Heading2"/>
      </w:pPr>
      <w:bookmarkStart w:id="573" w:name="_Toc464224826"/>
      <w:bookmarkStart w:id="574" w:name="_Toc464225476"/>
      <w:bookmarkStart w:id="575" w:name="_Toc464459023"/>
      <w:bookmarkStart w:id="576" w:name="_Toc464459771"/>
      <w:bookmarkStart w:id="577" w:name="_Toc464460724"/>
      <w:bookmarkStart w:id="578" w:name="_Toc464463123"/>
      <w:bookmarkStart w:id="579" w:name="_Toc464464952"/>
      <w:bookmarkStart w:id="580" w:name="_Toc464465459"/>
      <w:bookmarkStart w:id="581" w:name="_Toc464465647"/>
      <w:bookmarkStart w:id="582" w:name="_Toc464466471"/>
      <w:bookmarkStart w:id="583" w:name="_Toc464466714"/>
      <w:bookmarkStart w:id="584" w:name="_Toc464645431"/>
      <w:bookmarkStart w:id="585" w:name="_Toc465205589"/>
      <w:bookmarkStart w:id="586" w:name="_Toc216029378"/>
      <w:r w:rsidRPr="00DE6798">
        <w:lastRenderedPageBreak/>
        <w:t xml:space="preserve">Приложение № 4: </w:t>
      </w:r>
      <w:r w:rsidR="002463FB" w:rsidRPr="00DE6798">
        <w:br/>
      </w:r>
      <w:r w:rsidRPr="00DE6798">
        <w:t xml:space="preserve">Тавани на разходите по </w:t>
      </w:r>
      <w:r w:rsidR="00FE5F37" w:rsidRPr="00DE6798">
        <w:t>бюджетни организации</w:t>
      </w:r>
      <w:r w:rsidR="00FE5F37" w:rsidRPr="00DE6798" w:rsidDel="00FE5F37">
        <w:t xml:space="preserve"> </w:t>
      </w:r>
      <w:r w:rsidR="00382492" w:rsidRPr="00DE6798">
        <w:t>за</w:t>
      </w:r>
      <w:r w:rsidR="004A6349" w:rsidRPr="00DE6798">
        <w:t xml:space="preserve"> п</w:t>
      </w:r>
      <w:r w:rsidR="003B3137" w:rsidRPr="00DE6798">
        <w:t>ериода 2026</w:t>
      </w:r>
      <w:r w:rsidR="00C40D40" w:rsidRPr="00DE6798">
        <w:t>-202</w:t>
      </w:r>
      <w:r w:rsidR="004A6349" w:rsidRPr="00DE6798">
        <w:t>8</w:t>
      </w:r>
      <w:r w:rsidRPr="00DE6798">
        <w:t xml:space="preserve"> г</w:t>
      </w:r>
      <w:r w:rsidR="00FE5F37" w:rsidRPr="00DE6798">
        <w: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109AFE9A" w14:textId="77777777" w:rsidR="00516A01" w:rsidRDefault="00516A01" w:rsidP="00516A01">
      <w:pPr>
        <w:spacing w:after="120"/>
        <w:jc w:val="right"/>
        <w:rPr>
          <w:rFonts w:eastAsia="Times New Roman" w:cs="Times New Roman"/>
          <w:b/>
          <w:bCs/>
          <w:sz w:val="20"/>
          <w:szCs w:val="20"/>
        </w:rPr>
      </w:pPr>
      <w:r w:rsidRPr="00844EF7">
        <w:rPr>
          <w:rFonts w:eastAsia="Times New Roman" w:cs="Times New Roman"/>
          <w:b/>
          <w:bCs/>
          <w:sz w:val="20"/>
          <w:szCs w:val="20"/>
        </w:rPr>
        <w:t>(в хил. евро)</w:t>
      </w:r>
    </w:p>
    <w:tbl>
      <w:tblPr>
        <w:tblW w:w="14900" w:type="dxa"/>
        <w:tblCellMar>
          <w:left w:w="70" w:type="dxa"/>
          <w:right w:w="70" w:type="dxa"/>
        </w:tblCellMar>
        <w:tblLook w:val="04A0" w:firstRow="1" w:lastRow="0" w:firstColumn="1" w:lastColumn="0" w:noHBand="0" w:noVBand="1"/>
      </w:tblPr>
      <w:tblGrid>
        <w:gridCol w:w="500"/>
        <w:gridCol w:w="9340"/>
        <w:gridCol w:w="1660"/>
        <w:gridCol w:w="1700"/>
        <w:gridCol w:w="1700"/>
      </w:tblGrid>
      <w:tr w:rsidR="007C7178" w:rsidRPr="007C7178" w14:paraId="466DE37D" w14:textId="77777777" w:rsidTr="007C7178">
        <w:trPr>
          <w:trHeight w:val="330"/>
          <w:tblHeader/>
        </w:trPr>
        <w:tc>
          <w:tcPr>
            <w:tcW w:w="500" w:type="dxa"/>
            <w:tcBorders>
              <w:top w:val="single" w:sz="4" w:space="0" w:color="auto"/>
              <w:left w:val="nil"/>
              <w:bottom w:val="single" w:sz="4" w:space="0" w:color="auto"/>
              <w:right w:val="nil"/>
            </w:tcBorders>
            <w:shd w:val="clear" w:color="auto" w:fill="auto"/>
            <w:noWrap/>
            <w:hideMark/>
          </w:tcPr>
          <w:p w14:paraId="25261058"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w:t>
            </w:r>
          </w:p>
        </w:tc>
        <w:tc>
          <w:tcPr>
            <w:tcW w:w="9340" w:type="dxa"/>
            <w:tcBorders>
              <w:top w:val="single" w:sz="4" w:space="0" w:color="auto"/>
              <w:left w:val="nil"/>
              <w:bottom w:val="single" w:sz="4" w:space="0" w:color="auto"/>
              <w:right w:val="nil"/>
            </w:tcBorders>
            <w:shd w:val="clear" w:color="auto" w:fill="auto"/>
            <w:noWrap/>
            <w:hideMark/>
          </w:tcPr>
          <w:p w14:paraId="404DD4DD"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Бюджетни организации</w:t>
            </w:r>
          </w:p>
        </w:tc>
        <w:tc>
          <w:tcPr>
            <w:tcW w:w="1660" w:type="dxa"/>
            <w:tcBorders>
              <w:top w:val="single" w:sz="4" w:space="0" w:color="auto"/>
              <w:left w:val="nil"/>
              <w:bottom w:val="single" w:sz="4" w:space="0" w:color="auto"/>
              <w:right w:val="nil"/>
            </w:tcBorders>
            <w:shd w:val="clear" w:color="auto" w:fill="auto"/>
            <w:hideMark/>
          </w:tcPr>
          <w:p w14:paraId="04EBF469"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2026 г.</w:t>
            </w:r>
          </w:p>
        </w:tc>
        <w:tc>
          <w:tcPr>
            <w:tcW w:w="1700" w:type="dxa"/>
            <w:tcBorders>
              <w:top w:val="single" w:sz="4" w:space="0" w:color="auto"/>
              <w:left w:val="nil"/>
              <w:bottom w:val="single" w:sz="4" w:space="0" w:color="auto"/>
              <w:right w:val="nil"/>
            </w:tcBorders>
            <w:shd w:val="clear" w:color="auto" w:fill="auto"/>
            <w:hideMark/>
          </w:tcPr>
          <w:p w14:paraId="6B0C169D"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2027 г.</w:t>
            </w:r>
          </w:p>
        </w:tc>
        <w:tc>
          <w:tcPr>
            <w:tcW w:w="1700" w:type="dxa"/>
            <w:tcBorders>
              <w:top w:val="single" w:sz="4" w:space="0" w:color="auto"/>
              <w:left w:val="nil"/>
              <w:bottom w:val="single" w:sz="4" w:space="0" w:color="auto"/>
              <w:right w:val="nil"/>
            </w:tcBorders>
            <w:shd w:val="clear" w:color="auto" w:fill="auto"/>
            <w:hideMark/>
          </w:tcPr>
          <w:p w14:paraId="49CC8743"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2028 г.</w:t>
            </w:r>
          </w:p>
        </w:tc>
      </w:tr>
      <w:tr w:rsidR="007C7178" w:rsidRPr="007C7178" w14:paraId="1F815ECF" w14:textId="77777777" w:rsidTr="007C7178">
        <w:trPr>
          <w:trHeight w:val="255"/>
        </w:trPr>
        <w:tc>
          <w:tcPr>
            <w:tcW w:w="500" w:type="dxa"/>
            <w:tcBorders>
              <w:top w:val="nil"/>
              <w:left w:val="nil"/>
              <w:bottom w:val="nil"/>
              <w:right w:val="nil"/>
            </w:tcBorders>
            <w:shd w:val="clear" w:color="auto" w:fill="auto"/>
            <w:noWrap/>
            <w:hideMark/>
          </w:tcPr>
          <w:p w14:paraId="00BD1D9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w:t>
            </w:r>
          </w:p>
        </w:tc>
        <w:tc>
          <w:tcPr>
            <w:tcW w:w="9340" w:type="dxa"/>
            <w:tcBorders>
              <w:top w:val="nil"/>
              <w:left w:val="nil"/>
              <w:bottom w:val="nil"/>
              <w:right w:val="nil"/>
            </w:tcBorders>
            <w:shd w:val="clear" w:color="auto" w:fill="auto"/>
            <w:hideMark/>
          </w:tcPr>
          <w:p w14:paraId="7223C70B"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Администрация на президента</w:t>
            </w:r>
          </w:p>
        </w:tc>
        <w:tc>
          <w:tcPr>
            <w:tcW w:w="1660" w:type="dxa"/>
            <w:tcBorders>
              <w:top w:val="nil"/>
              <w:left w:val="nil"/>
              <w:bottom w:val="nil"/>
              <w:right w:val="nil"/>
            </w:tcBorders>
            <w:shd w:val="clear" w:color="auto" w:fill="auto"/>
            <w:noWrap/>
            <w:hideMark/>
          </w:tcPr>
          <w:p w14:paraId="6197F7D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7 472,3</w:t>
            </w:r>
          </w:p>
        </w:tc>
        <w:tc>
          <w:tcPr>
            <w:tcW w:w="1700" w:type="dxa"/>
            <w:tcBorders>
              <w:top w:val="nil"/>
              <w:left w:val="nil"/>
              <w:bottom w:val="nil"/>
              <w:right w:val="nil"/>
            </w:tcBorders>
            <w:shd w:val="clear" w:color="auto" w:fill="auto"/>
            <w:noWrap/>
            <w:hideMark/>
          </w:tcPr>
          <w:p w14:paraId="1E0CE33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7 504,3</w:t>
            </w:r>
          </w:p>
        </w:tc>
        <w:tc>
          <w:tcPr>
            <w:tcW w:w="1700" w:type="dxa"/>
            <w:tcBorders>
              <w:top w:val="nil"/>
              <w:left w:val="nil"/>
              <w:bottom w:val="nil"/>
              <w:right w:val="nil"/>
            </w:tcBorders>
            <w:shd w:val="clear" w:color="auto" w:fill="auto"/>
            <w:noWrap/>
            <w:hideMark/>
          </w:tcPr>
          <w:p w14:paraId="6F76114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7 543,3</w:t>
            </w:r>
          </w:p>
        </w:tc>
      </w:tr>
      <w:tr w:rsidR="007C7178" w:rsidRPr="007C7178" w14:paraId="12A8F8AA" w14:textId="77777777" w:rsidTr="007C7178">
        <w:trPr>
          <w:trHeight w:val="255"/>
        </w:trPr>
        <w:tc>
          <w:tcPr>
            <w:tcW w:w="500" w:type="dxa"/>
            <w:tcBorders>
              <w:top w:val="nil"/>
              <w:left w:val="nil"/>
              <w:bottom w:val="nil"/>
              <w:right w:val="nil"/>
            </w:tcBorders>
            <w:shd w:val="clear" w:color="auto" w:fill="auto"/>
            <w:noWrap/>
            <w:hideMark/>
          </w:tcPr>
          <w:p w14:paraId="411EDD7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w:t>
            </w:r>
          </w:p>
        </w:tc>
        <w:tc>
          <w:tcPr>
            <w:tcW w:w="9340" w:type="dxa"/>
            <w:tcBorders>
              <w:top w:val="nil"/>
              <w:left w:val="nil"/>
              <w:bottom w:val="nil"/>
              <w:right w:val="nil"/>
            </w:tcBorders>
            <w:shd w:val="clear" w:color="auto" w:fill="auto"/>
            <w:hideMark/>
          </w:tcPr>
          <w:p w14:paraId="58236696"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Министерски съвет</w:t>
            </w:r>
          </w:p>
        </w:tc>
        <w:tc>
          <w:tcPr>
            <w:tcW w:w="1660" w:type="dxa"/>
            <w:tcBorders>
              <w:top w:val="nil"/>
              <w:left w:val="nil"/>
              <w:bottom w:val="nil"/>
              <w:right w:val="nil"/>
            </w:tcBorders>
            <w:shd w:val="clear" w:color="auto" w:fill="auto"/>
            <w:noWrap/>
            <w:hideMark/>
          </w:tcPr>
          <w:p w14:paraId="61237D7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135 015,1</w:t>
            </w:r>
          </w:p>
        </w:tc>
        <w:tc>
          <w:tcPr>
            <w:tcW w:w="1700" w:type="dxa"/>
            <w:tcBorders>
              <w:top w:val="nil"/>
              <w:left w:val="nil"/>
              <w:bottom w:val="nil"/>
              <w:right w:val="nil"/>
            </w:tcBorders>
            <w:shd w:val="clear" w:color="auto" w:fill="auto"/>
            <w:noWrap/>
            <w:hideMark/>
          </w:tcPr>
          <w:p w14:paraId="2990B9B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141 565,4</w:t>
            </w:r>
          </w:p>
        </w:tc>
        <w:tc>
          <w:tcPr>
            <w:tcW w:w="1700" w:type="dxa"/>
            <w:tcBorders>
              <w:top w:val="nil"/>
              <w:left w:val="nil"/>
              <w:bottom w:val="nil"/>
              <w:right w:val="nil"/>
            </w:tcBorders>
            <w:shd w:val="clear" w:color="auto" w:fill="auto"/>
            <w:noWrap/>
            <w:hideMark/>
          </w:tcPr>
          <w:p w14:paraId="30323F0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145 955,9</w:t>
            </w:r>
          </w:p>
        </w:tc>
      </w:tr>
      <w:tr w:rsidR="007C7178" w:rsidRPr="007C7178" w14:paraId="39FDF447" w14:textId="77777777" w:rsidTr="007C7178">
        <w:trPr>
          <w:trHeight w:val="255"/>
        </w:trPr>
        <w:tc>
          <w:tcPr>
            <w:tcW w:w="500" w:type="dxa"/>
            <w:tcBorders>
              <w:top w:val="nil"/>
              <w:left w:val="nil"/>
              <w:bottom w:val="nil"/>
              <w:right w:val="nil"/>
            </w:tcBorders>
            <w:shd w:val="clear" w:color="auto" w:fill="auto"/>
            <w:noWrap/>
            <w:hideMark/>
          </w:tcPr>
          <w:p w14:paraId="775854A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w:t>
            </w:r>
          </w:p>
        </w:tc>
        <w:tc>
          <w:tcPr>
            <w:tcW w:w="9340" w:type="dxa"/>
            <w:tcBorders>
              <w:top w:val="nil"/>
              <w:left w:val="nil"/>
              <w:bottom w:val="nil"/>
              <w:right w:val="nil"/>
            </w:tcBorders>
            <w:shd w:val="clear" w:color="auto" w:fill="auto"/>
            <w:hideMark/>
          </w:tcPr>
          <w:p w14:paraId="12B505D5"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Конституционен съд</w:t>
            </w:r>
          </w:p>
        </w:tc>
        <w:tc>
          <w:tcPr>
            <w:tcW w:w="1660" w:type="dxa"/>
            <w:tcBorders>
              <w:top w:val="nil"/>
              <w:left w:val="nil"/>
              <w:bottom w:val="nil"/>
              <w:right w:val="nil"/>
            </w:tcBorders>
            <w:shd w:val="clear" w:color="auto" w:fill="auto"/>
            <w:noWrap/>
            <w:hideMark/>
          </w:tcPr>
          <w:p w14:paraId="45AD6A7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8 332,6</w:t>
            </w:r>
          </w:p>
        </w:tc>
        <w:tc>
          <w:tcPr>
            <w:tcW w:w="1700" w:type="dxa"/>
            <w:tcBorders>
              <w:top w:val="nil"/>
              <w:left w:val="nil"/>
              <w:bottom w:val="nil"/>
              <w:right w:val="nil"/>
            </w:tcBorders>
            <w:shd w:val="clear" w:color="auto" w:fill="auto"/>
            <w:noWrap/>
            <w:hideMark/>
          </w:tcPr>
          <w:p w14:paraId="28D9FF8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9 551,9</w:t>
            </w:r>
          </w:p>
        </w:tc>
        <w:tc>
          <w:tcPr>
            <w:tcW w:w="1700" w:type="dxa"/>
            <w:tcBorders>
              <w:top w:val="nil"/>
              <w:left w:val="nil"/>
              <w:bottom w:val="nil"/>
              <w:right w:val="nil"/>
            </w:tcBorders>
            <w:shd w:val="clear" w:color="auto" w:fill="auto"/>
            <w:noWrap/>
            <w:hideMark/>
          </w:tcPr>
          <w:p w14:paraId="4E2D46B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8 087,5</w:t>
            </w:r>
          </w:p>
        </w:tc>
      </w:tr>
      <w:tr w:rsidR="007C7178" w:rsidRPr="007C7178" w14:paraId="1181F0D4" w14:textId="77777777" w:rsidTr="007C7178">
        <w:trPr>
          <w:trHeight w:val="255"/>
        </w:trPr>
        <w:tc>
          <w:tcPr>
            <w:tcW w:w="500" w:type="dxa"/>
            <w:tcBorders>
              <w:top w:val="nil"/>
              <w:left w:val="nil"/>
              <w:bottom w:val="nil"/>
              <w:right w:val="nil"/>
            </w:tcBorders>
            <w:shd w:val="clear" w:color="auto" w:fill="auto"/>
            <w:noWrap/>
            <w:hideMark/>
          </w:tcPr>
          <w:p w14:paraId="5E912AE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w:t>
            </w:r>
          </w:p>
        </w:tc>
        <w:tc>
          <w:tcPr>
            <w:tcW w:w="9340" w:type="dxa"/>
            <w:tcBorders>
              <w:top w:val="nil"/>
              <w:left w:val="nil"/>
              <w:bottom w:val="nil"/>
              <w:right w:val="nil"/>
            </w:tcBorders>
            <w:shd w:val="clear" w:color="auto" w:fill="auto"/>
            <w:hideMark/>
          </w:tcPr>
          <w:p w14:paraId="0228857E"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Омбудсман</w:t>
            </w:r>
          </w:p>
        </w:tc>
        <w:tc>
          <w:tcPr>
            <w:tcW w:w="1660" w:type="dxa"/>
            <w:tcBorders>
              <w:top w:val="nil"/>
              <w:left w:val="nil"/>
              <w:bottom w:val="nil"/>
              <w:right w:val="nil"/>
            </w:tcBorders>
            <w:shd w:val="clear" w:color="auto" w:fill="auto"/>
            <w:noWrap/>
            <w:hideMark/>
          </w:tcPr>
          <w:p w14:paraId="6795D98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2 675,7</w:t>
            </w:r>
          </w:p>
        </w:tc>
        <w:tc>
          <w:tcPr>
            <w:tcW w:w="1700" w:type="dxa"/>
            <w:tcBorders>
              <w:top w:val="nil"/>
              <w:left w:val="nil"/>
              <w:bottom w:val="nil"/>
              <w:right w:val="nil"/>
            </w:tcBorders>
            <w:shd w:val="clear" w:color="auto" w:fill="auto"/>
            <w:noWrap/>
            <w:hideMark/>
          </w:tcPr>
          <w:p w14:paraId="7AC64CE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2 723,5</w:t>
            </w:r>
          </w:p>
        </w:tc>
        <w:tc>
          <w:tcPr>
            <w:tcW w:w="1700" w:type="dxa"/>
            <w:tcBorders>
              <w:top w:val="nil"/>
              <w:left w:val="nil"/>
              <w:bottom w:val="nil"/>
              <w:right w:val="nil"/>
            </w:tcBorders>
            <w:shd w:val="clear" w:color="auto" w:fill="auto"/>
            <w:noWrap/>
            <w:hideMark/>
          </w:tcPr>
          <w:p w14:paraId="24815AB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2 728,8</w:t>
            </w:r>
          </w:p>
        </w:tc>
      </w:tr>
      <w:tr w:rsidR="007C7178" w:rsidRPr="007C7178" w14:paraId="41C8B8AE" w14:textId="77777777" w:rsidTr="007C7178">
        <w:trPr>
          <w:trHeight w:val="255"/>
        </w:trPr>
        <w:tc>
          <w:tcPr>
            <w:tcW w:w="500" w:type="dxa"/>
            <w:tcBorders>
              <w:top w:val="nil"/>
              <w:left w:val="nil"/>
              <w:bottom w:val="nil"/>
              <w:right w:val="nil"/>
            </w:tcBorders>
            <w:shd w:val="clear" w:color="auto" w:fill="auto"/>
            <w:noWrap/>
            <w:hideMark/>
          </w:tcPr>
          <w:p w14:paraId="4100C06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w:t>
            </w:r>
          </w:p>
        </w:tc>
        <w:tc>
          <w:tcPr>
            <w:tcW w:w="9340" w:type="dxa"/>
            <w:tcBorders>
              <w:top w:val="nil"/>
              <w:left w:val="nil"/>
              <w:bottom w:val="nil"/>
              <w:right w:val="nil"/>
            </w:tcBorders>
            <w:shd w:val="clear" w:color="auto" w:fill="auto"/>
            <w:hideMark/>
          </w:tcPr>
          <w:p w14:paraId="54E1B230"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финансите</w:t>
            </w:r>
          </w:p>
        </w:tc>
        <w:tc>
          <w:tcPr>
            <w:tcW w:w="1660" w:type="dxa"/>
            <w:tcBorders>
              <w:top w:val="nil"/>
              <w:left w:val="nil"/>
              <w:bottom w:val="nil"/>
              <w:right w:val="nil"/>
            </w:tcBorders>
            <w:shd w:val="clear" w:color="auto" w:fill="auto"/>
            <w:noWrap/>
            <w:hideMark/>
          </w:tcPr>
          <w:p w14:paraId="717DD0E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480 456,6</w:t>
            </w:r>
          </w:p>
        </w:tc>
        <w:tc>
          <w:tcPr>
            <w:tcW w:w="1700" w:type="dxa"/>
            <w:tcBorders>
              <w:top w:val="nil"/>
              <w:left w:val="nil"/>
              <w:bottom w:val="nil"/>
              <w:right w:val="nil"/>
            </w:tcBorders>
            <w:shd w:val="clear" w:color="auto" w:fill="auto"/>
            <w:noWrap/>
            <w:hideMark/>
          </w:tcPr>
          <w:p w14:paraId="02C4E6B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469 515,2</w:t>
            </w:r>
          </w:p>
        </w:tc>
        <w:tc>
          <w:tcPr>
            <w:tcW w:w="1700" w:type="dxa"/>
            <w:tcBorders>
              <w:top w:val="nil"/>
              <w:left w:val="nil"/>
              <w:bottom w:val="nil"/>
              <w:right w:val="nil"/>
            </w:tcBorders>
            <w:shd w:val="clear" w:color="auto" w:fill="auto"/>
            <w:noWrap/>
            <w:hideMark/>
          </w:tcPr>
          <w:p w14:paraId="56D4EE5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470 139,5</w:t>
            </w:r>
          </w:p>
        </w:tc>
      </w:tr>
      <w:tr w:rsidR="007C7178" w:rsidRPr="007C7178" w14:paraId="17F2A4F9" w14:textId="77777777" w:rsidTr="007C7178">
        <w:trPr>
          <w:trHeight w:val="255"/>
        </w:trPr>
        <w:tc>
          <w:tcPr>
            <w:tcW w:w="500" w:type="dxa"/>
            <w:tcBorders>
              <w:top w:val="nil"/>
              <w:left w:val="nil"/>
              <w:bottom w:val="nil"/>
              <w:right w:val="nil"/>
            </w:tcBorders>
            <w:shd w:val="clear" w:color="auto" w:fill="auto"/>
            <w:noWrap/>
            <w:hideMark/>
          </w:tcPr>
          <w:p w14:paraId="4C61CEB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6</w:t>
            </w:r>
          </w:p>
        </w:tc>
        <w:tc>
          <w:tcPr>
            <w:tcW w:w="9340" w:type="dxa"/>
            <w:tcBorders>
              <w:top w:val="nil"/>
              <w:left w:val="nil"/>
              <w:bottom w:val="nil"/>
              <w:right w:val="nil"/>
            </w:tcBorders>
            <w:shd w:val="clear" w:color="auto" w:fill="auto"/>
            <w:hideMark/>
          </w:tcPr>
          <w:p w14:paraId="5F4424B6"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външните работи</w:t>
            </w:r>
          </w:p>
        </w:tc>
        <w:tc>
          <w:tcPr>
            <w:tcW w:w="1660" w:type="dxa"/>
            <w:tcBorders>
              <w:top w:val="nil"/>
              <w:left w:val="nil"/>
              <w:bottom w:val="nil"/>
              <w:right w:val="nil"/>
            </w:tcBorders>
            <w:shd w:val="clear" w:color="auto" w:fill="auto"/>
            <w:noWrap/>
            <w:hideMark/>
          </w:tcPr>
          <w:p w14:paraId="544138F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116 184,6</w:t>
            </w:r>
          </w:p>
        </w:tc>
        <w:tc>
          <w:tcPr>
            <w:tcW w:w="1700" w:type="dxa"/>
            <w:tcBorders>
              <w:top w:val="nil"/>
              <w:left w:val="nil"/>
              <w:bottom w:val="nil"/>
              <w:right w:val="nil"/>
            </w:tcBorders>
            <w:shd w:val="clear" w:color="auto" w:fill="auto"/>
            <w:noWrap/>
            <w:hideMark/>
          </w:tcPr>
          <w:p w14:paraId="6533A70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113 145,6</w:t>
            </w:r>
          </w:p>
        </w:tc>
        <w:tc>
          <w:tcPr>
            <w:tcW w:w="1700" w:type="dxa"/>
            <w:tcBorders>
              <w:top w:val="nil"/>
              <w:left w:val="nil"/>
              <w:bottom w:val="nil"/>
              <w:right w:val="nil"/>
            </w:tcBorders>
            <w:shd w:val="clear" w:color="auto" w:fill="auto"/>
            <w:noWrap/>
            <w:hideMark/>
          </w:tcPr>
          <w:p w14:paraId="099AEFE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115 148,1</w:t>
            </w:r>
          </w:p>
        </w:tc>
      </w:tr>
      <w:tr w:rsidR="007C7178" w:rsidRPr="007C7178" w14:paraId="2B9BAF29" w14:textId="77777777" w:rsidTr="007C7178">
        <w:trPr>
          <w:trHeight w:val="255"/>
        </w:trPr>
        <w:tc>
          <w:tcPr>
            <w:tcW w:w="500" w:type="dxa"/>
            <w:tcBorders>
              <w:top w:val="nil"/>
              <w:left w:val="nil"/>
              <w:bottom w:val="nil"/>
              <w:right w:val="nil"/>
            </w:tcBorders>
            <w:shd w:val="clear" w:color="auto" w:fill="auto"/>
            <w:noWrap/>
            <w:hideMark/>
          </w:tcPr>
          <w:p w14:paraId="52AFAA7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w:t>
            </w:r>
          </w:p>
        </w:tc>
        <w:tc>
          <w:tcPr>
            <w:tcW w:w="9340" w:type="dxa"/>
            <w:tcBorders>
              <w:top w:val="nil"/>
              <w:left w:val="nil"/>
              <w:bottom w:val="nil"/>
              <w:right w:val="nil"/>
            </w:tcBorders>
            <w:shd w:val="clear" w:color="auto" w:fill="auto"/>
            <w:hideMark/>
          </w:tcPr>
          <w:p w14:paraId="382A7D8E"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отбраната</w:t>
            </w:r>
          </w:p>
        </w:tc>
        <w:tc>
          <w:tcPr>
            <w:tcW w:w="1660" w:type="dxa"/>
            <w:tcBorders>
              <w:top w:val="nil"/>
              <w:left w:val="nil"/>
              <w:bottom w:val="nil"/>
              <w:right w:val="nil"/>
            </w:tcBorders>
            <w:shd w:val="clear" w:color="auto" w:fill="auto"/>
            <w:noWrap/>
            <w:hideMark/>
          </w:tcPr>
          <w:p w14:paraId="511F758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2 465 668,6</w:t>
            </w:r>
          </w:p>
        </w:tc>
        <w:tc>
          <w:tcPr>
            <w:tcW w:w="1700" w:type="dxa"/>
            <w:tcBorders>
              <w:top w:val="nil"/>
              <w:left w:val="nil"/>
              <w:bottom w:val="nil"/>
              <w:right w:val="nil"/>
            </w:tcBorders>
            <w:shd w:val="clear" w:color="auto" w:fill="auto"/>
            <w:noWrap/>
            <w:hideMark/>
          </w:tcPr>
          <w:p w14:paraId="3EEC4D5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2 849 717,3</w:t>
            </w:r>
          </w:p>
        </w:tc>
        <w:tc>
          <w:tcPr>
            <w:tcW w:w="1700" w:type="dxa"/>
            <w:tcBorders>
              <w:top w:val="nil"/>
              <w:left w:val="nil"/>
              <w:bottom w:val="nil"/>
              <w:right w:val="nil"/>
            </w:tcBorders>
            <w:shd w:val="clear" w:color="auto" w:fill="auto"/>
            <w:noWrap/>
            <w:hideMark/>
          </w:tcPr>
          <w:p w14:paraId="0A604DF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3 092 788,2</w:t>
            </w:r>
          </w:p>
        </w:tc>
      </w:tr>
      <w:tr w:rsidR="007C7178" w:rsidRPr="007C7178" w14:paraId="56259F0A" w14:textId="77777777" w:rsidTr="007C7178">
        <w:trPr>
          <w:trHeight w:val="255"/>
        </w:trPr>
        <w:tc>
          <w:tcPr>
            <w:tcW w:w="500" w:type="dxa"/>
            <w:tcBorders>
              <w:top w:val="nil"/>
              <w:left w:val="nil"/>
              <w:bottom w:val="nil"/>
              <w:right w:val="nil"/>
            </w:tcBorders>
            <w:shd w:val="clear" w:color="auto" w:fill="auto"/>
            <w:noWrap/>
            <w:hideMark/>
          </w:tcPr>
          <w:p w14:paraId="0E9B74B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w:t>
            </w:r>
          </w:p>
        </w:tc>
        <w:tc>
          <w:tcPr>
            <w:tcW w:w="9340" w:type="dxa"/>
            <w:tcBorders>
              <w:top w:val="nil"/>
              <w:left w:val="nil"/>
              <w:bottom w:val="nil"/>
              <w:right w:val="nil"/>
            </w:tcBorders>
            <w:shd w:val="clear" w:color="auto" w:fill="auto"/>
            <w:hideMark/>
          </w:tcPr>
          <w:p w14:paraId="7CDA3D0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вътрешните работи</w:t>
            </w:r>
          </w:p>
        </w:tc>
        <w:tc>
          <w:tcPr>
            <w:tcW w:w="1660" w:type="dxa"/>
            <w:tcBorders>
              <w:top w:val="nil"/>
              <w:left w:val="nil"/>
              <w:bottom w:val="nil"/>
              <w:right w:val="nil"/>
            </w:tcBorders>
            <w:shd w:val="clear" w:color="auto" w:fill="auto"/>
            <w:noWrap/>
            <w:hideMark/>
          </w:tcPr>
          <w:p w14:paraId="5B63B1C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2 292 120,6</w:t>
            </w:r>
          </w:p>
        </w:tc>
        <w:tc>
          <w:tcPr>
            <w:tcW w:w="1700" w:type="dxa"/>
            <w:tcBorders>
              <w:top w:val="nil"/>
              <w:left w:val="nil"/>
              <w:bottom w:val="nil"/>
              <w:right w:val="nil"/>
            </w:tcBorders>
            <w:shd w:val="clear" w:color="auto" w:fill="auto"/>
            <w:noWrap/>
            <w:hideMark/>
          </w:tcPr>
          <w:p w14:paraId="1AA8B5F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2 288 818,4</w:t>
            </w:r>
          </w:p>
        </w:tc>
        <w:tc>
          <w:tcPr>
            <w:tcW w:w="1700" w:type="dxa"/>
            <w:tcBorders>
              <w:top w:val="nil"/>
              <w:left w:val="nil"/>
              <w:bottom w:val="nil"/>
              <w:right w:val="nil"/>
            </w:tcBorders>
            <w:shd w:val="clear" w:color="auto" w:fill="auto"/>
            <w:noWrap/>
            <w:hideMark/>
          </w:tcPr>
          <w:p w14:paraId="5559191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2 275 186,2</w:t>
            </w:r>
          </w:p>
        </w:tc>
      </w:tr>
      <w:tr w:rsidR="007C7178" w:rsidRPr="007C7178" w14:paraId="7C778589" w14:textId="77777777" w:rsidTr="007C7178">
        <w:trPr>
          <w:trHeight w:val="255"/>
        </w:trPr>
        <w:tc>
          <w:tcPr>
            <w:tcW w:w="500" w:type="dxa"/>
            <w:tcBorders>
              <w:top w:val="nil"/>
              <w:left w:val="nil"/>
              <w:bottom w:val="nil"/>
              <w:right w:val="nil"/>
            </w:tcBorders>
            <w:shd w:val="clear" w:color="auto" w:fill="auto"/>
            <w:noWrap/>
            <w:hideMark/>
          </w:tcPr>
          <w:p w14:paraId="7C53283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w:t>
            </w:r>
          </w:p>
        </w:tc>
        <w:tc>
          <w:tcPr>
            <w:tcW w:w="9340" w:type="dxa"/>
            <w:tcBorders>
              <w:top w:val="nil"/>
              <w:left w:val="nil"/>
              <w:bottom w:val="nil"/>
              <w:right w:val="nil"/>
            </w:tcBorders>
            <w:shd w:val="clear" w:color="auto" w:fill="auto"/>
            <w:hideMark/>
          </w:tcPr>
          <w:p w14:paraId="1D3B6B5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правосъдието</w:t>
            </w:r>
          </w:p>
        </w:tc>
        <w:tc>
          <w:tcPr>
            <w:tcW w:w="1660" w:type="dxa"/>
            <w:tcBorders>
              <w:top w:val="nil"/>
              <w:left w:val="nil"/>
              <w:bottom w:val="nil"/>
              <w:right w:val="nil"/>
            </w:tcBorders>
            <w:shd w:val="clear" w:color="auto" w:fill="auto"/>
            <w:noWrap/>
            <w:hideMark/>
          </w:tcPr>
          <w:p w14:paraId="0B912DC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390 566,4</w:t>
            </w:r>
          </w:p>
        </w:tc>
        <w:tc>
          <w:tcPr>
            <w:tcW w:w="1700" w:type="dxa"/>
            <w:tcBorders>
              <w:top w:val="nil"/>
              <w:left w:val="nil"/>
              <w:bottom w:val="nil"/>
              <w:right w:val="nil"/>
            </w:tcBorders>
            <w:shd w:val="clear" w:color="auto" w:fill="auto"/>
            <w:noWrap/>
            <w:hideMark/>
          </w:tcPr>
          <w:p w14:paraId="5B9661A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394 103,6</w:t>
            </w:r>
          </w:p>
        </w:tc>
        <w:tc>
          <w:tcPr>
            <w:tcW w:w="1700" w:type="dxa"/>
            <w:tcBorders>
              <w:top w:val="nil"/>
              <w:left w:val="nil"/>
              <w:bottom w:val="nil"/>
              <w:right w:val="nil"/>
            </w:tcBorders>
            <w:shd w:val="clear" w:color="auto" w:fill="auto"/>
            <w:noWrap/>
            <w:hideMark/>
          </w:tcPr>
          <w:p w14:paraId="332DBB4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393 581,4</w:t>
            </w:r>
          </w:p>
        </w:tc>
      </w:tr>
      <w:tr w:rsidR="007C7178" w:rsidRPr="007C7178" w14:paraId="11541E7F" w14:textId="77777777" w:rsidTr="007C7178">
        <w:trPr>
          <w:trHeight w:val="255"/>
        </w:trPr>
        <w:tc>
          <w:tcPr>
            <w:tcW w:w="500" w:type="dxa"/>
            <w:tcBorders>
              <w:top w:val="nil"/>
              <w:left w:val="nil"/>
              <w:bottom w:val="nil"/>
              <w:right w:val="nil"/>
            </w:tcBorders>
            <w:shd w:val="clear" w:color="auto" w:fill="auto"/>
            <w:noWrap/>
            <w:hideMark/>
          </w:tcPr>
          <w:p w14:paraId="104ACFA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10</w:t>
            </w:r>
          </w:p>
        </w:tc>
        <w:tc>
          <w:tcPr>
            <w:tcW w:w="9340" w:type="dxa"/>
            <w:tcBorders>
              <w:top w:val="nil"/>
              <w:left w:val="nil"/>
              <w:bottom w:val="nil"/>
              <w:right w:val="nil"/>
            </w:tcBorders>
            <w:shd w:val="clear" w:color="auto" w:fill="auto"/>
            <w:hideMark/>
          </w:tcPr>
          <w:p w14:paraId="210E2A3E"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труда и социалната политика</w:t>
            </w:r>
          </w:p>
        </w:tc>
        <w:tc>
          <w:tcPr>
            <w:tcW w:w="1660" w:type="dxa"/>
            <w:tcBorders>
              <w:top w:val="nil"/>
              <w:left w:val="nil"/>
              <w:bottom w:val="nil"/>
              <w:right w:val="nil"/>
            </w:tcBorders>
            <w:shd w:val="clear" w:color="auto" w:fill="auto"/>
            <w:noWrap/>
            <w:hideMark/>
          </w:tcPr>
          <w:p w14:paraId="377752C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2 303 639,0</w:t>
            </w:r>
          </w:p>
        </w:tc>
        <w:tc>
          <w:tcPr>
            <w:tcW w:w="1700" w:type="dxa"/>
            <w:tcBorders>
              <w:top w:val="nil"/>
              <w:left w:val="nil"/>
              <w:bottom w:val="nil"/>
              <w:right w:val="nil"/>
            </w:tcBorders>
            <w:shd w:val="clear" w:color="auto" w:fill="auto"/>
            <w:noWrap/>
            <w:hideMark/>
          </w:tcPr>
          <w:p w14:paraId="77B0913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2 438 491,8</w:t>
            </w:r>
          </w:p>
        </w:tc>
        <w:tc>
          <w:tcPr>
            <w:tcW w:w="1700" w:type="dxa"/>
            <w:tcBorders>
              <w:top w:val="nil"/>
              <w:left w:val="nil"/>
              <w:bottom w:val="nil"/>
              <w:right w:val="nil"/>
            </w:tcBorders>
            <w:shd w:val="clear" w:color="auto" w:fill="auto"/>
            <w:noWrap/>
            <w:hideMark/>
          </w:tcPr>
          <w:p w14:paraId="4BBF9F6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2 478 678,5</w:t>
            </w:r>
          </w:p>
        </w:tc>
      </w:tr>
      <w:tr w:rsidR="007C7178" w:rsidRPr="007C7178" w14:paraId="79DA1000" w14:textId="77777777" w:rsidTr="007C7178">
        <w:trPr>
          <w:trHeight w:val="255"/>
        </w:trPr>
        <w:tc>
          <w:tcPr>
            <w:tcW w:w="500" w:type="dxa"/>
            <w:tcBorders>
              <w:top w:val="nil"/>
              <w:left w:val="nil"/>
              <w:bottom w:val="nil"/>
              <w:right w:val="nil"/>
            </w:tcBorders>
            <w:shd w:val="clear" w:color="auto" w:fill="auto"/>
            <w:noWrap/>
            <w:hideMark/>
          </w:tcPr>
          <w:p w14:paraId="6322B85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11</w:t>
            </w:r>
          </w:p>
        </w:tc>
        <w:tc>
          <w:tcPr>
            <w:tcW w:w="9340" w:type="dxa"/>
            <w:tcBorders>
              <w:top w:val="nil"/>
              <w:left w:val="nil"/>
              <w:bottom w:val="nil"/>
              <w:right w:val="nil"/>
            </w:tcBorders>
            <w:shd w:val="clear" w:color="auto" w:fill="auto"/>
            <w:hideMark/>
          </w:tcPr>
          <w:p w14:paraId="4605CE85"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здравеопазването</w:t>
            </w:r>
          </w:p>
        </w:tc>
        <w:tc>
          <w:tcPr>
            <w:tcW w:w="1660" w:type="dxa"/>
            <w:tcBorders>
              <w:top w:val="nil"/>
              <w:left w:val="nil"/>
              <w:bottom w:val="nil"/>
              <w:right w:val="nil"/>
            </w:tcBorders>
            <w:shd w:val="clear" w:color="auto" w:fill="auto"/>
            <w:noWrap/>
            <w:hideMark/>
          </w:tcPr>
          <w:p w14:paraId="67D0AF0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774 208,6</w:t>
            </w:r>
          </w:p>
        </w:tc>
        <w:tc>
          <w:tcPr>
            <w:tcW w:w="1700" w:type="dxa"/>
            <w:tcBorders>
              <w:top w:val="nil"/>
              <w:left w:val="nil"/>
              <w:bottom w:val="nil"/>
              <w:right w:val="nil"/>
            </w:tcBorders>
            <w:shd w:val="clear" w:color="auto" w:fill="auto"/>
            <w:noWrap/>
            <w:hideMark/>
          </w:tcPr>
          <w:p w14:paraId="4BD6F91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762 737,2</w:t>
            </w:r>
          </w:p>
        </w:tc>
        <w:tc>
          <w:tcPr>
            <w:tcW w:w="1700" w:type="dxa"/>
            <w:tcBorders>
              <w:top w:val="nil"/>
              <w:left w:val="nil"/>
              <w:bottom w:val="nil"/>
              <w:right w:val="nil"/>
            </w:tcBorders>
            <w:shd w:val="clear" w:color="auto" w:fill="auto"/>
            <w:noWrap/>
            <w:hideMark/>
          </w:tcPr>
          <w:p w14:paraId="111F53A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770 750,3</w:t>
            </w:r>
          </w:p>
        </w:tc>
      </w:tr>
      <w:tr w:rsidR="007C7178" w:rsidRPr="007C7178" w14:paraId="6F56D8F4" w14:textId="77777777" w:rsidTr="007C7178">
        <w:trPr>
          <w:trHeight w:val="255"/>
        </w:trPr>
        <w:tc>
          <w:tcPr>
            <w:tcW w:w="500" w:type="dxa"/>
            <w:tcBorders>
              <w:top w:val="nil"/>
              <w:left w:val="nil"/>
              <w:bottom w:val="nil"/>
              <w:right w:val="nil"/>
            </w:tcBorders>
            <w:shd w:val="clear" w:color="auto" w:fill="auto"/>
            <w:noWrap/>
            <w:hideMark/>
          </w:tcPr>
          <w:p w14:paraId="3DA4CF6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12</w:t>
            </w:r>
          </w:p>
        </w:tc>
        <w:tc>
          <w:tcPr>
            <w:tcW w:w="9340" w:type="dxa"/>
            <w:tcBorders>
              <w:top w:val="nil"/>
              <w:left w:val="nil"/>
              <w:bottom w:val="nil"/>
              <w:right w:val="nil"/>
            </w:tcBorders>
            <w:shd w:val="clear" w:color="auto" w:fill="auto"/>
            <w:hideMark/>
          </w:tcPr>
          <w:p w14:paraId="76B48DFB"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образованието и науката</w:t>
            </w:r>
          </w:p>
        </w:tc>
        <w:tc>
          <w:tcPr>
            <w:tcW w:w="1660" w:type="dxa"/>
            <w:tcBorders>
              <w:top w:val="nil"/>
              <w:left w:val="nil"/>
              <w:bottom w:val="nil"/>
              <w:right w:val="nil"/>
            </w:tcBorders>
            <w:shd w:val="clear" w:color="auto" w:fill="auto"/>
            <w:noWrap/>
            <w:hideMark/>
          </w:tcPr>
          <w:p w14:paraId="07B7DCE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826 183,6</w:t>
            </w:r>
          </w:p>
        </w:tc>
        <w:tc>
          <w:tcPr>
            <w:tcW w:w="1700" w:type="dxa"/>
            <w:tcBorders>
              <w:top w:val="nil"/>
              <w:left w:val="nil"/>
              <w:bottom w:val="nil"/>
              <w:right w:val="nil"/>
            </w:tcBorders>
            <w:shd w:val="clear" w:color="auto" w:fill="auto"/>
            <w:noWrap/>
            <w:hideMark/>
          </w:tcPr>
          <w:p w14:paraId="33A27A8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823 527,5</w:t>
            </w:r>
          </w:p>
        </w:tc>
        <w:tc>
          <w:tcPr>
            <w:tcW w:w="1700" w:type="dxa"/>
            <w:tcBorders>
              <w:top w:val="nil"/>
              <w:left w:val="nil"/>
              <w:bottom w:val="nil"/>
              <w:right w:val="nil"/>
            </w:tcBorders>
            <w:shd w:val="clear" w:color="auto" w:fill="auto"/>
            <w:noWrap/>
            <w:hideMark/>
          </w:tcPr>
          <w:p w14:paraId="7B43B3D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832 075,3</w:t>
            </w:r>
          </w:p>
        </w:tc>
      </w:tr>
      <w:tr w:rsidR="007C7178" w:rsidRPr="007C7178" w14:paraId="586D7E73" w14:textId="77777777" w:rsidTr="007C7178">
        <w:trPr>
          <w:trHeight w:val="255"/>
        </w:trPr>
        <w:tc>
          <w:tcPr>
            <w:tcW w:w="500" w:type="dxa"/>
            <w:tcBorders>
              <w:top w:val="nil"/>
              <w:left w:val="nil"/>
              <w:bottom w:val="nil"/>
              <w:right w:val="nil"/>
            </w:tcBorders>
            <w:shd w:val="clear" w:color="auto" w:fill="auto"/>
            <w:noWrap/>
            <w:hideMark/>
          </w:tcPr>
          <w:p w14:paraId="71CDFC1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13</w:t>
            </w:r>
          </w:p>
        </w:tc>
        <w:tc>
          <w:tcPr>
            <w:tcW w:w="9340" w:type="dxa"/>
            <w:tcBorders>
              <w:top w:val="nil"/>
              <w:left w:val="nil"/>
              <w:bottom w:val="nil"/>
              <w:right w:val="nil"/>
            </w:tcBorders>
            <w:shd w:val="clear" w:color="auto" w:fill="auto"/>
            <w:hideMark/>
          </w:tcPr>
          <w:p w14:paraId="064D6E3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културата</w:t>
            </w:r>
          </w:p>
        </w:tc>
        <w:tc>
          <w:tcPr>
            <w:tcW w:w="1660" w:type="dxa"/>
            <w:tcBorders>
              <w:top w:val="nil"/>
              <w:left w:val="nil"/>
              <w:bottom w:val="nil"/>
              <w:right w:val="nil"/>
            </w:tcBorders>
            <w:shd w:val="clear" w:color="auto" w:fill="auto"/>
            <w:noWrap/>
            <w:hideMark/>
          </w:tcPr>
          <w:p w14:paraId="6389850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269 427,0</w:t>
            </w:r>
          </w:p>
        </w:tc>
        <w:tc>
          <w:tcPr>
            <w:tcW w:w="1700" w:type="dxa"/>
            <w:tcBorders>
              <w:top w:val="nil"/>
              <w:left w:val="nil"/>
              <w:bottom w:val="nil"/>
              <w:right w:val="nil"/>
            </w:tcBorders>
            <w:shd w:val="clear" w:color="auto" w:fill="auto"/>
            <w:noWrap/>
            <w:hideMark/>
          </w:tcPr>
          <w:p w14:paraId="2DC02F1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271 582,8</w:t>
            </w:r>
          </w:p>
        </w:tc>
        <w:tc>
          <w:tcPr>
            <w:tcW w:w="1700" w:type="dxa"/>
            <w:tcBorders>
              <w:top w:val="nil"/>
              <w:left w:val="nil"/>
              <w:bottom w:val="nil"/>
              <w:right w:val="nil"/>
            </w:tcBorders>
            <w:shd w:val="clear" w:color="auto" w:fill="auto"/>
            <w:noWrap/>
            <w:hideMark/>
          </w:tcPr>
          <w:p w14:paraId="40DC246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270 289,4</w:t>
            </w:r>
          </w:p>
        </w:tc>
      </w:tr>
      <w:tr w:rsidR="007C7178" w:rsidRPr="007C7178" w14:paraId="3279481E" w14:textId="77777777" w:rsidTr="007C7178">
        <w:trPr>
          <w:trHeight w:val="255"/>
        </w:trPr>
        <w:tc>
          <w:tcPr>
            <w:tcW w:w="500" w:type="dxa"/>
            <w:tcBorders>
              <w:top w:val="nil"/>
              <w:left w:val="nil"/>
              <w:bottom w:val="nil"/>
              <w:right w:val="nil"/>
            </w:tcBorders>
            <w:shd w:val="clear" w:color="auto" w:fill="auto"/>
            <w:noWrap/>
            <w:hideMark/>
          </w:tcPr>
          <w:p w14:paraId="7B98E55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w:t>
            </w:r>
          </w:p>
        </w:tc>
        <w:tc>
          <w:tcPr>
            <w:tcW w:w="9340" w:type="dxa"/>
            <w:tcBorders>
              <w:top w:val="nil"/>
              <w:left w:val="nil"/>
              <w:bottom w:val="nil"/>
              <w:right w:val="nil"/>
            </w:tcBorders>
            <w:shd w:val="clear" w:color="auto" w:fill="auto"/>
            <w:hideMark/>
          </w:tcPr>
          <w:p w14:paraId="33A3BD42"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околната среда и водите</w:t>
            </w:r>
          </w:p>
        </w:tc>
        <w:tc>
          <w:tcPr>
            <w:tcW w:w="1660" w:type="dxa"/>
            <w:tcBorders>
              <w:top w:val="nil"/>
              <w:left w:val="nil"/>
              <w:bottom w:val="nil"/>
              <w:right w:val="nil"/>
            </w:tcBorders>
            <w:shd w:val="clear" w:color="auto" w:fill="auto"/>
            <w:noWrap/>
            <w:hideMark/>
          </w:tcPr>
          <w:p w14:paraId="2BA067B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82 549,6</w:t>
            </w:r>
          </w:p>
        </w:tc>
        <w:tc>
          <w:tcPr>
            <w:tcW w:w="1700" w:type="dxa"/>
            <w:tcBorders>
              <w:top w:val="nil"/>
              <w:left w:val="nil"/>
              <w:bottom w:val="nil"/>
              <w:right w:val="nil"/>
            </w:tcBorders>
            <w:shd w:val="clear" w:color="auto" w:fill="auto"/>
            <w:noWrap/>
            <w:hideMark/>
          </w:tcPr>
          <w:p w14:paraId="43B7B00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81 402,5</w:t>
            </w:r>
          </w:p>
        </w:tc>
        <w:tc>
          <w:tcPr>
            <w:tcW w:w="1700" w:type="dxa"/>
            <w:tcBorders>
              <w:top w:val="nil"/>
              <w:left w:val="nil"/>
              <w:bottom w:val="nil"/>
              <w:right w:val="nil"/>
            </w:tcBorders>
            <w:shd w:val="clear" w:color="auto" w:fill="auto"/>
            <w:noWrap/>
            <w:hideMark/>
          </w:tcPr>
          <w:p w14:paraId="78E98AA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80 871,7</w:t>
            </w:r>
          </w:p>
        </w:tc>
      </w:tr>
      <w:tr w:rsidR="007C7178" w:rsidRPr="007C7178" w14:paraId="7E239693" w14:textId="77777777" w:rsidTr="007C7178">
        <w:trPr>
          <w:trHeight w:val="255"/>
        </w:trPr>
        <w:tc>
          <w:tcPr>
            <w:tcW w:w="500" w:type="dxa"/>
            <w:tcBorders>
              <w:top w:val="nil"/>
              <w:left w:val="nil"/>
              <w:bottom w:val="nil"/>
              <w:right w:val="nil"/>
            </w:tcBorders>
            <w:shd w:val="clear" w:color="auto" w:fill="auto"/>
            <w:noWrap/>
            <w:hideMark/>
          </w:tcPr>
          <w:p w14:paraId="71D06EC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15</w:t>
            </w:r>
          </w:p>
        </w:tc>
        <w:tc>
          <w:tcPr>
            <w:tcW w:w="9340" w:type="dxa"/>
            <w:tcBorders>
              <w:top w:val="nil"/>
              <w:left w:val="nil"/>
              <w:bottom w:val="nil"/>
              <w:right w:val="nil"/>
            </w:tcBorders>
            <w:shd w:val="clear" w:color="auto" w:fill="auto"/>
            <w:hideMark/>
          </w:tcPr>
          <w:p w14:paraId="6435C35E"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икономиката и индустрията</w:t>
            </w:r>
          </w:p>
        </w:tc>
        <w:tc>
          <w:tcPr>
            <w:tcW w:w="1660" w:type="dxa"/>
            <w:tcBorders>
              <w:top w:val="nil"/>
              <w:left w:val="nil"/>
              <w:bottom w:val="nil"/>
              <w:right w:val="nil"/>
            </w:tcBorders>
            <w:shd w:val="clear" w:color="auto" w:fill="auto"/>
            <w:noWrap/>
            <w:hideMark/>
          </w:tcPr>
          <w:p w14:paraId="7D94E4A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87 488,9</w:t>
            </w:r>
          </w:p>
        </w:tc>
        <w:tc>
          <w:tcPr>
            <w:tcW w:w="1700" w:type="dxa"/>
            <w:tcBorders>
              <w:top w:val="nil"/>
              <w:left w:val="nil"/>
              <w:bottom w:val="nil"/>
              <w:right w:val="nil"/>
            </w:tcBorders>
            <w:shd w:val="clear" w:color="auto" w:fill="auto"/>
            <w:noWrap/>
            <w:hideMark/>
          </w:tcPr>
          <w:p w14:paraId="5414F65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65 989,4</w:t>
            </w:r>
          </w:p>
        </w:tc>
        <w:tc>
          <w:tcPr>
            <w:tcW w:w="1700" w:type="dxa"/>
            <w:tcBorders>
              <w:top w:val="nil"/>
              <w:left w:val="nil"/>
              <w:bottom w:val="nil"/>
              <w:right w:val="nil"/>
            </w:tcBorders>
            <w:shd w:val="clear" w:color="auto" w:fill="auto"/>
            <w:noWrap/>
            <w:hideMark/>
          </w:tcPr>
          <w:p w14:paraId="433C5F5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65 499,0</w:t>
            </w:r>
          </w:p>
        </w:tc>
      </w:tr>
      <w:tr w:rsidR="007C7178" w:rsidRPr="007C7178" w14:paraId="0A4933B1" w14:textId="77777777" w:rsidTr="007C7178">
        <w:trPr>
          <w:trHeight w:val="255"/>
        </w:trPr>
        <w:tc>
          <w:tcPr>
            <w:tcW w:w="500" w:type="dxa"/>
            <w:tcBorders>
              <w:top w:val="nil"/>
              <w:left w:val="nil"/>
              <w:bottom w:val="nil"/>
              <w:right w:val="nil"/>
            </w:tcBorders>
            <w:shd w:val="clear" w:color="auto" w:fill="auto"/>
            <w:noWrap/>
            <w:hideMark/>
          </w:tcPr>
          <w:p w14:paraId="3654882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16</w:t>
            </w:r>
          </w:p>
        </w:tc>
        <w:tc>
          <w:tcPr>
            <w:tcW w:w="9340" w:type="dxa"/>
            <w:tcBorders>
              <w:top w:val="nil"/>
              <w:left w:val="nil"/>
              <w:bottom w:val="nil"/>
              <w:right w:val="nil"/>
            </w:tcBorders>
            <w:shd w:val="clear" w:color="auto" w:fill="auto"/>
            <w:hideMark/>
          </w:tcPr>
          <w:p w14:paraId="63F818A8"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иновациите и растежа</w:t>
            </w:r>
          </w:p>
        </w:tc>
        <w:tc>
          <w:tcPr>
            <w:tcW w:w="1660" w:type="dxa"/>
            <w:tcBorders>
              <w:top w:val="nil"/>
              <w:left w:val="nil"/>
              <w:bottom w:val="nil"/>
              <w:right w:val="nil"/>
            </w:tcBorders>
            <w:shd w:val="clear" w:color="auto" w:fill="auto"/>
            <w:noWrap/>
            <w:hideMark/>
          </w:tcPr>
          <w:p w14:paraId="3FD6D2B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28 281,9</w:t>
            </w:r>
          </w:p>
        </w:tc>
        <w:tc>
          <w:tcPr>
            <w:tcW w:w="1700" w:type="dxa"/>
            <w:tcBorders>
              <w:top w:val="nil"/>
              <w:left w:val="nil"/>
              <w:bottom w:val="nil"/>
              <w:right w:val="nil"/>
            </w:tcBorders>
            <w:shd w:val="clear" w:color="auto" w:fill="auto"/>
            <w:noWrap/>
            <w:hideMark/>
          </w:tcPr>
          <w:p w14:paraId="2F5F006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39 133,3</w:t>
            </w:r>
          </w:p>
        </w:tc>
        <w:tc>
          <w:tcPr>
            <w:tcW w:w="1700" w:type="dxa"/>
            <w:tcBorders>
              <w:top w:val="nil"/>
              <w:left w:val="nil"/>
              <w:bottom w:val="nil"/>
              <w:right w:val="nil"/>
            </w:tcBorders>
            <w:shd w:val="clear" w:color="auto" w:fill="auto"/>
            <w:noWrap/>
            <w:hideMark/>
          </w:tcPr>
          <w:p w14:paraId="6A9FA9F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29 664,7</w:t>
            </w:r>
          </w:p>
        </w:tc>
      </w:tr>
      <w:tr w:rsidR="007C7178" w:rsidRPr="007C7178" w14:paraId="58366D54" w14:textId="77777777" w:rsidTr="007C7178">
        <w:trPr>
          <w:trHeight w:val="255"/>
        </w:trPr>
        <w:tc>
          <w:tcPr>
            <w:tcW w:w="500" w:type="dxa"/>
            <w:tcBorders>
              <w:top w:val="nil"/>
              <w:left w:val="nil"/>
              <w:bottom w:val="nil"/>
              <w:right w:val="nil"/>
            </w:tcBorders>
            <w:shd w:val="clear" w:color="auto" w:fill="auto"/>
            <w:noWrap/>
            <w:hideMark/>
          </w:tcPr>
          <w:p w14:paraId="3550CC8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17</w:t>
            </w:r>
          </w:p>
        </w:tc>
        <w:tc>
          <w:tcPr>
            <w:tcW w:w="9340" w:type="dxa"/>
            <w:tcBorders>
              <w:top w:val="nil"/>
              <w:left w:val="nil"/>
              <w:bottom w:val="nil"/>
              <w:right w:val="nil"/>
            </w:tcBorders>
            <w:shd w:val="clear" w:color="auto" w:fill="auto"/>
            <w:hideMark/>
          </w:tcPr>
          <w:p w14:paraId="77C3AFA8"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енергетиката</w:t>
            </w:r>
          </w:p>
        </w:tc>
        <w:tc>
          <w:tcPr>
            <w:tcW w:w="1660" w:type="dxa"/>
            <w:tcBorders>
              <w:top w:val="nil"/>
              <w:left w:val="nil"/>
              <w:bottom w:val="nil"/>
              <w:right w:val="nil"/>
            </w:tcBorders>
            <w:shd w:val="clear" w:color="auto" w:fill="auto"/>
            <w:noWrap/>
            <w:hideMark/>
          </w:tcPr>
          <w:p w14:paraId="2936C4F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41 304,7</w:t>
            </w:r>
          </w:p>
        </w:tc>
        <w:tc>
          <w:tcPr>
            <w:tcW w:w="1700" w:type="dxa"/>
            <w:tcBorders>
              <w:top w:val="nil"/>
              <w:left w:val="nil"/>
              <w:bottom w:val="nil"/>
              <w:right w:val="nil"/>
            </w:tcBorders>
            <w:shd w:val="clear" w:color="auto" w:fill="auto"/>
            <w:noWrap/>
            <w:hideMark/>
          </w:tcPr>
          <w:p w14:paraId="352EA77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41 473,2</w:t>
            </w:r>
          </w:p>
        </w:tc>
        <w:tc>
          <w:tcPr>
            <w:tcW w:w="1700" w:type="dxa"/>
            <w:tcBorders>
              <w:top w:val="nil"/>
              <w:left w:val="nil"/>
              <w:bottom w:val="nil"/>
              <w:right w:val="nil"/>
            </w:tcBorders>
            <w:shd w:val="clear" w:color="auto" w:fill="auto"/>
            <w:noWrap/>
            <w:hideMark/>
          </w:tcPr>
          <w:p w14:paraId="59DB96D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41 610,3</w:t>
            </w:r>
          </w:p>
        </w:tc>
      </w:tr>
      <w:tr w:rsidR="007C7178" w:rsidRPr="007C7178" w14:paraId="7BEFC34C" w14:textId="77777777" w:rsidTr="007C7178">
        <w:trPr>
          <w:trHeight w:val="255"/>
        </w:trPr>
        <w:tc>
          <w:tcPr>
            <w:tcW w:w="500" w:type="dxa"/>
            <w:tcBorders>
              <w:top w:val="nil"/>
              <w:left w:val="nil"/>
              <w:bottom w:val="nil"/>
              <w:right w:val="nil"/>
            </w:tcBorders>
            <w:shd w:val="clear" w:color="auto" w:fill="auto"/>
            <w:noWrap/>
            <w:hideMark/>
          </w:tcPr>
          <w:p w14:paraId="3B0D045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18</w:t>
            </w:r>
          </w:p>
        </w:tc>
        <w:tc>
          <w:tcPr>
            <w:tcW w:w="9340" w:type="dxa"/>
            <w:tcBorders>
              <w:top w:val="nil"/>
              <w:left w:val="nil"/>
              <w:bottom w:val="nil"/>
              <w:right w:val="nil"/>
            </w:tcBorders>
            <w:shd w:val="clear" w:color="auto" w:fill="auto"/>
            <w:hideMark/>
          </w:tcPr>
          <w:p w14:paraId="7D6C226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туризма</w:t>
            </w:r>
          </w:p>
        </w:tc>
        <w:tc>
          <w:tcPr>
            <w:tcW w:w="1660" w:type="dxa"/>
            <w:tcBorders>
              <w:top w:val="nil"/>
              <w:left w:val="nil"/>
              <w:bottom w:val="nil"/>
              <w:right w:val="nil"/>
            </w:tcBorders>
            <w:shd w:val="clear" w:color="auto" w:fill="auto"/>
            <w:noWrap/>
            <w:hideMark/>
          </w:tcPr>
          <w:p w14:paraId="38705DA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14 861,0</w:t>
            </w:r>
          </w:p>
        </w:tc>
        <w:tc>
          <w:tcPr>
            <w:tcW w:w="1700" w:type="dxa"/>
            <w:tcBorders>
              <w:top w:val="nil"/>
              <w:left w:val="nil"/>
              <w:bottom w:val="nil"/>
              <w:right w:val="nil"/>
            </w:tcBorders>
            <w:shd w:val="clear" w:color="auto" w:fill="auto"/>
            <w:noWrap/>
            <w:hideMark/>
          </w:tcPr>
          <w:p w14:paraId="49C584F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14 416,5</w:t>
            </w:r>
          </w:p>
        </w:tc>
        <w:tc>
          <w:tcPr>
            <w:tcW w:w="1700" w:type="dxa"/>
            <w:tcBorders>
              <w:top w:val="nil"/>
              <w:left w:val="nil"/>
              <w:bottom w:val="nil"/>
              <w:right w:val="nil"/>
            </w:tcBorders>
            <w:shd w:val="clear" w:color="auto" w:fill="auto"/>
            <w:noWrap/>
            <w:hideMark/>
          </w:tcPr>
          <w:p w14:paraId="3989F10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14 354,3</w:t>
            </w:r>
          </w:p>
        </w:tc>
      </w:tr>
      <w:tr w:rsidR="007C7178" w:rsidRPr="007C7178" w14:paraId="557C01D8" w14:textId="77777777" w:rsidTr="007C7178">
        <w:trPr>
          <w:trHeight w:val="255"/>
        </w:trPr>
        <w:tc>
          <w:tcPr>
            <w:tcW w:w="500" w:type="dxa"/>
            <w:tcBorders>
              <w:top w:val="nil"/>
              <w:left w:val="nil"/>
              <w:bottom w:val="nil"/>
              <w:right w:val="nil"/>
            </w:tcBorders>
            <w:shd w:val="clear" w:color="auto" w:fill="auto"/>
            <w:noWrap/>
            <w:hideMark/>
          </w:tcPr>
          <w:p w14:paraId="3824383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19</w:t>
            </w:r>
          </w:p>
        </w:tc>
        <w:tc>
          <w:tcPr>
            <w:tcW w:w="9340" w:type="dxa"/>
            <w:tcBorders>
              <w:top w:val="nil"/>
              <w:left w:val="nil"/>
              <w:bottom w:val="nil"/>
              <w:right w:val="nil"/>
            </w:tcBorders>
            <w:shd w:val="clear" w:color="auto" w:fill="auto"/>
            <w:hideMark/>
          </w:tcPr>
          <w:p w14:paraId="608C73C2"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регионалното развитие и благоустройството</w:t>
            </w:r>
          </w:p>
        </w:tc>
        <w:tc>
          <w:tcPr>
            <w:tcW w:w="1660" w:type="dxa"/>
            <w:tcBorders>
              <w:top w:val="nil"/>
              <w:left w:val="nil"/>
              <w:bottom w:val="nil"/>
              <w:right w:val="nil"/>
            </w:tcBorders>
            <w:shd w:val="clear" w:color="auto" w:fill="auto"/>
            <w:noWrap/>
            <w:hideMark/>
          </w:tcPr>
          <w:p w14:paraId="0741D00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1 093 443,2</w:t>
            </w:r>
          </w:p>
        </w:tc>
        <w:tc>
          <w:tcPr>
            <w:tcW w:w="1700" w:type="dxa"/>
            <w:tcBorders>
              <w:top w:val="nil"/>
              <w:left w:val="nil"/>
              <w:bottom w:val="nil"/>
              <w:right w:val="nil"/>
            </w:tcBorders>
            <w:shd w:val="clear" w:color="auto" w:fill="auto"/>
            <w:noWrap/>
            <w:hideMark/>
          </w:tcPr>
          <w:p w14:paraId="02D5EA9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1 712 635,0</w:t>
            </w:r>
          </w:p>
        </w:tc>
        <w:tc>
          <w:tcPr>
            <w:tcW w:w="1700" w:type="dxa"/>
            <w:tcBorders>
              <w:top w:val="nil"/>
              <w:left w:val="nil"/>
              <w:bottom w:val="nil"/>
              <w:right w:val="nil"/>
            </w:tcBorders>
            <w:shd w:val="clear" w:color="auto" w:fill="auto"/>
            <w:noWrap/>
            <w:hideMark/>
          </w:tcPr>
          <w:p w14:paraId="6394909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1 776 329,6</w:t>
            </w:r>
          </w:p>
        </w:tc>
      </w:tr>
      <w:tr w:rsidR="007C7178" w:rsidRPr="007C7178" w14:paraId="6E5F2195" w14:textId="77777777" w:rsidTr="007C7178">
        <w:trPr>
          <w:trHeight w:val="285"/>
        </w:trPr>
        <w:tc>
          <w:tcPr>
            <w:tcW w:w="500" w:type="dxa"/>
            <w:tcBorders>
              <w:top w:val="nil"/>
              <w:left w:val="nil"/>
              <w:bottom w:val="nil"/>
              <w:right w:val="nil"/>
            </w:tcBorders>
            <w:shd w:val="clear" w:color="auto" w:fill="auto"/>
            <w:noWrap/>
            <w:hideMark/>
          </w:tcPr>
          <w:p w14:paraId="115F982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20</w:t>
            </w:r>
          </w:p>
        </w:tc>
        <w:tc>
          <w:tcPr>
            <w:tcW w:w="9340" w:type="dxa"/>
            <w:tcBorders>
              <w:top w:val="nil"/>
              <w:left w:val="nil"/>
              <w:bottom w:val="nil"/>
              <w:right w:val="nil"/>
            </w:tcBorders>
            <w:shd w:val="clear" w:color="auto" w:fill="auto"/>
            <w:hideMark/>
          </w:tcPr>
          <w:p w14:paraId="1B5D0476"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земеделието и храните</w:t>
            </w:r>
          </w:p>
        </w:tc>
        <w:tc>
          <w:tcPr>
            <w:tcW w:w="1660" w:type="dxa"/>
            <w:tcBorders>
              <w:top w:val="nil"/>
              <w:left w:val="nil"/>
              <w:bottom w:val="nil"/>
              <w:right w:val="nil"/>
            </w:tcBorders>
            <w:shd w:val="clear" w:color="auto" w:fill="auto"/>
            <w:noWrap/>
            <w:hideMark/>
          </w:tcPr>
          <w:p w14:paraId="5A80D2B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212 938,1</w:t>
            </w:r>
          </w:p>
        </w:tc>
        <w:tc>
          <w:tcPr>
            <w:tcW w:w="1700" w:type="dxa"/>
            <w:tcBorders>
              <w:top w:val="nil"/>
              <w:left w:val="nil"/>
              <w:bottom w:val="nil"/>
              <w:right w:val="nil"/>
            </w:tcBorders>
            <w:shd w:val="clear" w:color="auto" w:fill="auto"/>
            <w:noWrap/>
            <w:hideMark/>
          </w:tcPr>
          <w:p w14:paraId="1B21C5D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215 453,4</w:t>
            </w:r>
          </w:p>
        </w:tc>
        <w:tc>
          <w:tcPr>
            <w:tcW w:w="1700" w:type="dxa"/>
            <w:tcBorders>
              <w:top w:val="nil"/>
              <w:left w:val="nil"/>
              <w:bottom w:val="nil"/>
              <w:right w:val="nil"/>
            </w:tcBorders>
            <w:shd w:val="clear" w:color="auto" w:fill="auto"/>
            <w:noWrap/>
            <w:hideMark/>
          </w:tcPr>
          <w:p w14:paraId="79AFF53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216 599,7</w:t>
            </w:r>
          </w:p>
        </w:tc>
      </w:tr>
      <w:tr w:rsidR="007C7178" w:rsidRPr="007C7178" w14:paraId="3B7DBE32" w14:textId="77777777" w:rsidTr="007C7178">
        <w:trPr>
          <w:trHeight w:val="255"/>
        </w:trPr>
        <w:tc>
          <w:tcPr>
            <w:tcW w:w="500" w:type="dxa"/>
            <w:tcBorders>
              <w:top w:val="nil"/>
              <w:left w:val="nil"/>
              <w:bottom w:val="nil"/>
              <w:right w:val="nil"/>
            </w:tcBorders>
            <w:shd w:val="clear" w:color="auto" w:fill="auto"/>
            <w:noWrap/>
            <w:hideMark/>
          </w:tcPr>
          <w:p w14:paraId="529852D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21</w:t>
            </w:r>
          </w:p>
        </w:tc>
        <w:tc>
          <w:tcPr>
            <w:tcW w:w="9340" w:type="dxa"/>
            <w:tcBorders>
              <w:top w:val="nil"/>
              <w:left w:val="nil"/>
              <w:bottom w:val="nil"/>
              <w:right w:val="nil"/>
            </w:tcBorders>
            <w:shd w:val="clear" w:color="auto" w:fill="auto"/>
            <w:hideMark/>
          </w:tcPr>
          <w:p w14:paraId="38AE790A"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транспорта и съобщенията</w:t>
            </w:r>
          </w:p>
        </w:tc>
        <w:tc>
          <w:tcPr>
            <w:tcW w:w="1660" w:type="dxa"/>
            <w:tcBorders>
              <w:top w:val="nil"/>
              <w:left w:val="nil"/>
              <w:bottom w:val="nil"/>
              <w:right w:val="nil"/>
            </w:tcBorders>
            <w:shd w:val="clear" w:color="auto" w:fill="auto"/>
            <w:noWrap/>
            <w:hideMark/>
          </w:tcPr>
          <w:p w14:paraId="18664F4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787 569,0</w:t>
            </w:r>
          </w:p>
        </w:tc>
        <w:tc>
          <w:tcPr>
            <w:tcW w:w="1700" w:type="dxa"/>
            <w:tcBorders>
              <w:top w:val="nil"/>
              <w:left w:val="nil"/>
              <w:bottom w:val="nil"/>
              <w:right w:val="nil"/>
            </w:tcBorders>
            <w:shd w:val="clear" w:color="auto" w:fill="auto"/>
            <w:noWrap/>
            <w:hideMark/>
          </w:tcPr>
          <w:p w14:paraId="27FCE83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630 147,7</w:t>
            </w:r>
          </w:p>
        </w:tc>
        <w:tc>
          <w:tcPr>
            <w:tcW w:w="1700" w:type="dxa"/>
            <w:tcBorders>
              <w:top w:val="nil"/>
              <w:left w:val="nil"/>
              <w:bottom w:val="nil"/>
              <w:right w:val="nil"/>
            </w:tcBorders>
            <w:shd w:val="clear" w:color="auto" w:fill="auto"/>
            <w:noWrap/>
            <w:hideMark/>
          </w:tcPr>
          <w:p w14:paraId="2C650BA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650 739,2</w:t>
            </w:r>
          </w:p>
        </w:tc>
      </w:tr>
      <w:tr w:rsidR="007C7178" w:rsidRPr="007C7178" w14:paraId="0C0F46FE" w14:textId="77777777" w:rsidTr="007C7178">
        <w:trPr>
          <w:trHeight w:val="285"/>
        </w:trPr>
        <w:tc>
          <w:tcPr>
            <w:tcW w:w="500" w:type="dxa"/>
            <w:tcBorders>
              <w:top w:val="nil"/>
              <w:left w:val="nil"/>
              <w:bottom w:val="nil"/>
              <w:right w:val="nil"/>
            </w:tcBorders>
            <w:shd w:val="clear" w:color="auto" w:fill="auto"/>
            <w:noWrap/>
            <w:hideMark/>
          </w:tcPr>
          <w:p w14:paraId="61F64F8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22</w:t>
            </w:r>
          </w:p>
        </w:tc>
        <w:tc>
          <w:tcPr>
            <w:tcW w:w="9340" w:type="dxa"/>
            <w:tcBorders>
              <w:top w:val="nil"/>
              <w:left w:val="nil"/>
              <w:bottom w:val="nil"/>
              <w:right w:val="nil"/>
            </w:tcBorders>
            <w:shd w:val="clear" w:color="auto" w:fill="auto"/>
            <w:hideMark/>
          </w:tcPr>
          <w:p w14:paraId="415656FF"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електронното управление</w:t>
            </w:r>
          </w:p>
        </w:tc>
        <w:tc>
          <w:tcPr>
            <w:tcW w:w="1660" w:type="dxa"/>
            <w:tcBorders>
              <w:top w:val="nil"/>
              <w:left w:val="nil"/>
              <w:bottom w:val="nil"/>
              <w:right w:val="nil"/>
            </w:tcBorders>
            <w:shd w:val="clear" w:color="auto" w:fill="auto"/>
            <w:noWrap/>
            <w:hideMark/>
          </w:tcPr>
          <w:p w14:paraId="285443C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30 866,9</w:t>
            </w:r>
          </w:p>
        </w:tc>
        <w:tc>
          <w:tcPr>
            <w:tcW w:w="1700" w:type="dxa"/>
            <w:tcBorders>
              <w:top w:val="nil"/>
              <w:left w:val="nil"/>
              <w:bottom w:val="nil"/>
              <w:right w:val="nil"/>
            </w:tcBorders>
            <w:shd w:val="clear" w:color="auto" w:fill="auto"/>
            <w:noWrap/>
            <w:hideMark/>
          </w:tcPr>
          <w:p w14:paraId="43B8627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29 159,5</w:t>
            </w:r>
          </w:p>
        </w:tc>
        <w:tc>
          <w:tcPr>
            <w:tcW w:w="1700" w:type="dxa"/>
            <w:tcBorders>
              <w:top w:val="nil"/>
              <w:left w:val="nil"/>
              <w:bottom w:val="nil"/>
              <w:right w:val="nil"/>
            </w:tcBorders>
            <w:shd w:val="clear" w:color="auto" w:fill="auto"/>
            <w:noWrap/>
            <w:hideMark/>
          </w:tcPr>
          <w:p w14:paraId="13A7164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27 558,4</w:t>
            </w:r>
          </w:p>
        </w:tc>
      </w:tr>
      <w:tr w:rsidR="007C7178" w:rsidRPr="007C7178" w14:paraId="2764B20C" w14:textId="77777777" w:rsidTr="007C7178">
        <w:trPr>
          <w:trHeight w:val="315"/>
        </w:trPr>
        <w:tc>
          <w:tcPr>
            <w:tcW w:w="500" w:type="dxa"/>
            <w:tcBorders>
              <w:top w:val="nil"/>
              <w:left w:val="nil"/>
              <w:bottom w:val="nil"/>
              <w:right w:val="nil"/>
            </w:tcBorders>
            <w:shd w:val="clear" w:color="auto" w:fill="auto"/>
            <w:noWrap/>
            <w:hideMark/>
          </w:tcPr>
          <w:p w14:paraId="4123288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23</w:t>
            </w:r>
          </w:p>
        </w:tc>
        <w:tc>
          <w:tcPr>
            <w:tcW w:w="9340" w:type="dxa"/>
            <w:tcBorders>
              <w:top w:val="nil"/>
              <w:left w:val="nil"/>
              <w:bottom w:val="nil"/>
              <w:right w:val="nil"/>
            </w:tcBorders>
            <w:shd w:val="clear" w:color="auto" w:fill="auto"/>
            <w:hideMark/>
          </w:tcPr>
          <w:p w14:paraId="7CD6D453"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Министерство на младежта и спорта</w:t>
            </w:r>
          </w:p>
        </w:tc>
        <w:tc>
          <w:tcPr>
            <w:tcW w:w="1660" w:type="dxa"/>
            <w:tcBorders>
              <w:top w:val="nil"/>
              <w:left w:val="nil"/>
              <w:bottom w:val="nil"/>
              <w:right w:val="nil"/>
            </w:tcBorders>
            <w:shd w:val="clear" w:color="auto" w:fill="auto"/>
            <w:noWrap/>
            <w:hideMark/>
          </w:tcPr>
          <w:p w14:paraId="589C7C1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96 638,9</w:t>
            </w:r>
          </w:p>
        </w:tc>
        <w:tc>
          <w:tcPr>
            <w:tcW w:w="1700" w:type="dxa"/>
            <w:tcBorders>
              <w:top w:val="nil"/>
              <w:left w:val="nil"/>
              <w:bottom w:val="nil"/>
              <w:right w:val="nil"/>
            </w:tcBorders>
            <w:shd w:val="clear" w:color="auto" w:fill="auto"/>
            <w:noWrap/>
            <w:hideMark/>
          </w:tcPr>
          <w:p w14:paraId="0650AB9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96 249,5</w:t>
            </w:r>
          </w:p>
        </w:tc>
        <w:tc>
          <w:tcPr>
            <w:tcW w:w="1700" w:type="dxa"/>
            <w:tcBorders>
              <w:top w:val="nil"/>
              <w:left w:val="nil"/>
              <w:bottom w:val="nil"/>
              <w:right w:val="nil"/>
            </w:tcBorders>
            <w:shd w:val="clear" w:color="auto" w:fill="auto"/>
            <w:noWrap/>
            <w:hideMark/>
          </w:tcPr>
          <w:p w14:paraId="5FD271C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97 411,7</w:t>
            </w:r>
          </w:p>
        </w:tc>
      </w:tr>
      <w:tr w:rsidR="007C7178" w:rsidRPr="007C7178" w14:paraId="7CEE1D8A" w14:textId="77777777" w:rsidTr="007C7178">
        <w:trPr>
          <w:trHeight w:val="255"/>
        </w:trPr>
        <w:tc>
          <w:tcPr>
            <w:tcW w:w="500" w:type="dxa"/>
            <w:tcBorders>
              <w:top w:val="nil"/>
              <w:left w:val="nil"/>
              <w:bottom w:val="nil"/>
              <w:right w:val="nil"/>
            </w:tcBorders>
            <w:shd w:val="clear" w:color="auto" w:fill="auto"/>
            <w:noWrap/>
            <w:hideMark/>
          </w:tcPr>
          <w:p w14:paraId="5D0F316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24</w:t>
            </w:r>
          </w:p>
        </w:tc>
        <w:tc>
          <w:tcPr>
            <w:tcW w:w="9340" w:type="dxa"/>
            <w:tcBorders>
              <w:top w:val="nil"/>
              <w:left w:val="nil"/>
              <w:bottom w:val="nil"/>
              <w:right w:val="nil"/>
            </w:tcBorders>
            <w:shd w:val="clear" w:color="auto" w:fill="auto"/>
            <w:hideMark/>
          </w:tcPr>
          <w:p w14:paraId="2AE71B5B"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Държавна агенция „Национална сигурност“</w:t>
            </w:r>
          </w:p>
        </w:tc>
        <w:tc>
          <w:tcPr>
            <w:tcW w:w="1660" w:type="dxa"/>
            <w:tcBorders>
              <w:top w:val="nil"/>
              <w:left w:val="nil"/>
              <w:bottom w:val="nil"/>
              <w:right w:val="nil"/>
            </w:tcBorders>
            <w:shd w:val="clear" w:color="auto" w:fill="auto"/>
            <w:noWrap/>
            <w:hideMark/>
          </w:tcPr>
          <w:p w14:paraId="7F112AD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161 154,2</w:t>
            </w:r>
          </w:p>
        </w:tc>
        <w:tc>
          <w:tcPr>
            <w:tcW w:w="1700" w:type="dxa"/>
            <w:tcBorders>
              <w:top w:val="nil"/>
              <w:left w:val="nil"/>
              <w:bottom w:val="nil"/>
              <w:right w:val="nil"/>
            </w:tcBorders>
            <w:shd w:val="clear" w:color="auto" w:fill="auto"/>
            <w:noWrap/>
            <w:hideMark/>
          </w:tcPr>
          <w:p w14:paraId="50A5E14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160 847,5</w:t>
            </w:r>
          </w:p>
        </w:tc>
        <w:tc>
          <w:tcPr>
            <w:tcW w:w="1700" w:type="dxa"/>
            <w:tcBorders>
              <w:top w:val="nil"/>
              <w:left w:val="nil"/>
              <w:bottom w:val="nil"/>
              <w:right w:val="nil"/>
            </w:tcBorders>
            <w:shd w:val="clear" w:color="auto" w:fill="auto"/>
            <w:noWrap/>
            <w:hideMark/>
          </w:tcPr>
          <w:p w14:paraId="06BF88C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163 054,1</w:t>
            </w:r>
          </w:p>
        </w:tc>
      </w:tr>
      <w:tr w:rsidR="007C7178" w:rsidRPr="007C7178" w14:paraId="4C9D0E66" w14:textId="77777777" w:rsidTr="007C7178">
        <w:trPr>
          <w:trHeight w:val="510"/>
        </w:trPr>
        <w:tc>
          <w:tcPr>
            <w:tcW w:w="500" w:type="dxa"/>
            <w:tcBorders>
              <w:top w:val="nil"/>
              <w:left w:val="nil"/>
              <w:bottom w:val="nil"/>
              <w:right w:val="nil"/>
            </w:tcBorders>
            <w:shd w:val="clear" w:color="auto" w:fill="auto"/>
            <w:noWrap/>
            <w:hideMark/>
          </w:tcPr>
          <w:p w14:paraId="55F037A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25</w:t>
            </w:r>
          </w:p>
        </w:tc>
        <w:tc>
          <w:tcPr>
            <w:tcW w:w="9340" w:type="dxa"/>
            <w:tcBorders>
              <w:top w:val="nil"/>
              <w:left w:val="nil"/>
              <w:bottom w:val="nil"/>
              <w:right w:val="nil"/>
            </w:tcBorders>
            <w:shd w:val="clear" w:color="auto" w:fill="auto"/>
            <w:hideMark/>
          </w:tcPr>
          <w:p w14:paraId="7B932F78"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разкриване на документите и за обявяване на принадлежност на български граждани към Държавна сигурност и разузнавателните служби на Българската народна армия</w:t>
            </w:r>
          </w:p>
        </w:tc>
        <w:tc>
          <w:tcPr>
            <w:tcW w:w="1660" w:type="dxa"/>
            <w:tcBorders>
              <w:top w:val="nil"/>
              <w:left w:val="nil"/>
              <w:bottom w:val="nil"/>
              <w:right w:val="nil"/>
            </w:tcBorders>
            <w:shd w:val="clear" w:color="auto" w:fill="auto"/>
            <w:noWrap/>
            <w:hideMark/>
          </w:tcPr>
          <w:p w14:paraId="589104D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2 974,9</w:t>
            </w:r>
          </w:p>
        </w:tc>
        <w:tc>
          <w:tcPr>
            <w:tcW w:w="1700" w:type="dxa"/>
            <w:tcBorders>
              <w:top w:val="nil"/>
              <w:left w:val="nil"/>
              <w:bottom w:val="nil"/>
              <w:right w:val="nil"/>
            </w:tcBorders>
            <w:shd w:val="clear" w:color="auto" w:fill="auto"/>
            <w:noWrap/>
            <w:hideMark/>
          </w:tcPr>
          <w:p w14:paraId="4E732B2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2 998,6</w:t>
            </w:r>
          </w:p>
        </w:tc>
        <w:tc>
          <w:tcPr>
            <w:tcW w:w="1700" w:type="dxa"/>
            <w:tcBorders>
              <w:top w:val="nil"/>
              <w:left w:val="nil"/>
              <w:bottom w:val="nil"/>
              <w:right w:val="nil"/>
            </w:tcBorders>
            <w:shd w:val="clear" w:color="auto" w:fill="auto"/>
            <w:noWrap/>
            <w:hideMark/>
          </w:tcPr>
          <w:p w14:paraId="334A835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3 039,3</w:t>
            </w:r>
          </w:p>
        </w:tc>
      </w:tr>
      <w:tr w:rsidR="007C7178" w:rsidRPr="007C7178" w14:paraId="45083EA7" w14:textId="77777777" w:rsidTr="007C7178">
        <w:trPr>
          <w:trHeight w:val="255"/>
        </w:trPr>
        <w:tc>
          <w:tcPr>
            <w:tcW w:w="500" w:type="dxa"/>
            <w:tcBorders>
              <w:top w:val="nil"/>
              <w:left w:val="nil"/>
              <w:bottom w:val="nil"/>
              <w:right w:val="nil"/>
            </w:tcBorders>
            <w:shd w:val="clear" w:color="auto" w:fill="auto"/>
            <w:noWrap/>
            <w:hideMark/>
          </w:tcPr>
          <w:p w14:paraId="403E339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26</w:t>
            </w:r>
          </w:p>
        </w:tc>
        <w:tc>
          <w:tcPr>
            <w:tcW w:w="9340" w:type="dxa"/>
            <w:tcBorders>
              <w:top w:val="nil"/>
              <w:left w:val="nil"/>
              <w:bottom w:val="nil"/>
              <w:right w:val="nil"/>
            </w:tcBorders>
            <w:shd w:val="clear" w:color="auto" w:fill="auto"/>
            <w:hideMark/>
          </w:tcPr>
          <w:p w14:paraId="2D4D640C"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защита от дискриминация</w:t>
            </w:r>
          </w:p>
        </w:tc>
        <w:tc>
          <w:tcPr>
            <w:tcW w:w="1660" w:type="dxa"/>
            <w:tcBorders>
              <w:top w:val="nil"/>
              <w:left w:val="nil"/>
              <w:bottom w:val="nil"/>
              <w:right w:val="nil"/>
            </w:tcBorders>
            <w:shd w:val="clear" w:color="auto" w:fill="auto"/>
            <w:noWrap/>
            <w:hideMark/>
          </w:tcPr>
          <w:p w14:paraId="0D03EB7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2 828,0</w:t>
            </w:r>
          </w:p>
        </w:tc>
        <w:tc>
          <w:tcPr>
            <w:tcW w:w="1700" w:type="dxa"/>
            <w:tcBorders>
              <w:top w:val="nil"/>
              <w:left w:val="nil"/>
              <w:bottom w:val="nil"/>
              <w:right w:val="nil"/>
            </w:tcBorders>
            <w:shd w:val="clear" w:color="auto" w:fill="auto"/>
            <w:noWrap/>
            <w:hideMark/>
          </w:tcPr>
          <w:p w14:paraId="6A6C01A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2 814,5</w:t>
            </w:r>
          </w:p>
        </w:tc>
        <w:tc>
          <w:tcPr>
            <w:tcW w:w="1700" w:type="dxa"/>
            <w:tcBorders>
              <w:top w:val="nil"/>
              <w:left w:val="nil"/>
              <w:bottom w:val="nil"/>
              <w:right w:val="nil"/>
            </w:tcBorders>
            <w:shd w:val="clear" w:color="auto" w:fill="auto"/>
            <w:noWrap/>
            <w:hideMark/>
          </w:tcPr>
          <w:p w14:paraId="4C89297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2 826,5</w:t>
            </w:r>
          </w:p>
        </w:tc>
      </w:tr>
      <w:tr w:rsidR="007C7178" w:rsidRPr="007C7178" w14:paraId="0EEA6DED" w14:textId="77777777" w:rsidTr="007C7178">
        <w:trPr>
          <w:trHeight w:val="255"/>
        </w:trPr>
        <w:tc>
          <w:tcPr>
            <w:tcW w:w="500" w:type="dxa"/>
            <w:tcBorders>
              <w:top w:val="nil"/>
              <w:left w:val="nil"/>
              <w:bottom w:val="nil"/>
              <w:right w:val="nil"/>
            </w:tcBorders>
            <w:shd w:val="clear" w:color="auto" w:fill="auto"/>
            <w:noWrap/>
            <w:hideMark/>
          </w:tcPr>
          <w:p w14:paraId="68585BA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27</w:t>
            </w:r>
          </w:p>
        </w:tc>
        <w:tc>
          <w:tcPr>
            <w:tcW w:w="9340" w:type="dxa"/>
            <w:tcBorders>
              <w:top w:val="nil"/>
              <w:left w:val="nil"/>
              <w:bottom w:val="nil"/>
              <w:right w:val="nil"/>
            </w:tcBorders>
            <w:shd w:val="clear" w:color="auto" w:fill="auto"/>
            <w:hideMark/>
          </w:tcPr>
          <w:p w14:paraId="20C08DA7"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защита на личните данни</w:t>
            </w:r>
          </w:p>
        </w:tc>
        <w:tc>
          <w:tcPr>
            <w:tcW w:w="1660" w:type="dxa"/>
            <w:tcBorders>
              <w:top w:val="nil"/>
              <w:left w:val="nil"/>
              <w:bottom w:val="nil"/>
              <w:right w:val="nil"/>
            </w:tcBorders>
            <w:shd w:val="clear" w:color="auto" w:fill="auto"/>
            <w:noWrap/>
            <w:hideMark/>
          </w:tcPr>
          <w:p w14:paraId="160708C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3 734,2</w:t>
            </w:r>
          </w:p>
        </w:tc>
        <w:tc>
          <w:tcPr>
            <w:tcW w:w="1700" w:type="dxa"/>
            <w:tcBorders>
              <w:top w:val="nil"/>
              <w:left w:val="nil"/>
              <w:bottom w:val="nil"/>
              <w:right w:val="nil"/>
            </w:tcBorders>
            <w:shd w:val="clear" w:color="auto" w:fill="auto"/>
            <w:noWrap/>
            <w:hideMark/>
          </w:tcPr>
          <w:p w14:paraId="26E95EB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3 741,5</w:t>
            </w:r>
          </w:p>
        </w:tc>
        <w:tc>
          <w:tcPr>
            <w:tcW w:w="1700" w:type="dxa"/>
            <w:tcBorders>
              <w:top w:val="nil"/>
              <w:left w:val="nil"/>
              <w:bottom w:val="nil"/>
              <w:right w:val="nil"/>
            </w:tcBorders>
            <w:shd w:val="clear" w:color="auto" w:fill="auto"/>
            <w:noWrap/>
            <w:hideMark/>
          </w:tcPr>
          <w:p w14:paraId="61E4505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3 752,2</w:t>
            </w:r>
          </w:p>
        </w:tc>
      </w:tr>
      <w:tr w:rsidR="007C7178" w:rsidRPr="007C7178" w14:paraId="1659DB24" w14:textId="77777777" w:rsidTr="007C7178">
        <w:trPr>
          <w:trHeight w:val="255"/>
        </w:trPr>
        <w:tc>
          <w:tcPr>
            <w:tcW w:w="500" w:type="dxa"/>
            <w:tcBorders>
              <w:top w:val="nil"/>
              <w:left w:val="nil"/>
              <w:bottom w:val="nil"/>
              <w:right w:val="nil"/>
            </w:tcBorders>
            <w:shd w:val="clear" w:color="auto" w:fill="auto"/>
            <w:noWrap/>
            <w:hideMark/>
          </w:tcPr>
          <w:p w14:paraId="5287D48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28</w:t>
            </w:r>
          </w:p>
        </w:tc>
        <w:tc>
          <w:tcPr>
            <w:tcW w:w="9340" w:type="dxa"/>
            <w:tcBorders>
              <w:top w:val="nil"/>
              <w:left w:val="nil"/>
              <w:bottom w:val="nil"/>
              <w:right w:val="nil"/>
            </w:tcBorders>
            <w:shd w:val="clear" w:color="auto" w:fill="auto"/>
            <w:hideMark/>
          </w:tcPr>
          <w:p w14:paraId="3FF1C238"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отнемане на незаконно придобитото имущество</w:t>
            </w:r>
          </w:p>
        </w:tc>
        <w:tc>
          <w:tcPr>
            <w:tcW w:w="1660" w:type="dxa"/>
            <w:tcBorders>
              <w:top w:val="nil"/>
              <w:left w:val="nil"/>
              <w:bottom w:val="nil"/>
              <w:right w:val="nil"/>
            </w:tcBorders>
            <w:shd w:val="clear" w:color="auto" w:fill="auto"/>
            <w:noWrap/>
            <w:hideMark/>
          </w:tcPr>
          <w:p w14:paraId="38B4C37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8 864,6</w:t>
            </w:r>
          </w:p>
        </w:tc>
        <w:tc>
          <w:tcPr>
            <w:tcW w:w="1700" w:type="dxa"/>
            <w:tcBorders>
              <w:top w:val="nil"/>
              <w:left w:val="nil"/>
              <w:bottom w:val="nil"/>
              <w:right w:val="nil"/>
            </w:tcBorders>
            <w:shd w:val="clear" w:color="auto" w:fill="auto"/>
            <w:noWrap/>
            <w:hideMark/>
          </w:tcPr>
          <w:p w14:paraId="09BCC13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8 857,4</w:t>
            </w:r>
          </w:p>
        </w:tc>
        <w:tc>
          <w:tcPr>
            <w:tcW w:w="1700" w:type="dxa"/>
            <w:tcBorders>
              <w:top w:val="nil"/>
              <w:left w:val="nil"/>
              <w:bottom w:val="nil"/>
              <w:right w:val="nil"/>
            </w:tcBorders>
            <w:shd w:val="clear" w:color="auto" w:fill="auto"/>
            <w:noWrap/>
            <w:hideMark/>
          </w:tcPr>
          <w:p w14:paraId="294D524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8 937,1</w:t>
            </w:r>
          </w:p>
        </w:tc>
      </w:tr>
      <w:tr w:rsidR="007C7178" w:rsidRPr="007C7178" w14:paraId="56A2C769" w14:textId="77777777" w:rsidTr="007C7178">
        <w:trPr>
          <w:trHeight w:val="255"/>
        </w:trPr>
        <w:tc>
          <w:tcPr>
            <w:tcW w:w="500" w:type="dxa"/>
            <w:tcBorders>
              <w:top w:val="nil"/>
              <w:left w:val="nil"/>
              <w:bottom w:val="nil"/>
              <w:right w:val="nil"/>
            </w:tcBorders>
            <w:shd w:val="clear" w:color="auto" w:fill="auto"/>
            <w:noWrap/>
            <w:hideMark/>
          </w:tcPr>
          <w:p w14:paraId="10389EC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29</w:t>
            </w:r>
          </w:p>
        </w:tc>
        <w:tc>
          <w:tcPr>
            <w:tcW w:w="9340" w:type="dxa"/>
            <w:tcBorders>
              <w:top w:val="nil"/>
              <w:left w:val="nil"/>
              <w:bottom w:val="nil"/>
              <w:right w:val="nil"/>
            </w:tcBorders>
            <w:shd w:val="clear" w:color="auto" w:fill="auto"/>
            <w:hideMark/>
          </w:tcPr>
          <w:p w14:paraId="67307363"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противодействие на корупцията</w:t>
            </w:r>
          </w:p>
        </w:tc>
        <w:tc>
          <w:tcPr>
            <w:tcW w:w="1660" w:type="dxa"/>
            <w:tcBorders>
              <w:top w:val="nil"/>
              <w:left w:val="nil"/>
              <w:bottom w:val="nil"/>
              <w:right w:val="nil"/>
            </w:tcBorders>
            <w:shd w:val="clear" w:color="auto" w:fill="auto"/>
            <w:noWrap/>
            <w:hideMark/>
          </w:tcPr>
          <w:p w14:paraId="48C78C2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12 314,8</w:t>
            </w:r>
          </w:p>
        </w:tc>
        <w:tc>
          <w:tcPr>
            <w:tcW w:w="1700" w:type="dxa"/>
            <w:tcBorders>
              <w:top w:val="nil"/>
              <w:left w:val="nil"/>
              <w:bottom w:val="nil"/>
              <w:right w:val="nil"/>
            </w:tcBorders>
            <w:shd w:val="clear" w:color="auto" w:fill="auto"/>
            <w:noWrap/>
            <w:hideMark/>
          </w:tcPr>
          <w:p w14:paraId="2A58C9A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12 465,7</w:t>
            </w:r>
          </w:p>
        </w:tc>
        <w:tc>
          <w:tcPr>
            <w:tcW w:w="1700" w:type="dxa"/>
            <w:tcBorders>
              <w:top w:val="nil"/>
              <w:left w:val="nil"/>
              <w:bottom w:val="nil"/>
              <w:right w:val="nil"/>
            </w:tcBorders>
            <w:shd w:val="clear" w:color="auto" w:fill="auto"/>
            <w:noWrap/>
            <w:hideMark/>
          </w:tcPr>
          <w:p w14:paraId="2B3CCD7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12 865,1</w:t>
            </w:r>
          </w:p>
        </w:tc>
      </w:tr>
      <w:tr w:rsidR="007C7178" w:rsidRPr="007C7178" w14:paraId="251A4AC1" w14:textId="77777777" w:rsidTr="007C7178">
        <w:trPr>
          <w:trHeight w:val="255"/>
        </w:trPr>
        <w:tc>
          <w:tcPr>
            <w:tcW w:w="500" w:type="dxa"/>
            <w:tcBorders>
              <w:top w:val="nil"/>
              <w:left w:val="nil"/>
              <w:bottom w:val="nil"/>
              <w:right w:val="nil"/>
            </w:tcBorders>
            <w:shd w:val="clear" w:color="auto" w:fill="auto"/>
            <w:noWrap/>
            <w:hideMark/>
          </w:tcPr>
          <w:p w14:paraId="3DC8F30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lastRenderedPageBreak/>
              <w:t>30</w:t>
            </w:r>
          </w:p>
        </w:tc>
        <w:tc>
          <w:tcPr>
            <w:tcW w:w="9340" w:type="dxa"/>
            <w:tcBorders>
              <w:top w:val="nil"/>
              <w:left w:val="nil"/>
              <w:bottom w:val="nil"/>
              <w:right w:val="nil"/>
            </w:tcBorders>
            <w:shd w:val="clear" w:color="auto" w:fill="auto"/>
            <w:hideMark/>
          </w:tcPr>
          <w:p w14:paraId="6120B60D"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Национална служба за охрана</w:t>
            </w:r>
          </w:p>
        </w:tc>
        <w:tc>
          <w:tcPr>
            <w:tcW w:w="1660" w:type="dxa"/>
            <w:tcBorders>
              <w:top w:val="nil"/>
              <w:left w:val="nil"/>
              <w:bottom w:val="nil"/>
              <w:right w:val="nil"/>
            </w:tcBorders>
            <w:shd w:val="clear" w:color="auto" w:fill="auto"/>
            <w:noWrap/>
            <w:hideMark/>
          </w:tcPr>
          <w:p w14:paraId="3EF4EE6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53 506,0</w:t>
            </w:r>
          </w:p>
        </w:tc>
        <w:tc>
          <w:tcPr>
            <w:tcW w:w="1700" w:type="dxa"/>
            <w:tcBorders>
              <w:top w:val="nil"/>
              <w:left w:val="nil"/>
              <w:bottom w:val="nil"/>
              <w:right w:val="nil"/>
            </w:tcBorders>
            <w:shd w:val="clear" w:color="auto" w:fill="auto"/>
            <w:noWrap/>
            <w:hideMark/>
          </w:tcPr>
          <w:p w14:paraId="556A016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53 378,4</w:t>
            </w:r>
          </w:p>
        </w:tc>
        <w:tc>
          <w:tcPr>
            <w:tcW w:w="1700" w:type="dxa"/>
            <w:tcBorders>
              <w:top w:val="nil"/>
              <w:left w:val="nil"/>
              <w:bottom w:val="nil"/>
              <w:right w:val="nil"/>
            </w:tcBorders>
            <w:shd w:val="clear" w:color="auto" w:fill="auto"/>
            <w:noWrap/>
            <w:hideMark/>
          </w:tcPr>
          <w:p w14:paraId="5EC4205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53 527,6</w:t>
            </w:r>
          </w:p>
        </w:tc>
      </w:tr>
      <w:tr w:rsidR="007C7178" w:rsidRPr="007C7178" w14:paraId="7D89B332" w14:textId="77777777" w:rsidTr="007C7178">
        <w:trPr>
          <w:trHeight w:val="255"/>
        </w:trPr>
        <w:tc>
          <w:tcPr>
            <w:tcW w:w="500" w:type="dxa"/>
            <w:tcBorders>
              <w:top w:val="nil"/>
              <w:left w:val="nil"/>
              <w:bottom w:val="nil"/>
              <w:right w:val="nil"/>
            </w:tcBorders>
            <w:shd w:val="clear" w:color="auto" w:fill="auto"/>
            <w:noWrap/>
            <w:hideMark/>
          </w:tcPr>
          <w:p w14:paraId="7CB2A61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31</w:t>
            </w:r>
          </w:p>
        </w:tc>
        <w:tc>
          <w:tcPr>
            <w:tcW w:w="9340" w:type="dxa"/>
            <w:tcBorders>
              <w:top w:val="nil"/>
              <w:left w:val="nil"/>
              <w:bottom w:val="nil"/>
              <w:right w:val="nil"/>
            </w:tcBorders>
            <w:shd w:val="clear" w:color="auto" w:fill="auto"/>
            <w:hideMark/>
          </w:tcPr>
          <w:p w14:paraId="6C9A308B"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Държавна агенция „Разузнаване“</w:t>
            </w:r>
          </w:p>
        </w:tc>
        <w:tc>
          <w:tcPr>
            <w:tcW w:w="1660" w:type="dxa"/>
            <w:tcBorders>
              <w:top w:val="nil"/>
              <w:left w:val="nil"/>
              <w:bottom w:val="nil"/>
              <w:right w:val="nil"/>
            </w:tcBorders>
            <w:shd w:val="clear" w:color="auto" w:fill="auto"/>
            <w:noWrap/>
            <w:hideMark/>
          </w:tcPr>
          <w:p w14:paraId="7245384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38 452,5</w:t>
            </w:r>
          </w:p>
        </w:tc>
        <w:tc>
          <w:tcPr>
            <w:tcW w:w="1700" w:type="dxa"/>
            <w:tcBorders>
              <w:top w:val="nil"/>
              <w:left w:val="nil"/>
              <w:bottom w:val="nil"/>
              <w:right w:val="nil"/>
            </w:tcBorders>
            <w:shd w:val="clear" w:color="auto" w:fill="auto"/>
            <w:noWrap/>
            <w:hideMark/>
          </w:tcPr>
          <w:p w14:paraId="648C2E3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38 807,9</w:t>
            </w:r>
          </w:p>
        </w:tc>
        <w:tc>
          <w:tcPr>
            <w:tcW w:w="1700" w:type="dxa"/>
            <w:tcBorders>
              <w:top w:val="nil"/>
              <w:left w:val="nil"/>
              <w:bottom w:val="nil"/>
              <w:right w:val="nil"/>
            </w:tcBorders>
            <w:shd w:val="clear" w:color="auto" w:fill="auto"/>
            <w:noWrap/>
            <w:hideMark/>
          </w:tcPr>
          <w:p w14:paraId="70D6DA8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39 600,9</w:t>
            </w:r>
          </w:p>
        </w:tc>
      </w:tr>
      <w:tr w:rsidR="007C7178" w:rsidRPr="007C7178" w14:paraId="1935DB20" w14:textId="77777777" w:rsidTr="007C7178">
        <w:trPr>
          <w:trHeight w:val="255"/>
        </w:trPr>
        <w:tc>
          <w:tcPr>
            <w:tcW w:w="500" w:type="dxa"/>
            <w:tcBorders>
              <w:top w:val="nil"/>
              <w:left w:val="nil"/>
              <w:bottom w:val="nil"/>
              <w:right w:val="nil"/>
            </w:tcBorders>
            <w:shd w:val="clear" w:color="auto" w:fill="auto"/>
            <w:noWrap/>
            <w:hideMark/>
          </w:tcPr>
          <w:p w14:paraId="26AC7CA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32</w:t>
            </w:r>
          </w:p>
        </w:tc>
        <w:tc>
          <w:tcPr>
            <w:tcW w:w="9340" w:type="dxa"/>
            <w:tcBorders>
              <w:top w:val="nil"/>
              <w:left w:val="nil"/>
              <w:bottom w:val="nil"/>
              <w:right w:val="nil"/>
            </w:tcBorders>
            <w:shd w:val="clear" w:color="auto" w:fill="auto"/>
            <w:hideMark/>
          </w:tcPr>
          <w:p w14:paraId="4237C7E6"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Национален статистически институт</w:t>
            </w:r>
          </w:p>
        </w:tc>
        <w:tc>
          <w:tcPr>
            <w:tcW w:w="1660" w:type="dxa"/>
            <w:tcBorders>
              <w:top w:val="nil"/>
              <w:left w:val="nil"/>
              <w:bottom w:val="nil"/>
              <w:right w:val="nil"/>
            </w:tcBorders>
            <w:shd w:val="clear" w:color="auto" w:fill="auto"/>
            <w:noWrap/>
            <w:hideMark/>
          </w:tcPr>
          <w:p w14:paraId="70FC8E3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25 084,6</w:t>
            </w:r>
          </w:p>
        </w:tc>
        <w:tc>
          <w:tcPr>
            <w:tcW w:w="1700" w:type="dxa"/>
            <w:tcBorders>
              <w:top w:val="nil"/>
              <w:left w:val="nil"/>
              <w:bottom w:val="nil"/>
              <w:right w:val="nil"/>
            </w:tcBorders>
            <w:shd w:val="clear" w:color="auto" w:fill="auto"/>
            <w:noWrap/>
            <w:hideMark/>
          </w:tcPr>
          <w:p w14:paraId="23E958C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24 944,4</w:t>
            </w:r>
          </w:p>
        </w:tc>
        <w:tc>
          <w:tcPr>
            <w:tcW w:w="1700" w:type="dxa"/>
            <w:tcBorders>
              <w:top w:val="nil"/>
              <w:left w:val="nil"/>
              <w:bottom w:val="nil"/>
              <w:right w:val="nil"/>
            </w:tcBorders>
            <w:shd w:val="clear" w:color="auto" w:fill="auto"/>
            <w:noWrap/>
            <w:hideMark/>
          </w:tcPr>
          <w:p w14:paraId="4A00BBE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25 230,6</w:t>
            </w:r>
          </w:p>
        </w:tc>
      </w:tr>
      <w:tr w:rsidR="007C7178" w:rsidRPr="007C7178" w14:paraId="1779CAF5" w14:textId="77777777" w:rsidTr="007C7178">
        <w:trPr>
          <w:trHeight w:val="255"/>
        </w:trPr>
        <w:tc>
          <w:tcPr>
            <w:tcW w:w="500" w:type="dxa"/>
            <w:tcBorders>
              <w:top w:val="nil"/>
              <w:left w:val="nil"/>
              <w:bottom w:val="nil"/>
              <w:right w:val="nil"/>
            </w:tcBorders>
            <w:shd w:val="clear" w:color="auto" w:fill="auto"/>
            <w:noWrap/>
            <w:hideMark/>
          </w:tcPr>
          <w:p w14:paraId="4224094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33</w:t>
            </w:r>
          </w:p>
        </w:tc>
        <w:tc>
          <w:tcPr>
            <w:tcW w:w="9340" w:type="dxa"/>
            <w:tcBorders>
              <w:top w:val="nil"/>
              <w:left w:val="nil"/>
              <w:bottom w:val="nil"/>
              <w:right w:val="nil"/>
            </w:tcBorders>
            <w:shd w:val="clear" w:color="auto" w:fill="auto"/>
            <w:hideMark/>
          </w:tcPr>
          <w:p w14:paraId="7B85D56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защита на конкуренцията</w:t>
            </w:r>
          </w:p>
        </w:tc>
        <w:tc>
          <w:tcPr>
            <w:tcW w:w="1660" w:type="dxa"/>
            <w:tcBorders>
              <w:top w:val="nil"/>
              <w:left w:val="nil"/>
              <w:bottom w:val="nil"/>
              <w:right w:val="nil"/>
            </w:tcBorders>
            <w:shd w:val="clear" w:color="auto" w:fill="auto"/>
            <w:noWrap/>
            <w:hideMark/>
          </w:tcPr>
          <w:p w14:paraId="5858584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5 268,6</w:t>
            </w:r>
          </w:p>
        </w:tc>
        <w:tc>
          <w:tcPr>
            <w:tcW w:w="1700" w:type="dxa"/>
            <w:tcBorders>
              <w:top w:val="nil"/>
              <w:left w:val="nil"/>
              <w:bottom w:val="nil"/>
              <w:right w:val="nil"/>
            </w:tcBorders>
            <w:shd w:val="clear" w:color="auto" w:fill="auto"/>
            <w:noWrap/>
            <w:hideMark/>
          </w:tcPr>
          <w:p w14:paraId="503FC53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5 557,4</w:t>
            </w:r>
          </w:p>
        </w:tc>
        <w:tc>
          <w:tcPr>
            <w:tcW w:w="1700" w:type="dxa"/>
            <w:tcBorders>
              <w:top w:val="nil"/>
              <w:left w:val="nil"/>
              <w:bottom w:val="nil"/>
              <w:right w:val="nil"/>
            </w:tcBorders>
            <w:shd w:val="clear" w:color="auto" w:fill="auto"/>
            <w:noWrap/>
            <w:hideMark/>
          </w:tcPr>
          <w:p w14:paraId="397D502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5 619,0</w:t>
            </w:r>
          </w:p>
        </w:tc>
      </w:tr>
      <w:tr w:rsidR="007C7178" w:rsidRPr="007C7178" w14:paraId="05E7BC9B" w14:textId="77777777" w:rsidTr="007C7178">
        <w:trPr>
          <w:trHeight w:val="255"/>
        </w:trPr>
        <w:tc>
          <w:tcPr>
            <w:tcW w:w="500" w:type="dxa"/>
            <w:tcBorders>
              <w:top w:val="nil"/>
              <w:left w:val="nil"/>
              <w:bottom w:val="nil"/>
              <w:right w:val="nil"/>
            </w:tcBorders>
            <w:shd w:val="clear" w:color="auto" w:fill="auto"/>
            <w:noWrap/>
            <w:hideMark/>
          </w:tcPr>
          <w:p w14:paraId="366BCF1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34</w:t>
            </w:r>
          </w:p>
        </w:tc>
        <w:tc>
          <w:tcPr>
            <w:tcW w:w="9340" w:type="dxa"/>
            <w:tcBorders>
              <w:top w:val="nil"/>
              <w:left w:val="nil"/>
              <w:bottom w:val="nil"/>
              <w:right w:val="nil"/>
            </w:tcBorders>
            <w:shd w:val="clear" w:color="auto" w:fill="auto"/>
            <w:hideMark/>
          </w:tcPr>
          <w:p w14:paraId="60F4F7D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регулиране на съобщенията</w:t>
            </w:r>
          </w:p>
        </w:tc>
        <w:tc>
          <w:tcPr>
            <w:tcW w:w="1660" w:type="dxa"/>
            <w:tcBorders>
              <w:top w:val="nil"/>
              <w:left w:val="nil"/>
              <w:bottom w:val="nil"/>
              <w:right w:val="nil"/>
            </w:tcBorders>
            <w:shd w:val="clear" w:color="auto" w:fill="auto"/>
            <w:noWrap/>
            <w:hideMark/>
          </w:tcPr>
          <w:p w14:paraId="30D4629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14 688,3</w:t>
            </w:r>
          </w:p>
        </w:tc>
        <w:tc>
          <w:tcPr>
            <w:tcW w:w="1700" w:type="dxa"/>
            <w:tcBorders>
              <w:top w:val="nil"/>
              <w:left w:val="nil"/>
              <w:bottom w:val="nil"/>
              <w:right w:val="nil"/>
            </w:tcBorders>
            <w:shd w:val="clear" w:color="auto" w:fill="auto"/>
            <w:noWrap/>
            <w:hideMark/>
          </w:tcPr>
          <w:p w14:paraId="5ED8491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16 441,5</w:t>
            </w:r>
          </w:p>
        </w:tc>
        <w:tc>
          <w:tcPr>
            <w:tcW w:w="1700" w:type="dxa"/>
            <w:tcBorders>
              <w:top w:val="nil"/>
              <w:left w:val="nil"/>
              <w:bottom w:val="nil"/>
              <w:right w:val="nil"/>
            </w:tcBorders>
            <w:shd w:val="clear" w:color="auto" w:fill="auto"/>
            <w:noWrap/>
            <w:hideMark/>
          </w:tcPr>
          <w:p w14:paraId="2A792E0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19 385,5</w:t>
            </w:r>
          </w:p>
        </w:tc>
      </w:tr>
      <w:tr w:rsidR="007C7178" w:rsidRPr="007C7178" w14:paraId="0248901B" w14:textId="77777777" w:rsidTr="007C7178">
        <w:trPr>
          <w:trHeight w:val="255"/>
        </w:trPr>
        <w:tc>
          <w:tcPr>
            <w:tcW w:w="500" w:type="dxa"/>
            <w:tcBorders>
              <w:top w:val="nil"/>
              <w:left w:val="nil"/>
              <w:bottom w:val="nil"/>
              <w:right w:val="nil"/>
            </w:tcBorders>
            <w:shd w:val="clear" w:color="auto" w:fill="auto"/>
            <w:noWrap/>
            <w:hideMark/>
          </w:tcPr>
          <w:p w14:paraId="263B35A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35</w:t>
            </w:r>
          </w:p>
        </w:tc>
        <w:tc>
          <w:tcPr>
            <w:tcW w:w="9340" w:type="dxa"/>
            <w:tcBorders>
              <w:top w:val="nil"/>
              <w:left w:val="nil"/>
              <w:bottom w:val="nil"/>
              <w:right w:val="nil"/>
            </w:tcBorders>
            <w:shd w:val="clear" w:color="auto" w:fill="auto"/>
            <w:hideMark/>
          </w:tcPr>
          <w:p w14:paraId="48868CCE"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Съвет за електронни медии</w:t>
            </w:r>
          </w:p>
        </w:tc>
        <w:tc>
          <w:tcPr>
            <w:tcW w:w="1660" w:type="dxa"/>
            <w:tcBorders>
              <w:top w:val="nil"/>
              <w:left w:val="nil"/>
              <w:bottom w:val="nil"/>
              <w:right w:val="nil"/>
            </w:tcBorders>
            <w:shd w:val="clear" w:color="auto" w:fill="auto"/>
            <w:noWrap/>
            <w:hideMark/>
          </w:tcPr>
          <w:p w14:paraId="6CD490B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2 026,8</w:t>
            </w:r>
          </w:p>
        </w:tc>
        <w:tc>
          <w:tcPr>
            <w:tcW w:w="1700" w:type="dxa"/>
            <w:tcBorders>
              <w:top w:val="nil"/>
              <w:left w:val="nil"/>
              <w:bottom w:val="nil"/>
              <w:right w:val="nil"/>
            </w:tcBorders>
            <w:shd w:val="clear" w:color="auto" w:fill="auto"/>
            <w:noWrap/>
            <w:hideMark/>
          </w:tcPr>
          <w:p w14:paraId="31C0296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2 038,8</w:t>
            </w:r>
          </w:p>
        </w:tc>
        <w:tc>
          <w:tcPr>
            <w:tcW w:w="1700" w:type="dxa"/>
            <w:tcBorders>
              <w:top w:val="nil"/>
              <w:left w:val="nil"/>
              <w:bottom w:val="nil"/>
              <w:right w:val="nil"/>
            </w:tcBorders>
            <w:shd w:val="clear" w:color="auto" w:fill="auto"/>
            <w:noWrap/>
            <w:hideMark/>
          </w:tcPr>
          <w:p w14:paraId="3400159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2 050,6</w:t>
            </w:r>
          </w:p>
        </w:tc>
      </w:tr>
      <w:tr w:rsidR="007C7178" w:rsidRPr="007C7178" w14:paraId="47732B20" w14:textId="77777777" w:rsidTr="007C7178">
        <w:trPr>
          <w:trHeight w:val="255"/>
        </w:trPr>
        <w:tc>
          <w:tcPr>
            <w:tcW w:w="500" w:type="dxa"/>
            <w:tcBorders>
              <w:top w:val="nil"/>
              <w:left w:val="nil"/>
              <w:bottom w:val="nil"/>
              <w:right w:val="nil"/>
            </w:tcBorders>
            <w:shd w:val="clear" w:color="auto" w:fill="auto"/>
            <w:noWrap/>
            <w:hideMark/>
          </w:tcPr>
          <w:p w14:paraId="34CD1E4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36</w:t>
            </w:r>
          </w:p>
        </w:tc>
        <w:tc>
          <w:tcPr>
            <w:tcW w:w="9340" w:type="dxa"/>
            <w:tcBorders>
              <w:top w:val="nil"/>
              <w:left w:val="nil"/>
              <w:bottom w:val="nil"/>
              <w:right w:val="nil"/>
            </w:tcBorders>
            <w:shd w:val="clear" w:color="auto" w:fill="auto"/>
            <w:hideMark/>
          </w:tcPr>
          <w:p w14:paraId="3C0F1B5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енергийно и водно регулиране</w:t>
            </w:r>
          </w:p>
        </w:tc>
        <w:tc>
          <w:tcPr>
            <w:tcW w:w="1660" w:type="dxa"/>
            <w:tcBorders>
              <w:top w:val="nil"/>
              <w:left w:val="nil"/>
              <w:bottom w:val="nil"/>
              <w:right w:val="nil"/>
            </w:tcBorders>
            <w:shd w:val="clear" w:color="auto" w:fill="auto"/>
            <w:noWrap/>
            <w:hideMark/>
          </w:tcPr>
          <w:p w14:paraId="2A98435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9 203,7</w:t>
            </w:r>
          </w:p>
        </w:tc>
        <w:tc>
          <w:tcPr>
            <w:tcW w:w="1700" w:type="dxa"/>
            <w:tcBorders>
              <w:top w:val="nil"/>
              <w:left w:val="nil"/>
              <w:bottom w:val="nil"/>
              <w:right w:val="nil"/>
            </w:tcBorders>
            <w:shd w:val="clear" w:color="auto" w:fill="auto"/>
            <w:noWrap/>
            <w:hideMark/>
          </w:tcPr>
          <w:p w14:paraId="2E5BB0E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9 923,8</w:t>
            </w:r>
          </w:p>
        </w:tc>
        <w:tc>
          <w:tcPr>
            <w:tcW w:w="1700" w:type="dxa"/>
            <w:tcBorders>
              <w:top w:val="nil"/>
              <w:left w:val="nil"/>
              <w:bottom w:val="nil"/>
              <w:right w:val="nil"/>
            </w:tcBorders>
            <w:shd w:val="clear" w:color="auto" w:fill="auto"/>
            <w:noWrap/>
            <w:hideMark/>
          </w:tcPr>
          <w:p w14:paraId="0E9D668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10 385,9</w:t>
            </w:r>
          </w:p>
        </w:tc>
      </w:tr>
      <w:tr w:rsidR="007C7178" w:rsidRPr="007C7178" w14:paraId="4CC0812D" w14:textId="77777777" w:rsidTr="007C7178">
        <w:trPr>
          <w:trHeight w:val="285"/>
        </w:trPr>
        <w:tc>
          <w:tcPr>
            <w:tcW w:w="500" w:type="dxa"/>
            <w:tcBorders>
              <w:top w:val="nil"/>
              <w:left w:val="nil"/>
              <w:bottom w:val="nil"/>
              <w:right w:val="nil"/>
            </w:tcBorders>
            <w:shd w:val="clear" w:color="auto" w:fill="auto"/>
            <w:noWrap/>
            <w:hideMark/>
          </w:tcPr>
          <w:p w14:paraId="284A3B8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37</w:t>
            </w:r>
          </w:p>
        </w:tc>
        <w:tc>
          <w:tcPr>
            <w:tcW w:w="9340" w:type="dxa"/>
            <w:tcBorders>
              <w:top w:val="nil"/>
              <w:left w:val="nil"/>
              <w:bottom w:val="nil"/>
              <w:right w:val="nil"/>
            </w:tcBorders>
            <w:shd w:val="clear" w:color="auto" w:fill="auto"/>
            <w:hideMark/>
          </w:tcPr>
          <w:p w14:paraId="42DB4A4B"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Агенция за ядрено регулиране</w:t>
            </w:r>
          </w:p>
        </w:tc>
        <w:tc>
          <w:tcPr>
            <w:tcW w:w="1660" w:type="dxa"/>
            <w:tcBorders>
              <w:top w:val="nil"/>
              <w:left w:val="nil"/>
              <w:bottom w:val="nil"/>
              <w:right w:val="nil"/>
            </w:tcBorders>
            <w:shd w:val="clear" w:color="auto" w:fill="auto"/>
            <w:noWrap/>
            <w:hideMark/>
          </w:tcPr>
          <w:p w14:paraId="71BDF05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7 810,2</w:t>
            </w:r>
          </w:p>
        </w:tc>
        <w:tc>
          <w:tcPr>
            <w:tcW w:w="1700" w:type="dxa"/>
            <w:tcBorders>
              <w:top w:val="nil"/>
              <w:left w:val="nil"/>
              <w:bottom w:val="nil"/>
              <w:right w:val="nil"/>
            </w:tcBorders>
            <w:shd w:val="clear" w:color="auto" w:fill="auto"/>
            <w:noWrap/>
            <w:hideMark/>
          </w:tcPr>
          <w:p w14:paraId="1EB941C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8 413,1</w:t>
            </w:r>
          </w:p>
        </w:tc>
        <w:tc>
          <w:tcPr>
            <w:tcW w:w="1700" w:type="dxa"/>
            <w:tcBorders>
              <w:top w:val="nil"/>
              <w:left w:val="nil"/>
              <w:bottom w:val="nil"/>
              <w:right w:val="nil"/>
            </w:tcBorders>
            <w:shd w:val="clear" w:color="auto" w:fill="auto"/>
            <w:noWrap/>
            <w:hideMark/>
          </w:tcPr>
          <w:p w14:paraId="441DF80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8 549,7</w:t>
            </w:r>
          </w:p>
        </w:tc>
      </w:tr>
      <w:tr w:rsidR="007C7178" w:rsidRPr="007C7178" w14:paraId="4419A79C" w14:textId="77777777" w:rsidTr="007C7178">
        <w:trPr>
          <w:trHeight w:val="255"/>
        </w:trPr>
        <w:tc>
          <w:tcPr>
            <w:tcW w:w="500" w:type="dxa"/>
            <w:tcBorders>
              <w:top w:val="nil"/>
              <w:left w:val="nil"/>
              <w:bottom w:val="nil"/>
              <w:right w:val="nil"/>
            </w:tcBorders>
            <w:shd w:val="clear" w:color="auto" w:fill="auto"/>
            <w:noWrap/>
            <w:hideMark/>
          </w:tcPr>
          <w:p w14:paraId="10287F6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38</w:t>
            </w:r>
          </w:p>
        </w:tc>
        <w:tc>
          <w:tcPr>
            <w:tcW w:w="9340" w:type="dxa"/>
            <w:tcBorders>
              <w:top w:val="nil"/>
              <w:left w:val="nil"/>
              <w:bottom w:val="nil"/>
              <w:right w:val="nil"/>
            </w:tcBorders>
            <w:shd w:val="clear" w:color="auto" w:fill="auto"/>
            <w:hideMark/>
          </w:tcPr>
          <w:p w14:paraId="7CAB7285"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Държавна комисия по сигурността на информацията</w:t>
            </w:r>
          </w:p>
        </w:tc>
        <w:tc>
          <w:tcPr>
            <w:tcW w:w="1660" w:type="dxa"/>
            <w:tcBorders>
              <w:top w:val="nil"/>
              <w:left w:val="nil"/>
              <w:bottom w:val="nil"/>
              <w:right w:val="nil"/>
            </w:tcBorders>
            <w:shd w:val="clear" w:color="auto" w:fill="auto"/>
            <w:noWrap/>
            <w:hideMark/>
          </w:tcPr>
          <w:p w14:paraId="585540B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11 632,7</w:t>
            </w:r>
          </w:p>
        </w:tc>
        <w:tc>
          <w:tcPr>
            <w:tcW w:w="1700" w:type="dxa"/>
            <w:tcBorders>
              <w:top w:val="nil"/>
              <w:left w:val="nil"/>
              <w:bottom w:val="nil"/>
              <w:right w:val="nil"/>
            </w:tcBorders>
            <w:shd w:val="clear" w:color="auto" w:fill="auto"/>
            <w:noWrap/>
            <w:hideMark/>
          </w:tcPr>
          <w:p w14:paraId="599FA13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11 634,0</w:t>
            </w:r>
          </w:p>
        </w:tc>
        <w:tc>
          <w:tcPr>
            <w:tcW w:w="1700" w:type="dxa"/>
            <w:tcBorders>
              <w:top w:val="nil"/>
              <w:left w:val="nil"/>
              <w:bottom w:val="nil"/>
              <w:right w:val="nil"/>
            </w:tcBorders>
            <w:shd w:val="clear" w:color="auto" w:fill="auto"/>
            <w:noWrap/>
            <w:hideMark/>
          </w:tcPr>
          <w:p w14:paraId="5BF794F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11 650,9</w:t>
            </w:r>
          </w:p>
        </w:tc>
      </w:tr>
      <w:tr w:rsidR="007C7178" w:rsidRPr="007C7178" w14:paraId="5825833D" w14:textId="77777777" w:rsidTr="007C7178">
        <w:trPr>
          <w:trHeight w:val="255"/>
        </w:trPr>
        <w:tc>
          <w:tcPr>
            <w:tcW w:w="500" w:type="dxa"/>
            <w:tcBorders>
              <w:top w:val="nil"/>
              <w:left w:val="nil"/>
              <w:bottom w:val="nil"/>
              <w:right w:val="nil"/>
            </w:tcBorders>
            <w:shd w:val="clear" w:color="auto" w:fill="auto"/>
            <w:noWrap/>
            <w:hideMark/>
          </w:tcPr>
          <w:p w14:paraId="273FDF2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39</w:t>
            </w:r>
          </w:p>
        </w:tc>
        <w:tc>
          <w:tcPr>
            <w:tcW w:w="9340" w:type="dxa"/>
            <w:tcBorders>
              <w:top w:val="nil"/>
              <w:left w:val="nil"/>
              <w:bottom w:val="nil"/>
              <w:right w:val="nil"/>
            </w:tcBorders>
            <w:shd w:val="clear" w:color="auto" w:fill="auto"/>
            <w:hideMark/>
          </w:tcPr>
          <w:p w14:paraId="58604F41"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Държавна агенция „Държавен резерв и военновременни запаси“</w:t>
            </w:r>
          </w:p>
        </w:tc>
        <w:tc>
          <w:tcPr>
            <w:tcW w:w="1660" w:type="dxa"/>
            <w:tcBorders>
              <w:top w:val="nil"/>
              <w:left w:val="nil"/>
              <w:bottom w:val="nil"/>
              <w:right w:val="nil"/>
            </w:tcBorders>
            <w:shd w:val="clear" w:color="auto" w:fill="auto"/>
            <w:noWrap/>
            <w:hideMark/>
          </w:tcPr>
          <w:p w14:paraId="01CD4F0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55 516,8</w:t>
            </w:r>
          </w:p>
        </w:tc>
        <w:tc>
          <w:tcPr>
            <w:tcW w:w="1700" w:type="dxa"/>
            <w:tcBorders>
              <w:top w:val="nil"/>
              <w:left w:val="nil"/>
              <w:bottom w:val="nil"/>
              <w:right w:val="nil"/>
            </w:tcBorders>
            <w:shd w:val="clear" w:color="auto" w:fill="auto"/>
            <w:noWrap/>
            <w:hideMark/>
          </w:tcPr>
          <w:p w14:paraId="3C5D6DE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52 306,8</w:t>
            </w:r>
          </w:p>
        </w:tc>
        <w:tc>
          <w:tcPr>
            <w:tcW w:w="1700" w:type="dxa"/>
            <w:tcBorders>
              <w:top w:val="nil"/>
              <w:left w:val="nil"/>
              <w:bottom w:val="nil"/>
              <w:right w:val="nil"/>
            </w:tcBorders>
            <w:shd w:val="clear" w:color="auto" w:fill="auto"/>
            <w:noWrap/>
            <w:hideMark/>
          </w:tcPr>
          <w:p w14:paraId="674EE14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54 890,3</w:t>
            </w:r>
          </w:p>
        </w:tc>
      </w:tr>
      <w:tr w:rsidR="007C7178" w:rsidRPr="007C7178" w14:paraId="76CEB7CF" w14:textId="77777777" w:rsidTr="007C7178">
        <w:trPr>
          <w:trHeight w:val="255"/>
        </w:trPr>
        <w:tc>
          <w:tcPr>
            <w:tcW w:w="500" w:type="dxa"/>
            <w:tcBorders>
              <w:top w:val="nil"/>
              <w:left w:val="nil"/>
              <w:bottom w:val="nil"/>
              <w:right w:val="nil"/>
            </w:tcBorders>
            <w:shd w:val="clear" w:color="auto" w:fill="auto"/>
            <w:noWrap/>
            <w:hideMark/>
          </w:tcPr>
          <w:p w14:paraId="32288D3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40</w:t>
            </w:r>
          </w:p>
        </w:tc>
        <w:tc>
          <w:tcPr>
            <w:tcW w:w="9340" w:type="dxa"/>
            <w:tcBorders>
              <w:top w:val="nil"/>
              <w:left w:val="nil"/>
              <w:bottom w:val="nil"/>
              <w:right w:val="nil"/>
            </w:tcBorders>
            <w:shd w:val="clear" w:color="auto" w:fill="auto"/>
            <w:hideMark/>
          </w:tcPr>
          <w:p w14:paraId="58BE001F"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финансов надзор</w:t>
            </w:r>
          </w:p>
        </w:tc>
        <w:tc>
          <w:tcPr>
            <w:tcW w:w="1660" w:type="dxa"/>
            <w:tcBorders>
              <w:top w:val="nil"/>
              <w:left w:val="nil"/>
              <w:bottom w:val="nil"/>
              <w:right w:val="nil"/>
            </w:tcBorders>
            <w:shd w:val="clear" w:color="auto" w:fill="auto"/>
            <w:noWrap/>
            <w:hideMark/>
          </w:tcPr>
          <w:p w14:paraId="0C17854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17 499,2</w:t>
            </w:r>
          </w:p>
        </w:tc>
        <w:tc>
          <w:tcPr>
            <w:tcW w:w="1700" w:type="dxa"/>
            <w:tcBorders>
              <w:top w:val="nil"/>
              <w:left w:val="nil"/>
              <w:bottom w:val="nil"/>
              <w:right w:val="nil"/>
            </w:tcBorders>
            <w:shd w:val="clear" w:color="auto" w:fill="auto"/>
            <w:noWrap/>
            <w:hideMark/>
          </w:tcPr>
          <w:p w14:paraId="7D5F8F8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17 953,7</w:t>
            </w:r>
          </w:p>
        </w:tc>
        <w:tc>
          <w:tcPr>
            <w:tcW w:w="1700" w:type="dxa"/>
            <w:tcBorders>
              <w:top w:val="nil"/>
              <w:left w:val="nil"/>
              <w:bottom w:val="nil"/>
              <w:right w:val="nil"/>
            </w:tcBorders>
            <w:shd w:val="clear" w:color="auto" w:fill="auto"/>
            <w:noWrap/>
            <w:hideMark/>
          </w:tcPr>
          <w:p w14:paraId="5611755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17 694,5</w:t>
            </w:r>
          </w:p>
        </w:tc>
      </w:tr>
      <w:tr w:rsidR="007C7178" w:rsidRPr="007C7178" w14:paraId="12FD7C58" w14:textId="77777777" w:rsidTr="007C7178">
        <w:trPr>
          <w:trHeight w:val="285"/>
        </w:trPr>
        <w:tc>
          <w:tcPr>
            <w:tcW w:w="500" w:type="dxa"/>
            <w:tcBorders>
              <w:top w:val="nil"/>
              <w:left w:val="nil"/>
              <w:bottom w:val="nil"/>
              <w:right w:val="nil"/>
            </w:tcBorders>
            <w:shd w:val="clear" w:color="auto" w:fill="auto"/>
            <w:noWrap/>
            <w:hideMark/>
          </w:tcPr>
          <w:p w14:paraId="736E650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41</w:t>
            </w:r>
          </w:p>
        </w:tc>
        <w:tc>
          <w:tcPr>
            <w:tcW w:w="9340" w:type="dxa"/>
            <w:tcBorders>
              <w:top w:val="nil"/>
              <w:left w:val="nil"/>
              <w:bottom w:val="nil"/>
              <w:right w:val="nil"/>
            </w:tcBorders>
            <w:shd w:val="clear" w:color="auto" w:fill="auto"/>
            <w:hideMark/>
          </w:tcPr>
          <w:p w14:paraId="6D279071"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Комисия за публичен надзор над регистрираните одитори</w:t>
            </w:r>
          </w:p>
        </w:tc>
        <w:tc>
          <w:tcPr>
            <w:tcW w:w="1660" w:type="dxa"/>
            <w:tcBorders>
              <w:top w:val="nil"/>
              <w:left w:val="nil"/>
              <w:bottom w:val="nil"/>
              <w:right w:val="nil"/>
            </w:tcBorders>
            <w:shd w:val="clear" w:color="auto" w:fill="auto"/>
            <w:noWrap/>
            <w:hideMark/>
          </w:tcPr>
          <w:p w14:paraId="21DD2E7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1 692,8</w:t>
            </w:r>
          </w:p>
        </w:tc>
        <w:tc>
          <w:tcPr>
            <w:tcW w:w="1700" w:type="dxa"/>
            <w:tcBorders>
              <w:top w:val="nil"/>
              <w:left w:val="nil"/>
              <w:bottom w:val="nil"/>
              <w:right w:val="nil"/>
            </w:tcBorders>
            <w:shd w:val="clear" w:color="auto" w:fill="auto"/>
            <w:noWrap/>
            <w:hideMark/>
          </w:tcPr>
          <w:p w14:paraId="3D4C8F5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1 592,0</w:t>
            </w:r>
          </w:p>
        </w:tc>
        <w:tc>
          <w:tcPr>
            <w:tcW w:w="1700" w:type="dxa"/>
            <w:tcBorders>
              <w:top w:val="nil"/>
              <w:left w:val="nil"/>
              <w:bottom w:val="nil"/>
              <w:right w:val="nil"/>
            </w:tcBorders>
            <w:shd w:val="clear" w:color="auto" w:fill="auto"/>
            <w:noWrap/>
            <w:hideMark/>
          </w:tcPr>
          <w:p w14:paraId="3D236C4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1 596,0</w:t>
            </w:r>
          </w:p>
        </w:tc>
      </w:tr>
      <w:tr w:rsidR="007C7178" w:rsidRPr="007C7178" w14:paraId="6E4CAA97" w14:textId="77777777" w:rsidTr="007C7178">
        <w:trPr>
          <w:trHeight w:val="255"/>
        </w:trPr>
        <w:tc>
          <w:tcPr>
            <w:tcW w:w="500" w:type="dxa"/>
            <w:tcBorders>
              <w:top w:val="nil"/>
              <w:left w:val="nil"/>
              <w:bottom w:val="nil"/>
              <w:right w:val="nil"/>
            </w:tcBorders>
            <w:shd w:val="clear" w:color="auto" w:fill="auto"/>
            <w:noWrap/>
            <w:hideMark/>
          </w:tcPr>
          <w:p w14:paraId="2197F75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42</w:t>
            </w:r>
          </w:p>
        </w:tc>
        <w:tc>
          <w:tcPr>
            <w:tcW w:w="9340" w:type="dxa"/>
            <w:tcBorders>
              <w:top w:val="nil"/>
              <w:left w:val="nil"/>
              <w:bottom w:val="nil"/>
              <w:right w:val="nil"/>
            </w:tcBorders>
            <w:shd w:val="clear" w:color="auto" w:fill="auto"/>
            <w:hideMark/>
          </w:tcPr>
          <w:p w14:paraId="5DF78C81"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Централна избирателна комисия</w:t>
            </w:r>
          </w:p>
        </w:tc>
        <w:tc>
          <w:tcPr>
            <w:tcW w:w="1660" w:type="dxa"/>
            <w:tcBorders>
              <w:top w:val="nil"/>
              <w:left w:val="nil"/>
              <w:bottom w:val="nil"/>
              <w:right w:val="nil"/>
            </w:tcBorders>
            <w:shd w:val="clear" w:color="auto" w:fill="auto"/>
            <w:noWrap/>
            <w:hideMark/>
          </w:tcPr>
          <w:p w14:paraId="7CD625E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4 546,7</w:t>
            </w:r>
          </w:p>
        </w:tc>
        <w:tc>
          <w:tcPr>
            <w:tcW w:w="1700" w:type="dxa"/>
            <w:tcBorders>
              <w:top w:val="nil"/>
              <w:left w:val="nil"/>
              <w:bottom w:val="nil"/>
              <w:right w:val="nil"/>
            </w:tcBorders>
            <w:shd w:val="clear" w:color="auto" w:fill="auto"/>
            <w:noWrap/>
            <w:hideMark/>
          </w:tcPr>
          <w:p w14:paraId="3E78DE1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4 561,7</w:t>
            </w:r>
          </w:p>
        </w:tc>
        <w:tc>
          <w:tcPr>
            <w:tcW w:w="1700" w:type="dxa"/>
            <w:tcBorders>
              <w:top w:val="nil"/>
              <w:left w:val="nil"/>
              <w:bottom w:val="nil"/>
              <w:right w:val="nil"/>
            </w:tcBorders>
            <w:shd w:val="clear" w:color="auto" w:fill="auto"/>
            <w:noWrap/>
            <w:hideMark/>
          </w:tcPr>
          <w:p w14:paraId="3DEDFE9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4 588,4</w:t>
            </w:r>
          </w:p>
        </w:tc>
      </w:tr>
      <w:tr w:rsidR="007C7178" w:rsidRPr="007C7178" w14:paraId="7413E36E" w14:textId="77777777" w:rsidTr="007C7178">
        <w:trPr>
          <w:trHeight w:val="255"/>
        </w:trPr>
        <w:tc>
          <w:tcPr>
            <w:tcW w:w="500" w:type="dxa"/>
            <w:tcBorders>
              <w:top w:val="nil"/>
              <w:left w:val="nil"/>
              <w:bottom w:val="nil"/>
              <w:right w:val="nil"/>
            </w:tcBorders>
            <w:shd w:val="clear" w:color="auto" w:fill="auto"/>
            <w:noWrap/>
            <w:hideMark/>
          </w:tcPr>
          <w:p w14:paraId="0E39447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43</w:t>
            </w:r>
          </w:p>
        </w:tc>
        <w:tc>
          <w:tcPr>
            <w:tcW w:w="9340" w:type="dxa"/>
            <w:tcBorders>
              <w:top w:val="nil"/>
              <w:left w:val="nil"/>
              <w:bottom w:val="nil"/>
              <w:right w:val="nil"/>
            </w:tcBorders>
            <w:shd w:val="clear" w:color="auto" w:fill="auto"/>
            <w:hideMark/>
          </w:tcPr>
          <w:p w14:paraId="46053CF6"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Държавен фонд „Земеделие“</w:t>
            </w:r>
          </w:p>
        </w:tc>
        <w:tc>
          <w:tcPr>
            <w:tcW w:w="1660" w:type="dxa"/>
            <w:tcBorders>
              <w:top w:val="nil"/>
              <w:left w:val="nil"/>
              <w:bottom w:val="nil"/>
              <w:right w:val="nil"/>
            </w:tcBorders>
            <w:shd w:val="clear" w:color="auto" w:fill="auto"/>
            <w:noWrap/>
            <w:hideMark/>
          </w:tcPr>
          <w:p w14:paraId="5200832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284 195,1</w:t>
            </w:r>
          </w:p>
        </w:tc>
        <w:tc>
          <w:tcPr>
            <w:tcW w:w="1700" w:type="dxa"/>
            <w:tcBorders>
              <w:top w:val="nil"/>
              <w:left w:val="nil"/>
              <w:bottom w:val="nil"/>
              <w:right w:val="nil"/>
            </w:tcBorders>
            <w:shd w:val="clear" w:color="auto" w:fill="auto"/>
            <w:noWrap/>
            <w:hideMark/>
          </w:tcPr>
          <w:p w14:paraId="78B37A0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284 376,6</w:t>
            </w:r>
          </w:p>
        </w:tc>
        <w:tc>
          <w:tcPr>
            <w:tcW w:w="1700" w:type="dxa"/>
            <w:tcBorders>
              <w:top w:val="nil"/>
              <w:left w:val="nil"/>
              <w:bottom w:val="nil"/>
              <w:right w:val="nil"/>
            </w:tcBorders>
            <w:shd w:val="clear" w:color="auto" w:fill="auto"/>
            <w:noWrap/>
            <w:hideMark/>
          </w:tcPr>
          <w:p w14:paraId="185E489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285 168,8</w:t>
            </w:r>
          </w:p>
        </w:tc>
      </w:tr>
      <w:tr w:rsidR="007C7178" w:rsidRPr="007C7178" w14:paraId="4B24DC1A" w14:textId="77777777" w:rsidTr="007C7178">
        <w:trPr>
          <w:trHeight w:val="255"/>
        </w:trPr>
        <w:tc>
          <w:tcPr>
            <w:tcW w:w="500" w:type="dxa"/>
            <w:tcBorders>
              <w:top w:val="nil"/>
              <w:left w:val="nil"/>
              <w:bottom w:val="nil"/>
              <w:right w:val="nil"/>
            </w:tcBorders>
            <w:shd w:val="clear" w:color="auto" w:fill="auto"/>
            <w:noWrap/>
            <w:hideMark/>
          </w:tcPr>
          <w:p w14:paraId="3A08E89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44</w:t>
            </w:r>
          </w:p>
        </w:tc>
        <w:tc>
          <w:tcPr>
            <w:tcW w:w="9340" w:type="dxa"/>
            <w:tcBorders>
              <w:top w:val="nil"/>
              <w:left w:val="nil"/>
              <w:bottom w:val="nil"/>
              <w:right w:val="nil"/>
            </w:tcBorders>
            <w:shd w:val="clear" w:color="auto" w:fill="auto"/>
            <w:hideMark/>
          </w:tcPr>
          <w:p w14:paraId="02D01652"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Национално бюро за контрол на специалните разузнавателни средства</w:t>
            </w:r>
          </w:p>
        </w:tc>
        <w:tc>
          <w:tcPr>
            <w:tcW w:w="1660" w:type="dxa"/>
            <w:tcBorders>
              <w:top w:val="nil"/>
              <w:left w:val="nil"/>
              <w:bottom w:val="nil"/>
              <w:right w:val="nil"/>
            </w:tcBorders>
            <w:shd w:val="clear" w:color="auto" w:fill="auto"/>
            <w:noWrap/>
            <w:hideMark/>
          </w:tcPr>
          <w:p w14:paraId="03F4E80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1 346,6</w:t>
            </w:r>
          </w:p>
        </w:tc>
        <w:tc>
          <w:tcPr>
            <w:tcW w:w="1700" w:type="dxa"/>
            <w:tcBorders>
              <w:top w:val="nil"/>
              <w:left w:val="nil"/>
              <w:bottom w:val="nil"/>
              <w:right w:val="nil"/>
            </w:tcBorders>
            <w:shd w:val="clear" w:color="auto" w:fill="auto"/>
            <w:noWrap/>
            <w:hideMark/>
          </w:tcPr>
          <w:p w14:paraId="6575729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1 343,7</w:t>
            </w:r>
          </w:p>
        </w:tc>
        <w:tc>
          <w:tcPr>
            <w:tcW w:w="1700" w:type="dxa"/>
            <w:tcBorders>
              <w:top w:val="nil"/>
              <w:left w:val="nil"/>
              <w:bottom w:val="nil"/>
              <w:right w:val="nil"/>
            </w:tcBorders>
            <w:shd w:val="clear" w:color="auto" w:fill="auto"/>
            <w:noWrap/>
            <w:hideMark/>
          </w:tcPr>
          <w:p w14:paraId="65BAD25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1 358,7</w:t>
            </w:r>
          </w:p>
        </w:tc>
      </w:tr>
      <w:tr w:rsidR="007C7178" w:rsidRPr="007C7178" w14:paraId="1173C07F" w14:textId="77777777" w:rsidTr="007C7178">
        <w:trPr>
          <w:trHeight w:val="255"/>
        </w:trPr>
        <w:tc>
          <w:tcPr>
            <w:tcW w:w="500" w:type="dxa"/>
            <w:tcBorders>
              <w:top w:val="nil"/>
              <w:left w:val="nil"/>
              <w:bottom w:val="nil"/>
              <w:right w:val="nil"/>
            </w:tcBorders>
            <w:shd w:val="clear" w:color="auto" w:fill="auto"/>
            <w:noWrap/>
            <w:hideMark/>
          </w:tcPr>
          <w:p w14:paraId="601CB2A0"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45</w:t>
            </w:r>
          </w:p>
        </w:tc>
        <w:tc>
          <w:tcPr>
            <w:tcW w:w="9340" w:type="dxa"/>
            <w:tcBorders>
              <w:top w:val="nil"/>
              <w:left w:val="nil"/>
              <w:bottom w:val="nil"/>
              <w:right w:val="nil"/>
            </w:tcBorders>
            <w:shd w:val="clear" w:color="auto" w:fill="auto"/>
            <w:hideMark/>
          </w:tcPr>
          <w:p w14:paraId="47FD9484"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Държавна агенция „Технически операции“</w:t>
            </w:r>
          </w:p>
        </w:tc>
        <w:tc>
          <w:tcPr>
            <w:tcW w:w="1660" w:type="dxa"/>
            <w:tcBorders>
              <w:top w:val="nil"/>
              <w:left w:val="nil"/>
              <w:bottom w:val="nil"/>
              <w:right w:val="nil"/>
            </w:tcBorders>
            <w:shd w:val="clear" w:color="auto" w:fill="auto"/>
            <w:noWrap/>
            <w:hideMark/>
          </w:tcPr>
          <w:p w14:paraId="6637777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85 725,9</w:t>
            </w:r>
          </w:p>
        </w:tc>
        <w:tc>
          <w:tcPr>
            <w:tcW w:w="1700" w:type="dxa"/>
            <w:tcBorders>
              <w:top w:val="nil"/>
              <w:left w:val="nil"/>
              <w:bottom w:val="nil"/>
              <w:right w:val="nil"/>
            </w:tcBorders>
            <w:shd w:val="clear" w:color="auto" w:fill="auto"/>
            <w:noWrap/>
            <w:hideMark/>
          </w:tcPr>
          <w:p w14:paraId="78EF4FE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87 146,7</w:t>
            </w:r>
          </w:p>
        </w:tc>
        <w:tc>
          <w:tcPr>
            <w:tcW w:w="1700" w:type="dxa"/>
            <w:tcBorders>
              <w:top w:val="nil"/>
              <w:left w:val="nil"/>
              <w:bottom w:val="nil"/>
              <w:right w:val="nil"/>
            </w:tcBorders>
            <w:shd w:val="clear" w:color="auto" w:fill="auto"/>
            <w:noWrap/>
            <w:hideMark/>
          </w:tcPr>
          <w:p w14:paraId="0FD8F67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89 706,2</w:t>
            </w:r>
          </w:p>
        </w:tc>
      </w:tr>
      <w:tr w:rsidR="007C7178" w:rsidRPr="007C7178" w14:paraId="7049D125" w14:textId="77777777" w:rsidTr="007C7178">
        <w:trPr>
          <w:trHeight w:val="255"/>
        </w:trPr>
        <w:tc>
          <w:tcPr>
            <w:tcW w:w="500" w:type="dxa"/>
            <w:tcBorders>
              <w:top w:val="nil"/>
              <w:left w:val="nil"/>
              <w:bottom w:val="nil"/>
              <w:right w:val="nil"/>
            </w:tcBorders>
            <w:shd w:val="clear" w:color="auto" w:fill="auto"/>
            <w:noWrap/>
            <w:hideMark/>
          </w:tcPr>
          <w:p w14:paraId="20AC816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46</w:t>
            </w:r>
          </w:p>
        </w:tc>
        <w:tc>
          <w:tcPr>
            <w:tcW w:w="9340" w:type="dxa"/>
            <w:tcBorders>
              <w:top w:val="nil"/>
              <w:left w:val="nil"/>
              <w:bottom w:val="nil"/>
              <w:right w:val="nil"/>
            </w:tcBorders>
            <w:shd w:val="clear" w:color="auto" w:fill="auto"/>
            <w:hideMark/>
          </w:tcPr>
          <w:p w14:paraId="14EC5DC0"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Сметна палата</w:t>
            </w:r>
          </w:p>
        </w:tc>
        <w:tc>
          <w:tcPr>
            <w:tcW w:w="1660" w:type="dxa"/>
            <w:tcBorders>
              <w:top w:val="nil"/>
              <w:left w:val="nil"/>
              <w:bottom w:val="nil"/>
              <w:right w:val="nil"/>
            </w:tcBorders>
            <w:shd w:val="clear" w:color="auto" w:fill="auto"/>
            <w:noWrap/>
            <w:hideMark/>
          </w:tcPr>
          <w:p w14:paraId="4AD55DB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19 986,1</w:t>
            </w:r>
          </w:p>
        </w:tc>
        <w:tc>
          <w:tcPr>
            <w:tcW w:w="1700" w:type="dxa"/>
            <w:tcBorders>
              <w:top w:val="nil"/>
              <w:left w:val="nil"/>
              <w:bottom w:val="nil"/>
              <w:right w:val="nil"/>
            </w:tcBorders>
            <w:shd w:val="clear" w:color="auto" w:fill="auto"/>
            <w:noWrap/>
            <w:hideMark/>
          </w:tcPr>
          <w:p w14:paraId="76796D4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20 543,7</w:t>
            </w:r>
          </w:p>
        </w:tc>
        <w:tc>
          <w:tcPr>
            <w:tcW w:w="1700" w:type="dxa"/>
            <w:tcBorders>
              <w:top w:val="nil"/>
              <w:left w:val="nil"/>
              <w:bottom w:val="nil"/>
              <w:right w:val="nil"/>
            </w:tcBorders>
            <w:shd w:val="clear" w:color="auto" w:fill="auto"/>
            <w:noWrap/>
            <w:hideMark/>
          </w:tcPr>
          <w:p w14:paraId="2B622C4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20 703,9</w:t>
            </w:r>
          </w:p>
        </w:tc>
      </w:tr>
      <w:tr w:rsidR="007C7178" w:rsidRPr="007C7178" w14:paraId="3AEBEC36" w14:textId="77777777" w:rsidTr="007C7178">
        <w:trPr>
          <w:trHeight w:val="255"/>
        </w:trPr>
        <w:tc>
          <w:tcPr>
            <w:tcW w:w="500" w:type="dxa"/>
            <w:tcBorders>
              <w:top w:val="nil"/>
              <w:left w:val="nil"/>
              <w:bottom w:val="nil"/>
              <w:right w:val="nil"/>
            </w:tcBorders>
            <w:shd w:val="clear" w:color="auto" w:fill="auto"/>
            <w:noWrap/>
            <w:hideMark/>
          </w:tcPr>
          <w:p w14:paraId="5AE9767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47</w:t>
            </w:r>
          </w:p>
        </w:tc>
        <w:tc>
          <w:tcPr>
            <w:tcW w:w="9340" w:type="dxa"/>
            <w:tcBorders>
              <w:top w:val="nil"/>
              <w:left w:val="nil"/>
              <w:bottom w:val="nil"/>
              <w:right w:val="nil"/>
            </w:tcBorders>
            <w:shd w:val="clear" w:color="auto" w:fill="auto"/>
            <w:hideMark/>
          </w:tcPr>
          <w:p w14:paraId="4972C783"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Национален осигурителен институт</w:t>
            </w:r>
          </w:p>
        </w:tc>
        <w:tc>
          <w:tcPr>
            <w:tcW w:w="1660" w:type="dxa"/>
            <w:tcBorders>
              <w:top w:val="nil"/>
              <w:left w:val="nil"/>
              <w:bottom w:val="nil"/>
              <w:right w:val="nil"/>
            </w:tcBorders>
            <w:shd w:val="clear" w:color="auto" w:fill="auto"/>
            <w:noWrap/>
            <w:hideMark/>
          </w:tcPr>
          <w:p w14:paraId="535CD85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15 255 755,5</w:t>
            </w:r>
          </w:p>
        </w:tc>
        <w:tc>
          <w:tcPr>
            <w:tcW w:w="1700" w:type="dxa"/>
            <w:tcBorders>
              <w:top w:val="nil"/>
              <w:left w:val="nil"/>
              <w:bottom w:val="nil"/>
              <w:right w:val="nil"/>
            </w:tcBorders>
            <w:shd w:val="clear" w:color="auto" w:fill="auto"/>
            <w:noWrap/>
            <w:hideMark/>
          </w:tcPr>
          <w:p w14:paraId="2BE43CB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16 344 187,3</w:t>
            </w:r>
          </w:p>
        </w:tc>
        <w:tc>
          <w:tcPr>
            <w:tcW w:w="1700" w:type="dxa"/>
            <w:tcBorders>
              <w:top w:val="nil"/>
              <w:left w:val="nil"/>
              <w:bottom w:val="nil"/>
              <w:right w:val="nil"/>
            </w:tcBorders>
            <w:shd w:val="clear" w:color="auto" w:fill="auto"/>
            <w:noWrap/>
            <w:hideMark/>
          </w:tcPr>
          <w:p w14:paraId="6DFA6B1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17 251 706,1</w:t>
            </w:r>
          </w:p>
        </w:tc>
      </w:tr>
      <w:tr w:rsidR="007C7178" w:rsidRPr="007C7178" w14:paraId="1210B0EB" w14:textId="77777777" w:rsidTr="007C7178">
        <w:trPr>
          <w:trHeight w:val="255"/>
        </w:trPr>
        <w:tc>
          <w:tcPr>
            <w:tcW w:w="500" w:type="dxa"/>
            <w:tcBorders>
              <w:top w:val="nil"/>
              <w:left w:val="nil"/>
              <w:bottom w:val="nil"/>
              <w:right w:val="nil"/>
            </w:tcBorders>
            <w:shd w:val="clear" w:color="auto" w:fill="auto"/>
            <w:noWrap/>
            <w:hideMark/>
          </w:tcPr>
          <w:p w14:paraId="07D1A1C5" w14:textId="77777777" w:rsidR="007C7178" w:rsidRPr="007C7178" w:rsidRDefault="007C7178" w:rsidP="007C7178">
            <w:pPr>
              <w:spacing w:after="0"/>
              <w:jc w:val="right"/>
              <w:rPr>
                <w:rFonts w:eastAsia="Times New Roman" w:cs="Times New Roman"/>
                <w:sz w:val="20"/>
                <w:szCs w:val="20"/>
              </w:rPr>
            </w:pPr>
          </w:p>
        </w:tc>
        <w:tc>
          <w:tcPr>
            <w:tcW w:w="9340" w:type="dxa"/>
            <w:tcBorders>
              <w:top w:val="nil"/>
              <w:left w:val="nil"/>
              <w:bottom w:val="nil"/>
              <w:right w:val="nil"/>
            </w:tcBorders>
            <w:shd w:val="clear" w:color="auto" w:fill="auto"/>
            <w:hideMark/>
          </w:tcPr>
          <w:p w14:paraId="1037C75B" w14:textId="77777777" w:rsidR="007C7178" w:rsidRPr="007C7178" w:rsidRDefault="007C7178" w:rsidP="007C7178">
            <w:pPr>
              <w:spacing w:after="0"/>
              <w:ind w:firstLineChars="200" w:firstLine="400"/>
              <w:jc w:val="left"/>
              <w:rPr>
                <w:rFonts w:eastAsia="Times New Roman" w:cs="Times New Roman"/>
                <w:sz w:val="20"/>
                <w:szCs w:val="20"/>
              </w:rPr>
            </w:pPr>
            <w:r w:rsidRPr="007C7178">
              <w:rPr>
                <w:rFonts w:eastAsia="Times New Roman" w:cs="Times New Roman"/>
                <w:sz w:val="20"/>
                <w:szCs w:val="20"/>
              </w:rPr>
              <w:t>в т.ч. Пенсии</w:t>
            </w:r>
          </w:p>
        </w:tc>
        <w:tc>
          <w:tcPr>
            <w:tcW w:w="1660" w:type="dxa"/>
            <w:tcBorders>
              <w:top w:val="nil"/>
              <w:left w:val="nil"/>
              <w:bottom w:val="nil"/>
              <w:right w:val="nil"/>
            </w:tcBorders>
            <w:shd w:val="clear" w:color="auto" w:fill="auto"/>
            <w:noWrap/>
            <w:hideMark/>
          </w:tcPr>
          <w:p w14:paraId="46E797C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13 421 600,0</w:t>
            </w:r>
          </w:p>
        </w:tc>
        <w:tc>
          <w:tcPr>
            <w:tcW w:w="1700" w:type="dxa"/>
            <w:tcBorders>
              <w:top w:val="nil"/>
              <w:left w:val="nil"/>
              <w:bottom w:val="nil"/>
              <w:right w:val="nil"/>
            </w:tcBorders>
            <w:shd w:val="clear" w:color="auto" w:fill="auto"/>
            <w:noWrap/>
            <w:hideMark/>
          </w:tcPr>
          <w:p w14:paraId="3DB7274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14 425 000,0</w:t>
            </w:r>
          </w:p>
        </w:tc>
        <w:tc>
          <w:tcPr>
            <w:tcW w:w="1700" w:type="dxa"/>
            <w:tcBorders>
              <w:top w:val="nil"/>
              <w:left w:val="nil"/>
              <w:bottom w:val="nil"/>
              <w:right w:val="nil"/>
            </w:tcBorders>
            <w:shd w:val="clear" w:color="auto" w:fill="auto"/>
            <w:noWrap/>
            <w:hideMark/>
          </w:tcPr>
          <w:p w14:paraId="3669C0A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15 282 900,0</w:t>
            </w:r>
          </w:p>
        </w:tc>
      </w:tr>
      <w:tr w:rsidR="007C7178" w:rsidRPr="007C7178" w14:paraId="266D20A9" w14:textId="77777777" w:rsidTr="007C7178">
        <w:trPr>
          <w:trHeight w:val="300"/>
        </w:trPr>
        <w:tc>
          <w:tcPr>
            <w:tcW w:w="500" w:type="dxa"/>
            <w:tcBorders>
              <w:top w:val="nil"/>
              <w:left w:val="nil"/>
              <w:bottom w:val="nil"/>
              <w:right w:val="nil"/>
            </w:tcBorders>
            <w:shd w:val="clear" w:color="auto" w:fill="auto"/>
            <w:noWrap/>
            <w:hideMark/>
          </w:tcPr>
          <w:p w14:paraId="255FF09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48</w:t>
            </w:r>
          </w:p>
        </w:tc>
        <w:tc>
          <w:tcPr>
            <w:tcW w:w="9340" w:type="dxa"/>
            <w:tcBorders>
              <w:top w:val="nil"/>
              <w:left w:val="nil"/>
              <w:bottom w:val="nil"/>
              <w:right w:val="nil"/>
            </w:tcBorders>
            <w:shd w:val="clear" w:color="auto" w:fill="auto"/>
            <w:hideMark/>
          </w:tcPr>
          <w:p w14:paraId="6C9D22FF"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Фонд „Гарантирани вземания на работниците и служителите“</w:t>
            </w:r>
          </w:p>
        </w:tc>
        <w:tc>
          <w:tcPr>
            <w:tcW w:w="1660" w:type="dxa"/>
            <w:tcBorders>
              <w:top w:val="nil"/>
              <w:left w:val="nil"/>
              <w:bottom w:val="nil"/>
              <w:right w:val="nil"/>
            </w:tcBorders>
            <w:shd w:val="clear" w:color="auto" w:fill="auto"/>
            <w:noWrap/>
            <w:hideMark/>
          </w:tcPr>
          <w:p w14:paraId="63548A8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2 491,9</w:t>
            </w:r>
          </w:p>
        </w:tc>
        <w:tc>
          <w:tcPr>
            <w:tcW w:w="1700" w:type="dxa"/>
            <w:tcBorders>
              <w:top w:val="nil"/>
              <w:left w:val="nil"/>
              <w:bottom w:val="nil"/>
              <w:right w:val="nil"/>
            </w:tcBorders>
            <w:shd w:val="clear" w:color="auto" w:fill="auto"/>
            <w:noWrap/>
            <w:hideMark/>
          </w:tcPr>
          <w:p w14:paraId="3D53E4B7"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2 497,4</w:t>
            </w:r>
          </w:p>
        </w:tc>
        <w:tc>
          <w:tcPr>
            <w:tcW w:w="1700" w:type="dxa"/>
            <w:tcBorders>
              <w:top w:val="nil"/>
              <w:left w:val="nil"/>
              <w:bottom w:val="nil"/>
              <w:right w:val="nil"/>
            </w:tcBorders>
            <w:shd w:val="clear" w:color="auto" w:fill="auto"/>
            <w:noWrap/>
            <w:hideMark/>
          </w:tcPr>
          <w:p w14:paraId="567A21B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2 491,6</w:t>
            </w:r>
          </w:p>
        </w:tc>
      </w:tr>
      <w:tr w:rsidR="007C7178" w:rsidRPr="007C7178" w14:paraId="72238384" w14:textId="77777777" w:rsidTr="007C7178">
        <w:trPr>
          <w:trHeight w:val="255"/>
        </w:trPr>
        <w:tc>
          <w:tcPr>
            <w:tcW w:w="500" w:type="dxa"/>
            <w:tcBorders>
              <w:top w:val="nil"/>
              <w:left w:val="nil"/>
              <w:bottom w:val="nil"/>
              <w:right w:val="nil"/>
            </w:tcBorders>
            <w:shd w:val="clear" w:color="auto" w:fill="auto"/>
            <w:noWrap/>
            <w:hideMark/>
          </w:tcPr>
          <w:p w14:paraId="438AB46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49</w:t>
            </w:r>
          </w:p>
        </w:tc>
        <w:tc>
          <w:tcPr>
            <w:tcW w:w="9340" w:type="dxa"/>
            <w:tcBorders>
              <w:top w:val="nil"/>
              <w:left w:val="nil"/>
              <w:bottom w:val="nil"/>
              <w:right w:val="nil"/>
            </w:tcBorders>
            <w:shd w:val="clear" w:color="auto" w:fill="auto"/>
            <w:hideMark/>
          </w:tcPr>
          <w:p w14:paraId="3B38D347"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Учителски пенсионен фонд</w:t>
            </w:r>
          </w:p>
        </w:tc>
        <w:tc>
          <w:tcPr>
            <w:tcW w:w="1660" w:type="dxa"/>
            <w:tcBorders>
              <w:top w:val="nil"/>
              <w:left w:val="nil"/>
              <w:bottom w:val="nil"/>
              <w:right w:val="nil"/>
            </w:tcBorders>
            <w:shd w:val="clear" w:color="auto" w:fill="auto"/>
            <w:noWrap/>
            <w:hideMark/>
          </w:tcPr>
          <w:p w14:paraId="0E0E132D"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73 305,0</w:t>
            </w:r>
          </w:p>
        </w:tc>
        <w:tc>
          <w:tcPr>
            <w:tcW w:w="1700" w:type="dxa"/>
            <w:tcBorders>
              <w:top w:val="nil"/>
              <w:left w:val="nil"/>
              <w:bottom w:val="nil"/>
              <w:right w:val="nil"/>
            </w:tcBorders>
            <w:shd w:val="clear" w:color="auto" w:fill="auto"/>
            <w:noWrap/>
            <w:hideMark/>
          </w:tcPr>
          <w:p w14:paraId="4D026AA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86 910,0</w:t>
            </w:r>
          </w:p>
        </w:tc>
        <w:tc>
          <w:tcPr>
            <w:tcW w:w="1700" w:type="dxa"/>
            <w:tcBorders>
              <w:top w:val="nil"/>
              <w:left w:val="nil"/>
              <w:bottom w:val="nil"/>
              <w:right w:val="nil"/>
            </w:tcBorders>
            <w:shd w:val="clear" w:color="auto" w:fill="auto"/>
            <w:noWrap/>
            <w:hideMark/>
          </w:tcPr>
          <w:p w14:paraId="70C2898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101 102,6</w:t>
            </w:r>
          </w:p>
        </w:tc>
      </w:tr>
      <w:tr w:rsidR="007C7178" w:rsidRPr="007C7178" w14:paraId="3B366748" w14:textId="77777777" w:rsidTr="007C7178">
        <w:trPr>
          <w:trHeight w:val="255"/>
        </w:trPr>
        <w:tc>
          <w:tcPr>
            <w:tcW w:w="500" w:type="dxa"/>
            <w:tcBorders>
              <w:top w:val="nil"/>
              <w:left w:val="nil"/>
              <w:bottom w:val="single" w:sz="4" w:space="0" w:color="auto"/>
              <w:right w:val="nil"/>
            </w:tcBorders>
            <w:shd w:val="clear" w:color="auto" w:fill="auto"/>
            <w:noWrap/>
            <w:hideMark/>
          </w:tcPr>
          <w:p w14:paraId="5779600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50</w:t>
            </w:r>
          </w:p>
        </w:tc>
        <w:tc>
          <w:tcPr>
            <w:tcW w:w="9340" w:type="dxa"/>
            <w:tcBorders>
              <w:top w:val="nil"/>
              <w:left w:val="nil"/>
              <w:bottom w:val="single" w:sz="4" w:space="0" w:color="auto"/>
              <w:right w:val="nil"/>
            </w:tcBorders>
            <w:shd w:val="clear" w:color="auto" w:fill="auto"/>
            <w:hideMark/>
          </w:tcPr>
          <w:p w14:paraId="6666D1B9"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Национална здравноосигурителна каса</w:t>
            </w:r>
          </w:p>
        </w:tc>
        <w:tc>
          <w:tcPr>
            <w:tcW w:w="1660" w:type="dxa"/>
            <w:tcBorders>
              <w:top w:val="nil"/>
              <w:left w:val="nil"/>
              <w:bottom w:val="single" w:sz="4" w:space="0" w:color="auto"/>
              <w:right w:val="nil"/>
            </w:tcBorders>
            <w:shd w:val="clear" w:color="auto" w:fill="auto"/>
            <w:noWrap/>
            <w:hideMark/>
          </w:tcPr>
          <w:p w14:paraId="1188A1D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5 288 595,5</w:t>
            </w:r>
          </w:p>
        </w:tc>
        <w:tc>
          <w:tcPr>
            <w:tcW w:w="1700" w:type="dxa"/>
            <w:tcBorders>
              <w:top w:val="nil"/>
              <w:left w:val="nil"/>
              <w:bottom w:val="single" w:sz="4" w:space="0" w:color="auto"/>
              <w:right w:val="nil"/>
            </w:tcBorders>
            <w:shd w:val="clear" w:color="auto" w:fill="auto"/>
            <w:noWrap/>
            <w:hideMark/>
          </w:tcPr>
          <w:p w14:paraId="41B583B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5 529 656,4</w:t>
            </w:r>
          </w:p>
        </w:tc>
        <w:tc>
          <w:tcPr>
            <w:tcW w:w="1700" w:type="dxa"/>
            <w:tcBorders>
              <w:top w:val="nil"/>
              <w:left w:val="nil"/>
              <w:bottom w:val="single" w:sz="4" w:space="0" w:color="auto"/>
              <w:right w:val="nil"/>
            </w:tcBorders>
            <w:shd w:val="clear" w:color="auto" w:fill="auto"/>
            <w:noWrap/>
            <w:hideMark/>
          </w:tcPr>
          <w:p w14:paraId="6B8A7EF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5 745 554,7</w:t>
            </w:r>
          </w:p>
        </w:tc>
      </w:tr>
    </w:tbl>
    <w:p w14:paraId="312517FD" w14:textId="77777777" w:rsidR="007C7178" w:rsidRDefault="007C7178" w:rsidP="00516A01">
      <w:pPr>
        <w:spacing w:after="120"/>
        <w:jc w:val="right"/>
        <w:rPr>
          <w:rFonts w:eastAsia="Times New Roman" w:cs="Times New Roman"/>
          <w:b/>
          <w:bCs/>
          <w:sz w:val="20"/>
          <w:szCs w:val="20"/>
        </w:rPr>
      </w:pPr>
    </w:p>
    <w:p w14:paraId="77160EC9" w14:textId="77777777" w:rsidR="007C7178" w:rsidRDefault="007C7178" w:rsidP="00516A01">
      <w:pPr>
        <w:spacing w:after="120"/>
        <w:jc w:val="right"/>
        <w:rPr>
          <w:rFonts w:eastAsia="Times New Roman" w:cs="Times New Roman"/>
          <w:b/>
          <w:bCs/>
          <w:sz w:val="20"/>
          <w:szCs w:val="20"/>
        </w:rPr>
      </w:pPr>
    </w:p>
    <w:p w14:paraId="244238F8" w14:textId="77777777" w:rsidR="00780AC6" w:rsidRDefault="00780AC6" w:rsidP="00516A01">
      <w:pPr>
        <w:spacing w:after="120"/>
        <w:jc w:val="right"/>
        <w:rPr>
          <w:rFonts w:eastAsia="Times New Roman" w:cs="Times New Roman"/>
          <w:b/>
          <w:bCs/>
          <w:sz w:val="20"/>
          <w:szCs w:val="20"/>
        </w:rPr>
      </w:pPr>
    </w:p>
    <w:p w14:paraId="1B9056FD" w14:textId="77777777" w:rsidR="00780AC6" w:rsidRDefault="00780AC6" w:rsidP="00516A01">
      <w:pPr>
        <w:spacing w:after="120"/>
        <w:jc w:val="right"/>
        <w:rPr>
          <w:rFonts w:eastAsia="Times New Roman" w:cs="Times New Roman"/>
          <w:b/>
          <w:bCs/>
          <w:sz w:val="20"/>
          <w:szCs w:val="20"/>
        </w:rPr>
      </w:pPr>
    </w:p>
    <w:p w14:paraId="0B65FA09" w14:textId="77777777" w:rsidR="006515F0" w:rsidRDefault="006515F0" w:rsidP="00516A01">
      <w:pPr>
        <w:spacing w:after="120"/>
        <w:jc w:val="right"/>
        <w:rPr>
          <w:rFonts w:eastAsia="Times New Roman" w:cs="Times New Roman"/>
          <w:b/>
          <w:bCs/>
          <w:sz w:val="20"/>
          <w:szCs w:val="20"/>
        </w:rPr>
      </w:pPr>
    </w:p>
    <w:p w14:paraId="6235E1BE" w14:textId="77777777" w:rsidR="006515F0" w:rsidRPr="00516A01" w:rsidRDefault="006515F0" w:rsidP="00516A01">
      <w:pPr>
        <w:spacing w:after="120"/>
        <w:jc w:val="right"/>
      </w:pPr>
    </w:p>
    <w:p w14:paraId="482211E3" w14:textId="77777777" w:rsidR="00516A01" w:rsidRPr="00516A01" w:rsidRDefault="00516A01" w:rsidP="00516A01"/>
    <w:p w14:paraId="5E14FF77" w14:textId="77777777" w:rsidR="005A4DF1" w:rsidRPr="005A4DF1" w:rsidRDefault="005A4DF1" w:rsidP="005A4DF1"/>
    <w:p w14:paraId="66995570" w14:textId="77777777" w:rsidR="00576C39" w:rsidRPr="00AA3F66" w:rsidRDefault="00576C39">
      <w:pPr>
        <w:spacing w:line="276" w:lineRule="auto"/>
        <w:jc w:val="left"/>
        <w:rPr>
          <w:sz w:val="20"/>
          <w:szCs w:val="20"/>
        </w:rPr>
      </w:pPr>
      <w:r w:rsidRPr="00AA3F66">
        <w:rPr>
          <w:sz w:val="20"/>
          <w:szCs w:val="20"/>
        </w:rPr>
        <w:br w:type="page"/>
      </w:r>
    </w:p>
    <w:p w14:paraId="236FA865" w14:textId="77777777" w:rsidR="002B149E" w:rsidRDefault="002B149E" w:rsidP="00DE6798">
      <w:pPr>
        <w:pStyle w:val="Heading2"/>
      </w:pPr>
      <w:bookmarkStart w:id="587" w:name="_Toc464224827"/>
      <w:bookmarkStart w:id="588" w:name="_Toc464225477"/>
      <w:bookmarkStart w:id="589" w:name="_Toc464459024"/>
      <w:bookmarkStart w:id="590" w:name="_Toc464459772"/>
      <w:bookmarkStart w:id="591" w:name="_Toc464460725"/>
      <w:bookmarkStart w:id="592" w:name="_Toc464463124"/>
      <w:bookmarkStart w:id="593" w:name="_Toc464464953"/>
      <w:bookmarkStart w:id="594" w:name="_Toc464465460"/>
      <w:bookmarkStart w:id="595" w:name="_Toc464465648"/>
      <w:bookmarkStart w:id="596" w:name="_Toc464466472"/>
      <w:bookmarkStart w:id="597" w:name="_Toc464466715"/>
      <w:bookmarkStart w:id="598" w:name="_Toc464645432"/>
      <w:bookmarkStart w:id="599" w:name="_Toc465205590"/>
      <w:bookmarkStart w:id="600" w:name="_Toc216029379"/>
      <w:r w:rsidRPr="00AA3F66">
        <w:lastRenderedPageBreak/>
        <w:t xml:space="preserve">Приложение № 5: </w:t>
      </w:r>
      <w:r w:rsidR="006F7FE4" w:rsidRPr="00AA3F66">
        <w:br/>
      </w:r>
      <w:r w:rsidRPr="00AA3F66">
        <w:t>Препоръчителни тавани на разходите по бюджетите на Народното събрание и н</w:t>
      </w:r>
      <w:r w:rsidR="00931F81" w:rsidRPr="00AA3F66">
        <w:t>а</w:t>
      </w:r>
      <w:r w:rsidR="003B3137">
        <w:t xml:space="preserve"> съдебната власт за периода 2026</w:t>
      </w:r>
      <w:r w:rsidR="004A6349">
        <w:t>-2028</w:t>
      </w:r>
      <w:r w:rsidR="00AA3035" w:rsidRPr="00AA3F66">
        <w:t> г.</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0D9BE417" w14:textId="77777777" w:rsidR="00F00D84" w:rsidRDefault="00F00D84" w:rsidP="00F00D84">
      <w:pPr>
        <w:spacing w:after="120"/>
        <w:jc w:val="right"/>
        <w:rPr>
          <w:rFonts w:eastAsia="Times New Roman" w:cs="Times New Roman"/>
          <w:b/>
          <w:bCs/>
          <w:sz w:val="20"/>
          <w:szCs w:val="20"/>
        </w:rPr>
      </w:pPr>
      <w:r w:rsidRPr="00844EF7">
        <w:rPr>
          <w:rFonts w:eastAsia="Times New Roman" w:cs="Times New Roman"/>
          <w:b/>
          <w:bCs/>
          <w:sz w:val="20"/>
          <w:szCs w:val="20"/>
        </w:rPr>
        <w:t>(в хил. евро)</w:t>
      </w:r>
    </w:p>
    <w:tbl>
      <w:tblPr>
        <w:tblW w:w="14981" w:type="dxa"/>
        <w:tblCellMar>
          <w:left w:w="70" w:type="dxa"/>
          <w:right w:w="70" w:type="dxa"/>
        </w:tblCellMar>
        <w:tblLook w:val="04A0" w:firstRow="1" w:lastRow="0" w:firstColumn="1" w:lastColumn="0" w:noHBand="0" w:noVBand="1"/>
      </w:tblPr>
      <w:tblGrid>
        <w:gridCol w:w="460"/>
        <w:gridCol w:w="9321"/>
        <w:gridCol w:w="1840"/>
        <w:gridCol w:w="1680"/>
        <w:gridCol w:w="1680"/>
      </w:tblGrid>
      <w:tr w:rsidR="00FD1B27" w:rsidRPr="00FD1B27" w14:paraId="504CF6A5" w14:textId="77777777" w:rsidTr="00FD1B27">
        <w:trPr>
          <w:trHeight w:val="345"/>
        </w:trPr>
        <w:tc>
          <w:tcPr>
            <w:tcW w:w="460" w:type="dxa"/>
            <w:tcBorders>
              <w:top w:val="single" w:sz="4" w:space="0" w:color="auto"/>
              <w:left w:val="nil"/>
              <w:bottom w:val="single" w:sz="4" w:space="0" w:color="auto"/>
              <w:right w:val="nil"/>
            </w:tcBorders>
            <w:shd w:val="clear" w:color="000000" w:fill="FFFFFF"/>
            <w:noWrap/>
            <w:hideMark/>
          </w:tcPr>
          <w:p w14:paraId="3089FF14" w14:textId="77777777" w:rsidR="00FD1B27" w:rsidRPr="00FD1B27" w:rsidRDefault="00FD1B27" w:rsidP="00FD1B27">
            <w:pPr>
              <w:spacing w:after="0"/>
              <w:jc w:val="center"/>
              <w:rPr>
                <w:rFonts w:eastAsia="Times New Roman" w:cs="Times New Roman"/>
                <w:b/>
                <w:bCs/>
                <w:sz w:val="20"/>
                <w:szCs w:val="20"/>
              </w:rPr>
            </w:pPr>
            <w:r w:rsidRPr="00FD1B27">
              <w:rPr>
                <w:rFonts w:eastAsia="Times New Roman" w:cs="Times New Roman"/>
                <w:b/>
                <w:bCs/>
                <w:sz w:val="20"/>
                <w:szCs w:val="20"/>
              </w:rPr>
              <w:t>№</w:t>
            </w:r>
          </w:p>
        </w:tc>
        <w:tc>
          <w:tcPr>
            <w:tcW w:w="9321" w:type="dxa"/>
            <w:tcBorders>
              <w:top w:val="single" w:sz="4" w:space="0" w:color="auto"/>
              <w:left w:val="nil"/>
              <w:bottom w:val="single" w:sz="4" w:space="0" w:color="auto"/>
              <w:right w:val="nil"/>
            </w:tcBorders>
            <w:shd w:val="clear" w:color="000000" w:fill="FFFFFF"/>
            <w:noWrap/>
            <w:hideMark/>
          </w:tcPr>
          <w:p w14:paraId="390B6900" w14:textId="77777777" w:rsidR="00FD1B27" w:rsidRPr="00FD1B27" w:rsidRDefault="00FD1B27" w:rsidP="00FD1B27">
            <w:pPr>
              <w:spacing w:after="0"/>
              <w:jc w:val="center"/>
              <w:rPr>
                <w:rFonts w:eastAsia="Times New Roman" w:cs="Times New Roman"/>
                <w:b/>
                <w:bCs/>
                <w:sz w:val="20"/>
                <w:szCs w:val="20"/>
              </w:rPr>
            </w:pPr>
            <w:r w:rsidRPr="00FD1B27">
              <w:rPr>
                <w:rFonts w:eastAsia="Times New Roman" w:cs="Times New Roman"/>
                <w:b/>
                <w:bCs/>
                <w:sz w:val="20"/>
                <w:szCs w:val="20"/>
              </w:rPr>
              <w:t>Бюджетни организации</w:t>
            </w:r>
          </w:p>
        </w:tc>
        <w:tc>
          <w:tcPr>
            <w:tcW w:w="1840" w:type="dxa"/>
            <w:tcBorders>
              <w:top w:val="single" w:sz="4" w:space="0" w:color="auto"/>
              <w:left w:val="nil"/>
              <w:bottom w:val="single" w:sz="4" w:space="0" w:color="auto"/>
              <w:right w:val="nil"/>
            </w:tcBorders>
            <w:shd w:val="clear" w:color="000000" w:fill="FFFFFF"/>
            <w:noWrap/>
            <w:hideMark/>
          </w:tcPr>
          <w:p w14:paraId="05C7EA76" w14:textId="77777777" w:rsidR="00FD1B27" w:rsidRPr="00FD1B27" w:rsidRDefault="00FD1B27" w:rsidP="00FD1B27">
            <w:pPr>
              <w:spacing w:after="0"/>
              <w:jc w:val="center"/>
              <w:rPr>
                <w:rFonts w:eastAsia="Times New Roman" w:cs="Times New Roman"/>
                <w:b/>
                <w:bCs/>
                <w:sz w:val="20"/>
                <w:szCs w:val="20"/>
              </w:rPr>
            </w:pPr>
            <w:r w:rsidRPr="00FD1B27">
              <w:rPr>
                <w:rFonts w:eastAsia="Times New Roman" w:cs="Times New Roman"/>
                <w:b/>
                <w:bCs/>
                <w:sz w:val="20"/>
                <w:szCs w:val="20"/>
              </w:rPr>
              <w:t>2026 г.</w:t>
            </w:r>
          </w:p>
        </w:tc>
        <w:tc>
          <w:tcPr>
            <w:tcW w:w="1680" w:type="dxa"/>
            <w:tcBorders>
              <w:top w:val="single" w:sz="4" w:space="0" w:color="auto"/>
              <w:left w:val="nil"/>
              <w:bottom w:val="single" w:sz="4" w:space="0" w:color="auto"/>
              <w:right w:val="nil"/>
            </w:tcBorders>
            <w:shd w:val="clear" w:color="000000" w:fill="FFFFFF"/>
            <w:noWrap/>
            <w:hideMark/>
          </w:tcPr>
          <w:p w14:paraId="617A72F4" w14:textId="77777777" w:rsidR="00FD1B27" w:rsidRPr="00FD1B27" w:rsidRDefault="00FD1B27" w:rsidP="00FD1B27">
            <w:pPr>
              <w:spacing w:after="0"/>
              <w:jc w:val="center"/>
              <w:rPr>
                <w:rFonts w:eastAsia="Times New Roman" w:cs="Times New Roman"/>
                <w:b/>
                <w:bCs/>
                <w:sz w:val="20"/>
                <w:szCs w:val="20"/>
              </w:rPr>
            </w:pPr>
            <w:r w:rsidRPr="00FD1B27">
              <w:rPr>
                <w:rFonts w:eastAsia="Times New Roman" w:cs="Times New Roman"/>
                <w:b/>
                <w:bCs/>
                <w:sz w:val="20"/>
                <w:szCs w:val="20"/>
              </w:rPr>
              <w:t>2027 г.</w:t>
            </w:r>
          </w:p>
        </w:tc>
        <w:tc>
          <w:tcPr>
            <w:tcW w:w="1680" w:type="dxa"/>
            <w:tcBorders>
              <w:top w:val="single" w:sz="4" w:space="0" w:color="auto"/>
              <w:left w:val="nil"/>
              <w:bottom w:val="single" w:sz="4" w:space="0" w:color="auto"/>
              <w:right w:val="nil"/>
            </w:tcBorders>
            <w:shd w:val="clear" w:color="000000" w:fill="FFFFFF"/>
            <w:noWrap/>
            <w:hideMark/>
          </w:tcPr>
          <w:p w14:paraId="3198DC6C" w14:textId="77777777" w:rsidR="00FD1B27" w:rsidRPr="00FD1B27" w:rsidRDefault="00FD1B27" w:rsidP="00FD1B27">
            <w:pPr>
              <w:spacing w:after="0"/>
              <w:jc w:val="center"/>
              <w:rPr>
                <w:rFonts w:eastAsia="Times New Roman" w:cs="Times New Roman"/>
                <w:b/>
                <w:bCs/>
                <w:sz w:val="20"/>
                <w:szCs w:val="20"/>
              </w:rPr>
            </w:pPr>
            <w:r w:rsidRPr="00FD1B27">
              <w:rPr>
                <w:rFonts w:eastAsia="Times New Roman" w:cs="Times New Roman"/>
                <w:b/>
                <w:bCs/>
                <w:sz w:val="20"/>
                <w:szCs w:val="20"/>
              </w:rPr>
              <w:t>2028 г.</w:t>
            </w:r>
          </w:p>
        </w:tc>
      </w:tr>
      <w:tr w:rsidR="00FD1B27" w:rsidRPr="00FD1B27" w14:paraId="084F943D" w14:textId="77777777" w:rsidTr="00FD1B27">
        <w:trPr>
          <w:trHeight w:val="319"/>
        </w:trPr>
        <w:tc>
          <w:tcPr>
            <w:tcW w:w="460" w:type="dxa"/>
            <w:tcBorders>
              <w:top w:val="nil"/>
              <w:left w:val="nil"/>
              <w:bottom w:val="nil"/>
              <w:right w:val="nil"/>
            </w:tcBorders>
            <w:shd w:val="clear" w:color="000000" w:fill="FFFFFF"/>
            <w:noWrap/>
            <w:hideMark/>
          </w:tcPr>
          <w:p w14:paraId="339F08DC"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1</w:t>
            </w:r>
          </w:p>
        </w:tc>
        <w:tc>
          <w:tcPr>
            <w:tcW w:w="9321" w:type="dxa"/>
            <w:tcBorders>
              <w:top w:val="nil"/>
              <w:left w:val="nil"/>
              <w:bottom w:val="nil"/>
              <w:right w:val="nil"/>
            </w:tcBorders>
            <w:shd w:val="clear" w:color="000000" w:fill="FFFFFF"/>
            <w:noWrap/>
            <w:hideMark/>
          </w:tcPr>
          <w:p w14:paraId="7723AF7E" w14:textId="77777777" w:rsidR="00FD1B27" w:rsidRPr="00FD1B27" w:rsidRDefault="00FD1B27" w:rsidP="00FD1B27">
            <w:pPr>
              <w:spacing w:after="0"/>
              <w:jc w:val="left"/>
              <w:rPr>
                <w:rFonts w:eastAsia="Times New Roman" w:cs="Times New Roman"/>
                <w:sz w:val="20"/>
                <w:szCs w:val="20"/>
              </w:rPr>
            </w:pPr>
            <w:r w:rsidRPr="00FD1B27">
              <w:rPr>
                <w:rFonts w:eastAsia="Times New Roman" w:cs="Times New Roman"/>
                <w:sz w:val="20"/>
                <w:szCs w:val="20"/>
              </w:rPr>
              <w:t>Народно събрание</w:t>
            </w:r>
          </w:p>
        </w:tc>
        <w:tc>
          <w:tcPr>
            <w:tcW w:w="1840" w:type="dxa"/>
            <w:tcBorders>
              <w:top w:val="nil"/>
              <w:left w:val="nil"/>
              <w:bottom w:val="nil"/>
              <w:right w:val="nil"/>
            </w:tcBorders>
            <w:shd w:val="clear" w:color="000000" w:fill="FFFFFF"/>
            <w:noWrap/>
            <w:hideMark/>
          </w:tcPr>
          <w:p w14:paraId="2F10713B"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70 278,5</w:t>
            </w:r>
          </w:p>
        </w:tc>
        <w:tc>
          <w:tcPr>
            <w:tcW w:w="1680" w:type="dxa"/>
            <w:tcBorders>
              <w:top w:val="nil"/>
              <w:left w:val="nil"/>
              <w:bottom w:val="nil"/>
              <w:right w:val="nil"/>
            </w:tcBorders>
            <w:shd w:val="clear" w:color="000000" w:fill="FFFFFF"/>
            <w:noWrap/>
            <w:hideMark/>
          </w:tcPr>
          <w:p w14:paraId="24D4B309"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71 250,6</w:t>
            </w:r>
          </w:p>
        </w:tc>
        <w:tc>
          <w:tcPr>
            <w:tcW w:w="1680" w:type="dxa"/>
            <w:tcBorders>
              <w:top w:val="nil"/>
              <w:left w:val="nil"/>
              <w:bottom w:val="nil"/>
              <w:right w:val="nil"/>
            </w:tcBorders>
            <w:shd w:val="clear" w:color="000000" w:fill="FFFFFF"/>
            <w:noWrap/>
            <w:hideMark/>
          </w:tcPr>
          <w:p w14:paraId="0EE52881"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84 499,5</w:t>
            </w:r>
          </w:p>
        </w:tc>
      </w:tr>
      <w:tr w:rsidR="00FD1B27" w:rsidRPr="00FD1B27" w14:paraId="759528F9" w14:textId="77777777" w:rsidTr="00FD1B27">
        <w:trPr>
          <w:trHeight w:val="319"/>
        </w:trPr>
        <w:tc>
          <w:tcPr>
            <w:tcW w:w="460" w:type="dxa"/>
            <w:tcBorders>
              <w:top w:val="nil"/>
              <w:left w:val="nil"/>
              <w:bottom w:val="single" w:sz="4" w:space="0" w:color="auto"/>
              <w:right w:val="nil"/>
            </w:tcBorders>
            <w:shd w:val="clear" w:color="000000" w:fill="FFFFFF"/>
            <w:noWrap/>
            <w:hideMark/>
          </w:tcPr>
          <w:p w14:paraId="6FF6A48D"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2</w:t>
            </w:r>
          </w:p>
        </w:tc>
        <w:tc>
          <w:tcPr>
            <w:tcW w:w="9321" w:type="dxa"/>
            <w:tcBorders>
              <w:top w:val="nil"/>
              <w:left w:val="nil"/>
              <w:bottom w:val="single" w:sz="4" w:space="0" w:color="auto"/>
              <w:right w:val="nil"/>
            </w:tcBorders>
            <w:shd w:val="clear" w:color="000000" w:fill="FFFFFF"/>
            <w:noWrap/>
            <w:hideMark/>
          </w:tcPr>
          <w:p w14:paraId="64139E7F" w14:textId="77777777" w:rsidR="00FD1B27" w:rsidRPr="00FD1B27" w:rsidRDefault="00FD1B27" w:rsidP="00FD1B27">
            <w:pPr>
              <w:spacing w:after="0"/>
              <w:jc w:val="left"/>
              <w:rPr>
                <w:rFonts w:eastAsia="Times New Roman" w:cs="Times New Roman"/>
                <w:sz w:val="20"/>
                <w:szCs w:val="20"/>
              </w:rPr>
            </w:pPr>
            <w:r w:rsidRPr="00FD1B27">
              <w:rPr>
                <w:rFonts w:eastAsia="Times New Roman" w:cs="Times New Roman"/>
                <w:sz w:val="20"/>
                <w:szCs w:val="20"/>
              </w:rPr>
              <w:t>Висш съдебен съвет</w:t>
            </w:r>
          </w:p>
        </w:tc>
        <w:tc>
          <w:tcPr>
            <w:tcW w:w="1840" w:type="dxa"/>
            <w:tcBorders>
              <w:top w:val="nil"/>
              <w:left w:val="nil"/>
              <w:bottom w:val="single" w:sz="4" w:space="0" w:color="auto"/>
              <w:right w:val="nil"/>
            </w:tcBorders>
            <w:shd w:val="clear" w:color="000000" w:fill="FFFFFF"/>
            <w:noWrap/>
            <w:hideMark/>
          </w:tcPr>
          <w:p w14:paraId="5FB44FEB"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800 900,2</w:t>
            </w:r>
          </w:p>
        </w:tc>
        <w:tc>
          <w:tcPr>
            <w:tcW w:w="1680" w:type="dxa"/>
            <w:tcBorders>
              <w:top w:val="nil"/>
              <w:left w:val="nil"/>
              <w:bottom w:val="single" w:sz="4" w:space="0" w:color="auto"/>
              <w:right w:val="nil"/>
            </w:tcBorders>
            <w:shd w:val="clear" w:color="000000" w:fill="FFFFFF"/>
            <w:noWrap/>
            <w:hideMark/>
          </w:tcPr>
          <w:p w14:paraId="236AC5C9"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795 433,4</w:t>
            </w:r>
          </w:p>
        </w:tc>
        <w:tc>
          <w:tcPr>
            <w:tcW w:w="1680" w:type="dxa"/>
            <w:tcBorders>
              <w:top w:val="nil"/>
              <w:left w:val="nil"/>
              <w:bottom w:val="single" w:sz="4" w:space="0" w:color="auto"/>
              <w:right w:val="nil"/>
            </w:tcBorders>
            <w:shd w:val="clear" w:color="000000" w:fill="FFFFFF"/>
            <w:noWrap/>
            <w:hideMark/>
          </w:tcPr>
          <w:p w14:paraId="52327A93" w14:textId="77777777" w:rsidR="00FD1B27" w:rsidRPr="00FD1B27" w:rsidRDefault="00FD1B27" w:rsidP="00FD1B27">
            <w:pPr>
              <w:spacing w:after="0"/>
              <w:jc w:val="right"/>
              <w:rPr>
                <w:rFonts w:eastAsia="Times New Roman" w:cs="Times New Roman"/>
                <w:sz w:val="20"/>
                <w:szCs w:val="20"/>
              </w:rPr>
            </w:pPr>
            <w:r w:rsidRPr="00FD1B27">
              <w:rPr>
                <w:rFonts w:eastAsia="Times New Roman" w:cs="Times New Roman"/>
                <w:sz w:val="20"/>
                <w:szCs w:val="20"/>
              </w:rPr>
              <w:t>815 084,5</w:t>
            </w:r>
          </w:p>
        </w:tc>
      </w:tr>
    </w:tbl>
    <w:p w14:paraId="7651D4E9" w14:textId="77777777" w:rsidR="002B149E" w:rsidRDefault="002B149E" w:rsidP="00DE6798">
      <w:pPr>
        <w:pStyle w:val="Heading2"/>
      </w:pPr>
      <w:bookmarkStart w:id="601" w:name="_Toc464224828"/>
      <w:bookmarkStart w:id="602" w:name="_Toc464225478"/>
      <w:bookmarkStart w:id="603" w:name="_Toc464459025"/>
      <w:bookmarkStart w:id="604" w:name="_Toc464459773"/>
      <w:bookmarkStart w:id="605" w:name="_Toc464460726"/>
      <w:bookmarkStart w:id="606" w:name="_Toc464463125"/>
      <w:bookmarkStart w:id="607" w:name="_Toc464464954"/>
      <w:bookmarkStart w:id="608" w:name="_Toc464465461"/>
      <w:bookmarkStart w:id="609" w:name="_Toc464465649"/>
      <w:bookmarkStart w:id="610" w:name="_Toc464466473"/>
      <w:bookmarkStart w:id="611" w:name="_Toc464466716"/>
      <w:bookmarkStart w:id="612" w:name="_Toc464645433"/>
      <w:bookmarkStart w:id="613" w:name="_Toc465205591"/>
      <w:bookmarkStart w:id="614" w:name="_Toc216029380"/>
      <w:r w:rsidRPr="00AA3F66">
        <w:t xml:space="preserve">Приложение № 6: </w:t>
      </w:r>
      <w:r w:rsidR="0002045D" w:rsidRPr="00AA3F66">
        <w:br/>
      </w:r>
      <w:r w:rsidR="001C02F3" w:rsidRPr="00AA3F66">
        <w:t>Р</w:t>
      </w:r>
      <w:r w:rsidRPr="00AA3F66">
        <w:t>азмери на бюджетните взаимоотношения (трансферите) на държавния бюджет с бю</w:t>
      </w:r>
      <w:r w:rsidR="008F3D61" w:rsidRPr="00AA3F66">
        <w:t>джетите на БНТ, БНР, БТА, БАН, държавните висши училища</w:t>
      </w:r>
      <w:r w:rsidR="00931F81" w:rsidRPr="00AA3F66">
        <w:t xml:space="preserve"> и</w:t>
      </w:r>
      <w:r w:rsidR="008F3D61" w:rsidRPr="00AA3F66">
        <w:t xml:space="preserve"> д</w:t>
      </w:r>
      <w:r w:rsidRPr="00AA3F66">
        <w:t xml:space="preserve">ържавните висши военни училища </w:t>
      </w:r>
      <w:r w:rsidR="00BE4275" w:rsidRPr="00AA3F66">
        <w:t xml:space="preserve">за </w:t>
      </w:r>
      <w:r w:rsidR="003B3137">
        <w:t>периода 2026</w:t>
      </w:r>
      <w:r w:rsidR="004A6349">
        <w:t>-2028</w:t>
      </w:r>
      <w:r w:rsidR="00AA3035" w:rsidRPr="00AA3F66">
        <w:t> г.</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3C61E39C" w14:textId="77777777" w:rsidR="008D2A8E" w:rsidRDefault="008D2A8E" w:rsidP="008D2A8E">
      <w:pPr>
        <w:spacing w:after="120"/>
        <w:jc w:val="right"/>
        <w:rPr>
          <w:rFonts w:eastAsia="Times New Roman" w:cs="Times New Roman"/>
          <w:b/>
          <w:bCs/>
          <w:sz w:val="20"/>
          <w:szCs w:val="20"/>
        </w:rPr>
      </w:pPr>
      <w:r w:rsidRPr="00844EF7">
        <w:rPr>
          <w:rFonts w:eastAsia="Times New Roman" w:cs="Times New Roman"/>
          <w:b/>
          <w:bCs/>
          <w:sz w:val="20"/>
          <w:szCs w:val="20"/>
        </w:rPr>
        <w:t>(в хил. евро)</w:t>
      </w:r>
    </w:p>
    <w:tbl>
      <w:tblPr>
        <w:tblW w:w="5000" w:type="pct"/>
        <w:tblCellMar>
          <w:left w:w="70" w:type="dxa"/>
          <w:right w:w="70" w:type="dxa"/>
        </w:tblCellMar>
        <w:tblLook w:val="04A0" w:firstRow="1" w:lastRow="0" w:firstColumn="1" w:lastColumn="0" w:noHBand="0" w:noVBand="1"/>
      </w:tblPr>
      <w:tblGrid>
        <w:gridCol w:w="475"/>
        <w:gridCol w:w="9594"/>
        <w:gridCol w:w="1643"/>
        <w:gridCol w:w="1643"/>
        <w:gridCol w:w="1640"/>
      </w:tblGrid>
      <w:tr w:rsidR="007C7178" w:rsidRPr="007C7178" w14:paraId="506E572D" w14:textId="77777777" w:rsidTr="007C7178">
        <w:trPr>
          <w:trHeight w:val="330"/>
        </w:trPr>
        <w:tc>
          <w:tcPr>
            <w:tcW w:w="158" w:type="pct"/>
            <w:tcBorders>
              <w:top w:val="single" w:sz="4" w:space="0" w:color="auto"/>
              <w:left w:val="nil"/>
              <w:bottom w:val="single" w:sz="4" w:space="0" w:color="auto"/>
              <w:right w:val="nil"/>
            </w:tcBorders>
            <w:shd w:val="clear" w:color="000000" w:fill="FFFFFF"/>
            <w:noWrap/>
            <w:hideMark/>
          </w:tcPr>
          <w:p w14:paraId="12659FFB"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w:t>
            </w:r>
          </w:p>
        </w:tc>
        <w:tc>
          <w:tcPr>
            <w:tcW w:w="3199" w:type="pct"/>
            <w:tcBorders>
              <w:top w:val="single" w:sz="4" w:space="0" w:color="auto"/>
              <w:left w:val="nil"/>
              <w:bottom w:val="single" w:sz="4" w:space="0" w:color="auto"/>
              <w:right w:val="nil"/>
            </w:tcBorders>
            <w:shd w:val="clear" w:color="000000" w:fill="FFFFFF"/>
            <w:noWrap/>
            <w:hideMark/>
          </w:tcPr>
          <w:p w14:paraId="5FB71E86"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Бюджетни взаимоотношения (трансфери)</w:t>
            </w:r>
          </w:p>
        </w:tc>
        <w:tc>
          <w:tcPr>
            <w:tcW w:w="548" w:type="pct"/>
            <w:tcBorders>
              <w:top w:val="single" w:sz="4" w:space="0" w:color="auto"/>
              <w:left w:val="nil"/>
              <w:bottom w:val="single" w:sz="4" w:space="0" w:color="auto"/>
              <w:right w:val="nil"/>
            </w:tcBorders>
            <w:shd w:val="clear" w:color="000000" w:fill="FFFFFF"/>
            <w:hideMark/>
          </w:tcPr>
          <w:p w14:paraId="0F1AD951"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2026 г.</w:t>
            </w:r>
          </w:p>
        </w:tc>
        <w:tc>
          <w:tcPr>
            <w:tcW w:w="548" w:type="pct"/>
            <w:tcBorders>
              <w:top w:val="single" w:sz="4" w:space="0" w:color="auto"/>
              <w:left w:val="nil"/>
              <w:bottom w:val="single" w:sz="4" w:space="0" w:color="auto"/>
              <w:right w:val="nil"/>
            </w:tcBorders>
            <w:shd w:val="clear" w:color="000000" w:fill="FFFFFF"/>
            <w:hideMark/>
          </w:tcPr>
          <w:p w14:paraId="140FBBB7"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2027 г.</w:t>
            </w:r>
          </w:p>
        </w:tc>
        <w:tc>
          <w:tcPr>
            <w:tcW w:w="548" w:type="pct"/>
            <w:tcBorders>
              <w:top w:val="single" w:sz="4" w:space="0" w:color="auto"/>
              <w:left w:val="nil"/>
              <w:bottom w:val="single" w:sz="4" w:space="0" w:color="auto"/>
              <w:right w:val="nil"/>
            </w:tcBorders>
            <w:shd w:val="clear" w:color="000000" w:fill="FFFFFF"/>
            <w:hideMark/>
          </w:tcPr>
          <w:p w14:paraId="3AA1134D" w14:textId="77777777" w:rsidR="007C7178" w:rsidRPr="007C7178" w:rsidRDefault="007C7178" w:rsidP="007C7178">
            <w:pPr>
              <w:spacing w:after="0"/>
              <w:jc w:val="center"/>
              <w:rPr>
                <w:rFonts w:eastAsia="Times New Roman" w:cs="Times New Roman"/>
                <w:b/>
                <w:bCs/>
                <w:sz w:val="20"/>
                <w:szCs w:val="20"/>
              </w:rPr>
            </w:pPr>
            <w:r w:rsidRPr="007C7178">
              <w:rPr>
                <w:rFonts w:eastAsia="Times New Roman" w:cs="Times New Roman"/>
                <w:b/>
                <w:bCs/>
                <w:sz w:val="20"/>
                <w:szCs w:val="20"/>
              </w:rPr>
              <w:t>2028 г.</w:t>
            </w:r>
          </w:p>
        </w:tc>
      </w:tr>
      <w:tr w:rsidR="007C7178" w:rsidRPr="007C7178" w14:paraId="15D1300C" w14:textId="77777777" w:rsidTr="007C7178">
        <w:trPr>
          <w:trHeight w:val="259"/>
        </w:trPr>
        <w:tc>
          <w:tcPr>
            <w:tcW w:w="158" w:type="pct"/>
            <w:tcBorders>
              <w:top w:val="nil"/>
              <w:left w:val="nil"/>
              <w:bottom w:val="nil"/>
              <w:right w:val="nil"/>
            </w:tcBorders>
            <w:shd w:val="clear" w:color="000000" w:fill="FFFFFF"/>
            <w:noWrap/>
            <w:hideMark/>
          </w:tcPr>
          <w:p w14:paraId="341329E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w:t>
            </w:r>
          </w:p>
        </w:tc>
        <w:tc>
          <w:tcPr>
            <w:tcW w:w="3199" w:type="pct"/>
            <w:tcBorders>
              <w:top w:val="nil"/>
              <w:left w:val="nil"/>
              <w:bottom w:val="nil"/>
              <w:right w:val="nil"/>
            </w:tcBorders>
            <w:shd w:val="clear" w:color="000000" w:fill="FFFFFF"/>
            <w:hideMark/>
          </w:tcPr>
          <w:p w14:paraId="5E3B1A25"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Предоставени трансфери от централния бюджет за бюджета на Българската национална телевизия</w:t>
            </w:r>
          </w:p>
        </w:tc>
        <w:tc>
          <w:tcPr>
            <w:tcW w:w="548" w:type="pct"/>
            <w:tcBorders>
              <w:top w:val="nil"/>
              <w:left w:val="nil"/>
              <w:bottom w:val="nil"/>
              <w:right w:val="nil"/>
            </w:tcBorders>
            <w:shd w:val="clear" w:color="000000" w:fill="FFFFFF"/>
            <w:noWrap/>
            <w:vAlign w:val="bottom"/>
            <w:hideMark/>
          </w:tcPr>
          <w:p w14:paraId="1C66E31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52 553,6</w:t>
            </w:r>
          </w:p>
        </w:tc>
        <w:tc>
          <w:tcPr>
            <w:tcW w:w="548" w:type="pct"/>
            <w:tcBorders>
              <w:top w:val="nil"/>
              <w:left w:val="nil"/>
              <w:bottom w:val="nil"/>
              <w:right w:val="nil"/>
            </w:tcBorders>
            <w:shd w:val="clear" w:color="000000" w:fill="FFFFFF"/>
            <w:noWrap/>
            <w:vAlign w:val="bottom"/>
            <w:hideMark/>
          </w:tcPr>
          <w:p w14:paraId="3223E26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52 713,2</w:t>
            </w:r>
          </w:p>
        </w:tc>
        <w:tc>
          <w:tcPr>
            <w:tcW w:w="548" w:type="pct"/>
            <w:tcBorders>
              <w:top w:val="nil"/>
              <w:left w:val="nil"/>
              <w:bottom w:val="nil"/>
              <w:right w:val="nil"/>
            </w:tcBorders>
            <w:shd w:val="clear" w:color="000000" w:fill="FFFFFF"/>
            <w:noWrap/>
            <w:vAlign w:val="bottom"/>
            <w:hideMark/>
          </w:tcPr>
          <w:p w14:paraId="25B1172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52 999,7</w:t>
            </w:r>
          </w:p>
        </w:tc>
      </w:tr>
      <w:tr w:rsidR="007C7178" w:rsidRPr="007C7178" w14:paraId="6A2ECFD6" w14:textId="77777777" w:rsidTr="007C7178">
        <w:trPr>
          <w:trHeight w:val="259"/>
        </w:trPr>
        <w:tc>
          <w:tcPr>
            <w:tcW w:w="158" w:type="pct"/>
            <w:tcBorders>
              <w:top w:val="nil"/>
              <w:left w:val="nil"/>
              <w:bottom w:val="nil"/>
              <w:right w:val="nil"/>
            </w:tcBorders>
            <w:shd w:val="clear" w:color="000000" w:fill="FFFFFF"/>
            <w:noWrap/>
            <w:hideMark/>
          </w:tcPr>
          <w:p w14:paraId="152CF4C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 </w:t>
            </w:r>
          </w:p>
        </w:tc>
        <w:tc>
          <w:tcPr>
            <w:tcW w:w="3199" w:type="pct"/>
            <w:tcBorders>
              <w:top w:val="nil"/>
              <w:left w:val="nil"/>
              <w:bottom w:val="nil"/>
              <w:right w:val="nil"/>
            </w:tcBorders>
            <w:shd w:val="clear" w:color="000000" w:fill="FFFFFF"/>
            <w:hideMark/>
          </w:tcPr>
          <w:p w14:paraId="78B76DE0" w14:textId="77777777" w:rsidR="007C7178" w:rsidRPr="007C7178" w:rsidRDefault="007C7178" w:rsidP="007C7178">
            <w:pPr>
              <w:spacing w:after="0"/>
              <w:ind w:firstLineChars="100" w:firstLine="200"/>
              <w:jc w:val="left"/>
              <w:rPr>
                <w:rFonts w:eastAsia="Times New Roman" w:cs="Times New Roman"/>
                <w:sz w:val="20"/>
                <w:szCs w:val="20"/>
              </w:rPr>
            </w:pPr>
            <w:r w:rsidRPr="007C7178">
              <w:rPr>
                <w:rFonts w:eastAsia="Times New Roman" w:cs="Times New Roman"/>
                <w:sz w:val="20"/>
                <w:szCs w:val="20"/>
              </w:rPr>
              <w:t>в т. ч. по чл. 70, ал. 4, т. 2 от Закона за радиото и телевизията</w:t>
            </w:r>
          </w:p>
        </w:tc>
        <w:tc>
          <w:tcPr>
            <w:tcW w:w="548" w:type="pct"/>
            <w:tcBorders>
              <w:top w:val="nil"/>
              <w:left w:val="nil"/>
              <w:bottom w:val="nil"/>
              <w:right w:val="nil"/>
            </w:tcBorders>
            <w:shd w:val="clear" w:color="000000" w:fill="FFFFFF"/>
            <w:noWrap/>
            <w:vAlign w:val="bottom"/>
            <w:hideMark/>
          </w:tcPr>
          <w:p w14:paraId="2FFF26A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3 118,9</w:t>
            </w:r>
          </w:p>
        </w:tc>
        <w:tc>
          <w:tcPr>
            <w:tcW w:w="548" w:type="pct"/>
            <w:tcBorders>
              <w:top w:val="nil"/>
              <w:left w:val="nil"/>
              <w:bottom w:val="nil"/>
              <w:right w:val="nil"/>
            </w:tcBorders>
            <w:shd w:val="clear" w:color="000000" w:fill="FFFFFF"/>
            <w:noWrap/>
            <w:vAlign w:val="bottom"/>
            <w:hideMark/>
          </w:tcPr>
          <w:p w14:paraId="6A7BC83C"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3 118,9</w:t>
            </w:r>
          </w:p>
        </w:tc>
        <w:tc>
          <w:tcPr>
            <w:tcW w:w="548" w:type="pct"/>
            <w:tcBorders>
              <w:top w:val="nil"/>
              <w:left w:val="nil"/>
              <w:bottom w:val="nil"/>
              <w:right w:val="nil"/>
            </w:tcBorders>
            <w:shd w:val="clear" w:color="000000" w:fill="FFFFFF"/>
            <w:noWrap/>
            <w:vAlign w:val="bottom"/>
            <w:hideMark/>
          </w:tcPr>
          <w:p w14:paraId="29BD9CA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3 118,9</w:t>
            </w:r>
          </w:p>
        </w:tc>
      </w:tr>
      <w:tr w:rsidR="007C7178" w:rsidRPr="007C7178" w14:paraId="26115C05" w14:textId="77777777" w:rsidTr="007C7178">
        <w:trPr>
          <w:trHeight w:val="300"/>
        </w:trPr>
        <w:tc>
          <w:tcPr>
            <w:tcW w:w="158" w:type="pct"/>
            <w:tcBorders>
              <w:top w:val="nil"/>
              <w:left w:val="nil"/>
              <w:bottom w:val="nil"/>
              <w:right w:val="nil"/>
            </w:tcBorders>
            <w:shd w:val="clear" w:color="000000" w:fill="FFFFFF"/>
            <w:noWrap/>
            <w:hideMark/>
          </w:tcPr>
          <w:p w14:paraId="20E82E8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2</w:t>
            </w:r>
          </w:p>
        </w:tc>
        <w:tc>
          <w:tcPr>
            <w:tcW w:w="3199" w:type="pct"/>
            <w:tcBorders>
              <w:top w:val="nil"/>
              <w:left w:val="nil"/>
              <w:bottom w:val="nil"/>
              <w:right w:val="nil"/>
            </w:tcBorders>
            <w:shd w:val="clear" w:color="000000" w:fill="FFFFFF"/>
            <w:hideMark/>
          </w:tcPr>
          <w:p w14:paraId="064E5042"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Предоставени трансфери от централния бюджет за бюджета на Българското национално радио</w:t>
            </w:r>
          </w:p>
        </w:tc>
        <w:tc>
          <w:tcPr>
            <w:tcW w:w="548" w:type="pct"/>
            <w:tcBorders>
              <w:top w:val="nil"/>
              <w:left w:val="nil"/>
              <w:bottom w:val="nil"/>
              <w:right w:val="nil"/>
            </w:tcBorders>
            <w:shd w:val="clear" w:color="000000" w:fill="FFFFFF"/>
            <w:noWrap/>
            <w:vAlign w:val="bottom"/>
            <w:hideMark/>
          </w:tcPr>
          <w:p w14:paraId="0569AB94"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37 497,1</w:t>
            </w:r>
          </w:p>
        </w:tc>
        <w:tc>
          <w:tcPr>
            <w:tcW w:w="548" w:type="pct"/>
            <w:tcBorders>
              <w:top w:val="nil"/>
              <w:left w:val="nil"/>
              <w:bottom w:val="nil"/>
              <w:right w:val="nil"/>
            </w:tcBorders>
            <w:shd w:val="clear" w:color="000000" w:fill="FFFFFF"/>
            <w:noWrap/>
            <w:vAlign w:val="bottom"/>
            <w:hideMark/>
          </w:tcPr>
          <w:p w14:paraId="41E7F7B3"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37 741,1</w:t>
            </w:r>
          </w:p>
        </w:tc>
        <w:tc>
          <w:tcPr>
            <w:tcW w:w="548" w:type="pct"/>
            <w:tcBorders>
              <w:top w:val="nil"/>
              <w:left w:val="nil"/>
              <w:bottom w:val="nil"/>
              <w:right w:val="nil"/>
            </w:tcBorders>
            <w:shd w:val="clear" w:color="000000" w:fill="FFFFFF"/>
            <w:noWrap/>
            <w:vAlign w:val="bottom"/>
            <w:hideMark/>
          </w:tcPr>
          <w:p w14:paraId="7B166AE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38 140,5</w:t>
            </w:r>
          </w:p>
        </w:tc>
      </w:tr>
      <w:tr w:rsidR="007C7178" w:rsidRPr="007C7178" w14:paraId="662E25CD" w14:textId="77777777" w:rsidTr="007C7178">
        <w:trPr>
          <w:trHeight w:val="259"/>
        </w:trPr>
        <w:tc>
          <w:tcPr>
            <w:tcW w:w="158" w:type="pct"/>
            <w:tcBorders>
              <w:top w:val="nil"/>
              <w:left w:val="nil"/>
              <w:bottom w:val="nil"/>
              <w:right w:val="nil"/>
            </w:tcBorders>
            <w:shd w:val="clear" w:color="000000" w:fill="FFFFFF"/>
            <w:noWrap/>
            <w:hideMark/>
          </w:tcPr>
          <w:p w14:paraId="0303F5C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 </w:t>
            </w:r>
          </w:p>
        </w:tc>
        <w:tc>
          <w:tcPr>
            <w:tcW w:w="3199" w:type="pct"/>
            <w:tcBorders>
              <w:top w:val="nil"/>
              <w:left w:val="nil"/>
              <w:bottom w:val="nil"/>
              <w:right w:val="nil"/>
            </w:tcBorders>
            <w:shd w:val="clear" w:color="000000" w:fill="FFFFFF"/>
            <w:hideMark/>
          </w:tcPr>
          <w:p w14:paraId="49F86B1F" w14:textId="77777777" w:rsidR="007C7178" w:rsidRPr="007C7178" w:rsidRDefault="007C7178" w:rsidP="007C7178">
            <w:pPr>
              <w:spacing w:after="0"/>
              <w:ind w:firstLineChars="100" w:firstLine="200"/>
              <w:jc w:val="left"/>
              <w:rPr>
                <w:rFonts w:eastAsia="Times New Roman" w:cs="Times New Roman"/>
                <w:sz w:val="20"/>
                <w:szCs w:val="20"/>
              </w:rPr>
            </w:pPr>
            <w:r w:rsidRPr="007C7178">
              <w:rPr>
                <w:rFonts w:eastAsia="Times New Roman" w:cs="Times New Roman"/>
                <w:sz w:val="20"/>
                <w:szCs w:val="20"/>
              </w:rPr>
              <w:t>в т. ч. по чл. 70, ал. 4, т. 2 от Закона за радиото и телевизията</w:t>
            </w:r>
          </w:p>
        </w:tc>
        <w:tc>
          <w:tcPr>
            <w:tcW w:w="548" w:type="pct"/>
            <w:tcBorders>
              <w:top w:val="nil"/>
              <w:left w:val="nil"/>
              <w:bottom w:val="nil"/>
              <w:right w:val="nil"/>
            </w:tcBorders>
            <w:shd w:val="clear" w:color="000000" w:fill="FFFFFF"/>
            <w:noWrap/>
            <w:vAlign w:val="bottom"/>
            <w:hideMark/>
          </w:tcPr>
          <w:p w14:paraId="5A3254F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1 994,0</w:t>
            </w:r>
          </w:p>
        </w:tc>
        <w:tc>
          <w:tcPr>
            <w:tcW w:w="548" w:type="pct"/>
            <w:tcBorders>
              <w:top w:val="nil"/>
              <w:left w:val="nil"/>
              <w:bottom w:val="nil"/>
              <w:right w:val="nil"/>
            </w:tcBorders>
            <w:shd w:val="clear" w:color="000000" w:fill="FFFFFF"/>
            <w:noWrap/>
            <w:vAlign w:val="bottom"/>
            <w:hideMark/>
          </w:tcPr>
          <w:p w14:paraId="57F243E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1 994,0</w:t>
            </w:r>
          </w:p>
        </w:tc>
        <w:tc>
          <w:tcPr>
            <w:tcW w:w="548" w:type="pct"/>
            <w:tcBorders>
              <w:top w:val="nil"/>
              <w:left w:val="nil"/>
              <w:bottom w:val="nil"/>
              <w:right w:val="nil"/>
            </w:tcBorders>
            <w:shd w:val="clear" w:color="000000" w:fill="FFFFFF"/>
            <w:noWrap/>
            <w:vAlign w:val="bottom"/>
            <w:hideMark/>
          </w:tcPr>
          <w:p w14:paraId="0423A2E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1 994,0</w:t>
            </w:r>
          </w:p>
        </w:tc>
      </w:tr>
      <w:tr w:rsidR="007C7178" w:rsidRPr="007C7178" w14:paraId="29DBD94E" w14:textId="77777777" w:rsidTr="007C7178">
        <w:trPr>
          <w:trHeight w:val="259"/>
        </w:trPr>
        <w:tc>
          <w:tcPr>
            <w:tcW w:w="158" w:type="pct"/>
            <w:tcBorders>
              <w:top w:val="nil"/>
              <w:left w:val="nil"/>
              <w:bottom w:val="nil"/>
              <w:right w:val="nil"/>
            </w:tcBorders>
            <w:shd w:val="clear" w:color="000000" w:fill="FFFFFF"/>
            <w:noWrap/>
            <w:hideMark/>
          </w:tcPr>
          <w:p w14:paraId="136D2329"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w:t>
            </w:r>
          </w:p>
        </w:tc>
        <w:tc>
          <w:tcPr>
            <w:tcW w:w="3199" w:type="pct"/>
            <w:tcBorders>
              <w:top w:val="nil"/>
              <w:left w:val="nil"/>
              <w:bottom w:val="nil"/>
              <w:right w:val="nil"/>
            </w:tcBorders>
            <w:shd w:val="clear" w:color="000000" w:fill="FFFFFF"/>
            <w:hideMark/>
          </w:tcPr>
          <w:p w14:paraId="5CEA8EC5"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Предоставени трансфери от централния бюджет за бюджета на Българската телеграфна агенция</w:t>
            </w:r>
          </w:p>
        </w:tc>
        <w:tc>
          <w:tcPr>
            <w:tcW w:w="548" w:type="pct"/>
            <w:tcBorders>
              <w:top w:val="nil"/>
              <w:left w:val="nil"/>
              <w:bottom w:val="nil"/>
              <w:right w:val="nil"/>
            </w:tcBorders>
            <w:shd w:val="clear" w:color="000000" w:fill="FFFFFF"/>
            <w:noWrap/>
            <w:vAlign w:val="bottom"/>
            <w:hideMark/>
          </w:tcPr>
          <w:p w14:paraId="2D74023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10 423,4</w:t>
            </w:r>
          </w:p>
        </w:tc>
        <w:tc>
          <w:tcPr>
            <w:tcW w:w="548" w:type="pct"/>
            <w:tcBorders>
              <w:top w:val="nil"/>
              <w:left w:val="nil"/>
              <w:bottom w:val="nil"/>
              <w:right w:val="nil"/>
            </w:tcBorders>
            <w:shd w:val="clear" w:color="000000" w:fill="FFFFFF"/>
            <w:noWrap/>
            <w:vAlign w:val="bottom"/>
            <w:hideMark/>
          </w:tcPr>
          <w:p w14:paraId="5685F25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9 023,0</w:t>
            </w:r>
          </w:p>
        </w:tc>
        <w:tc>
          <w:tcPr>
            <w:tcW w:w="548" w:type="pct"/>
            <w:tcBorders>
              <w:top w:val="nil"/>
              <w:left w:val="nil"/>
              <w:bottom w:val="nil"/>
              <w:right w:val="nil"/>
            </w:tcBorders>
            <w:shd w:val="clear" w:color="000000" w:fill="FFFFFF"/>
            <w:noWrap/>
            <w:vAlign w:val="bottom"/>
            <w:hideMark/>
          </w:tcPr>
          <w:p w14:paraId="6BAEBED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8 476,6</w:t>
            </w:r>
          </w:p>
        </w:tc>
      </w:tr>
      <w:tr w:rsidR="007C7178" w:rsidRPr="007C7178" w14:paraId="3DBB6111" w14:textId="77777777" w:rsidTr="007C7178">
        <w:trPr>
          <w:trHeight w:val="570"/>
        </w:trPr>
        <w:tc>
          <w:tcPr>
            <w:tcW w:w="158" w:type="pct"/>
            <w:tcBorders>
              <w:top w:val="nil"/>
              <w:left w:val="nil"/>
              <w:bottom w:val="nil"/>
              <w:right w:val="nil"/>
            </w:tcBorders>
            <w:shd w:val="clear" w:color="000000" w:fill="FFFFFF"/>
            <w:noWrap/>
            <w:hideMark/>
          </w:tcPr>
          <w:p w14:paraId="722C5CC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w:t>
            </w:r>
          </w:p>
        </w:tc>
        <w:tc>
          <w:tcPr>
            <w:tcW w:w="3199" w:type="pct"/>
            <w:tcBorders>
              <w:top w:val="nil"/>
              <w:left w:val="nil"/>
              <w:bottom w:val="nil"/>
              <w:right w:val="nil"/>
            </w:tcBorders>
            <w:shd w:val="clear" w:color="000000" w:fill="FFFFFF"/>
            <w:hideMark/>
          </w:tcPr>
          <w:p w14:paraId="2AF01729"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Предоставени трансфери от бюджета на Министерството на образованието и науката за бюджетите на Българската академия на науките и държавните висши училища - общо</w:t>
            </w:r>
          </w:p>
        </w:tc>
        <w:tc>
          <w:tcPr>
            <w:tcW w:w="548" w:type="pct"/>
            <w:tcBorders>
              <w:top w:val="nil"/>
              <w:left w:val="nil"/>
              <w:bottom w:val="nil"/>
              <w:right w:val="nil"/>
            </w:tcBorders>
            <w:shd w:val="clear" w:color="000000" w:fill="FFFFFF"/>
            <w:noWrap/>
            <w:vAlign w:val="bottom"/>
            <w:hideMark/>
          </w:tcPr>
          <w:p w14:paraId="57B543D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831 958,5</w:t>
            </w:r>
          </w:p>
        </w:tc>
        <w:tc>
          <w:tcPr>
            <w:tcW w:w="548" w:type="pct"/>
            <w:tcBorders>
              <w:top w:val="nil"/>
              <w:left w:val="nil"/>
              <w:bottom w:val="nil"/>
              <w:right w:val="nil"/>
            </w:tcBorders>
            <w:shd w:val="clear" w:color="000000" w:fill="FFFFFF"/>
            <w:noWrap/>
            <w:vAlign w:val="bottom"/>
            <w:hideMark/>
          </w:tcPr>
          <w:p w14:paraId="5FF8F8BB"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840 004,0</w:t>
            </w:r>
          </w:p>
        </w:tc>
        <w:tc>
          <w:tcPr>
            <w:tcW w:w="548" w:type="pct"/>
            <w:tcBorders>
              <w:top w:val="nil"/>
              <w:left w:val="nil"/>
              <w:bottom w:val="nil"/>
              <w:right w:val="nil"/>
            </w:tcBorders>
            <w:shd w:val="clear" w:color="000000" w:fill="FFFFFF"/>
            <w:noWrap/>
            <w:vAlign w:val="bottom"/>
            <w:hideMark/>
          </w:tcPr>
          <w:p w14:paraId="6D6B056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851 153,4</w:t>
            </w:r>
          </w:p>
        </w:tc>
      </w:tr>
      <w:tr w:rsidR="007C7178" w:rsidRPr="007C7178" w14:paraId="4C518AA7" w14:textId="77777777" w:rsidTr="007C7178">
        <w:trPr>
          <w:trHeight w:val="259"/>
        </w:trPr>
        <w:tc>
          <w:tcPr>
            <w:tcW w:w="158" w:type="pct"/>
            <w:tcBorders>
              <w:top w:val="nil"/>
              <w:left w:val="nil"/>
              <w:bottom w:val="nil"/>
              <w:right w:val="nil"/>
            </w:tcBorders>
            <w:shd w:val="clear" w:color="000000" w:fill="FFFFFF"/>
            <w:noWrap/>
            <w:hideMark/>
          </w:tcPr>
          <w:p w14:paraId="58878D6F"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4.1</w:t>
            </w:r>
          </w:p>
        </w:tc>
        <w:tc>
          <w:tcPr>
            <w:tcW w:w="3199" w:type="pct"/>
            <w:tcBorders>
              <w:top w:val="nil"/>
              <w:left w:val="nil"/>
              <w:bottom w:val="nil"/>
              <w:right w:val="nil"/>
            </w:tcBorders>
            <w:shd w:val="clear" w:color="000000" w:fill="FFFFFF"/>
            <w:hideMark/>
          </w:tcPr>
          <w:p w14:paraId="6349C75E" w14:textId="77777777" w:rsidR="007C7178" w:rsidRPr="007C7178" w:rsidRDefault="007C7178" w:rsidP="007C7178">
            <w:pPr>
              <w:spacing w:after="0"/>
              <w:ind w:firstLineChars="200" w:firstLine="400"/>
              <w:jc w:val="left"/>
              <w:rPr>
                <w:rFonts w:eastAsia="Times New Roman" w:cs="Times New Roman"/>
                <w:sz w:val="20"/>
                <w:szCs w:val="20"/>
              </w:rPr>
            </w:pPr>
            <w:r w:rsidRPr="007C7178">
              <w:rPr>
                <w:rFonts w:eastAsia="Times New Roman" w:cs="Times New Roman"/>
                <w:sz w:val="20"/>
                <w:szCs w:val="20"/>
              </w:rPr>
              <w:t xml:space="preserve"> - за бюджета на Българската академия на науките</w:t>
            </w:r>
          </w:p>
        </w:tc>
        <w:tc>
          <w:tcPr>
            <w:tcW w:w="548" w:type="pct"/>
            <w:tcBorders>
              <w:top w:val="nil"/>
              <w:left w:val="nil"/>
              <w:bottom w:val="nil"/>
              <w:right w:val="nil"/>
            </w:tcBorders>
            <w:shd w:val="clear" w:color="000000" w:fill="FFFFFF"/>
            <w:noWrap/>
            <w:vAlign w:val="bottom"/>
            <w:hideMark/>
          </w:tcPr>
          <w:p w14:paraId="20725E8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137 928,4</w:t>
            </w:r>
          </w:p>
        </w:tc>
        <w:tc>
          <w:tcPr>
            <w:tcW w:w="548" w:type="pct"/>
            <w:tcBorders>
              <w:top w:val="nil"/>
              <w:left w:val="nil"/>
              <w:bottom w:val="nil"/>
              <w:right w:val="nil"/>
            </w:tcBorders>
            <w:shd w:val="clear" w:color="000000" w:fill="FFFFFF"/>
            <w:noWrap/>
            <w:vAlign w:val="bottom"/>
            <w:hideMark/>
          </w:tcPr>
          <w:p w14:paraId="5EA05048"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138 742,7</w:t>
            </w:r>
          </w:p>
        </w:tc>
        <w:tc>
          <w:tcPr>
            <w:tcW w:w="548" w:type="pct"/>
            <w:tcBorders>
              <w:top w:val="nil"/>
              <w:left w:val="nil"/>
              <w:bottom w:val="nil"/>
              <w:right w:val="nil"/>
            </w:tcBorders>
            <w:shd w:val="clear" w:color="000000" w:fill="FFFFFF"/>
            <w:noWrap/>
            <w:vAlign w:val="bottom"/>
            <w:hideMark/>
          </w:tcPr>
          <w:p w14:paraId="4734B6B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140 102,9</w:t>
            </w:r>
          </w:p>
        </w:tc>
      </w:tr>
      <w:tr w:rsidR="007C7178" w:rsidRPr="007C7178" w14:paraId="5982F38E" w14:textId="77777777" w:rsidTr="007C7178">
        <w:trPr>
          <w:trHeight w:val="259"/>
        </w:trPr>
        <w:tc>
          <w:tcPr>
            <w:tcW w:w="158" w:type="pct"/>
            <w:tcBorders>
              <w:top w:val="nil"/>
              <w:left w:val="nil"/>
              <w:bottom w:val="nil"/>
              <w:right w:val="nil"/>
            </w:tcBorders>
            <w:shd w:val="clear" w:color="000000" w:fill="FFFFFF"/>
            <w:noWrap/>
            <w:hideMark/>
          </w:tcPr>
          <w:p w14:paraId="6F41072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4.2</w:t>
            </w:r>
          </w:p>
        </w:tc>
        <w:tc>
          <w:tcPr>
            <w:tcW w:w="3199" w:type="pct"/>
            <w:tcBorders>
              <w:top w:val="nil"/>
              <w:left w:val="nil"/>
              <w:bottom w:val="nil"/>
              <w:right w:val="nil"/>
            </w:tcBorders>
            <w:shd w:val="clear" w:color="000000" w:fill="FFFFFF"/>
            <w:hideMark/>
          </w:tcPr>
          <w:p w14:paraId="2CBC3EE2" w14:textId="77777777" w:rsidR="007C7178" w:rsidRPr="007C7178" w:rsidRDefault="007C7178" w:rsidP="007C7178">
            <w:pPr>
              <w:spacing w:after="0"/>
              <w:ind w:firstLineChars="200" w:firstLine="400"/>
              <w:jc w:val="left"/>
              <w:rPr>
                <w:rFonts w:eastAsia="Times New Roman" w:cs="Times New Roman"/>
                <w:sz w:val="20"/>
                <w:szCs w:val="20"/>
              </w:rPr>
            </w:pPr>
            <w:r w:rsidRPr="007C7178">
              <w:rPr>
                <w:rFonts w:eastAsia="Times New Roman" w:cs="Times New Roman"/>
                <w:sz w:val="20"/>
                <w:szCs w:val="20"/>
              </w:rPr>
              <w:t xml:space="preserve"> - за бюджетите на държавните висши училища</w:t>
            </w:r>
          </w:p>
        </w:tc>
        <w:tc>
          <w:tcPr>
            <w:tcW w:w="548" w:type="pct"/>
            <w:tcBorders>
              <w:top w:val="nil"/>
              <w:left w:val="nil"/>
              <w:bottom w:val="nil"/>
              <w:right w:val="nil"/>
            </w:tcBorders>
            <w:shd w:val="clear" w:color="000000" w:fill="FFFFFF"/>
            <w:noWrap/>
            <w:vAlign w:val="bottom"/>
            <w:hideMark/>
          </w:tcPr>
          <w:p w14:paraId="4CC5242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694 030,1</w:t>
            </w:r>
          </w:p>
        </w:tc>
        <w:tc>
          <w:tcPr>
            <w:tcW w:w="548" w:type="pct"/>
            <w:tcBorders>
              <w:top w:val="nil"/>
              <w:left w:val="nil"/>
              <w:bottom w:val="nil"/>
              <w:right w:val="nil"/>
            </w:tcBorders>
            <w:shd w:val="clear" w:color="000000" w:fill="FFFFFF"/>
            <w:noWrap/>
            <w:vAlign w:val="bottom"/>
            <w:hideMark/>
          </w:tcPr>
          <w:p w14:paraId="420944B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701 261,3</w:t>
            </w:r>
          </w:p>
        </w:tc>
        <w:tc>
          <w:tcPr>
            <w:tcW w:w="548" w:type="pct"/>
            <w:tcBorders>
              <w:top w:val="nil"/>
              <w:left w:val="nil"/>
              <w:bottom w:val="nil"/>
              <w:right w:val="nil"/>
            </w:tcBorders>
            <w:shd w:val="clear" w:color="000000" w:fill="FFFFFF"/>
            <w:noWrap/>
            <w:vAlign w:val="bottom"/>
            <w:hideMark/>
          </w:tcPr>
          <w:p w14:paraId="789DD1B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711 050,5</w:t>
            </w:r>
          </w:p>
        </w:tc>
      </w:tr>
      <w:tr w:rsidR="007C7178" w:rsidRPr="007C7178" w14:paraId="5EF4E7CF" w14:textId="77777777" w:rsidTr="007C7178">
        <w:trPr>
          <w:trHeight w:val="540"/>
        </w:trPr>
        <w:tc>
          <w:tcPr>
            <w:tcW w:w="158" w:type="pct"/>
            <w:tcBorders>
              <w:top w:val="nil"/>
              <w:left w:val="nil"/>
              <w:bottom w:val="nil"/>
              <w:right w:val="nil"/>
            </w:tcBorders>
            <w:shd w:val="clear" w:color="000000" w:fill="FFFFFF"/>
            <w:noWrap/>
            <w:hideMark/>
          </w:tcPr>
          <w:p w14:paraId="0FC6708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w:t>
            </w:r>
          </w:p>
        </w:tc>
        <w:tc>
          <w:tcPr>
            <w:tcW w:w="3199" w:type="pct"/>
            <w:tcBorders>
              <w:top w:val="nil"/>
              <w:left w:val="nil"/>
              <w:bottom w:val="nil"/>
              <w:right w:val="nil"/>
            </w:tcBorders>
            <w:shd w:val="clear" w:color="000000" w:fill="FFFFFF"/>
            <w:hideMark/>
          </w:tcPr>
          <w:p w14:paraId="4AD7614D"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Предоставени трансфери от бюджета на Министерството на околната среда и водите за бюджета на Българската академия на науките</w:t>
            </w:r>
          </w:p>
        </w:tc>
        <w:tc>
          <w:tcPr>
            <w:tcW w:w="548" w:type="pct"/>
            <w:tcBorders>
              <w:top w:val="nil"/>
              <w:left w:val="nil"/>
              <w:bottom w:val="nil"/>
              <w:right w:val="nil"/>
            </w:tcBorders>
            <w:shd w:val="clear" w:color="000000" w:fill="FFFFFF"/>
            <w:noWrap/>
            <w:vAlign w:val="bottom"/>
            <w:hideMark/>
          </w:tcPr>
          <w:p w14:paraId="43BCAFA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345,1</w:t>
            </w:r>
          </w:p>
        </w:tc>
        <w:tc>
          <w:tcPr>
            <w:tcW w:w="548" w:type="pct"/>
            <w:tcBorders>
              <w:top w:val="nil"/>
              <w:left w:val="nil"/>
              <w:bottom w:val="nil"/>
              <w:right w:val="nil"/>
            </w:tcBorders>
            <w:shd w:val="clear" w:color="000000" w:fill="FFFFFF"/>
            <w:noWrap/>
            <w:vAlign w:val="bottom"/>
            <w:hideMark/>
          </w:tcPr>
          <w:p w14:paraId="38AB43A1"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345,1</w:t>
            </w:r>
          </w:p>
        </w:tc>
        <w:tc>
          <w:tcPr>
            <w:tcW w:w="548" w:type="pct"/>
            <w:tcBorders>
              <w:top w:val="nil"/>
              <w:left w:val="nil"/>
              <w:bottom w:val="nil"/>
              <w:right w:val="nil"/>
            </w:tcBorders>
            <w:shd w:val="clear" w:color="000000" w:fill="FFFFFF"/>
            <w:noWrap/>
            <w:vAlign w:val="bottom"/>
            <w:hideMark/>
          </w:tcPr>
          <w:p w14:paraId="1D4E468A"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345,1</w:t>
            </w:r>
          </w:p>
        </w:tc>
      </w:tr>
      <w:tr w:rsidR="007C7178" w:rsidRPr="007C7178" w14:paraId="51A4805E" w14:textId="77777777" w:rsidTr="007C7178">
        <w:trPr>
          <w:trHeight w:val="540"/>
        </w:trPr>
        <w:tc>
          <w:tcPr>
            <w:tcW w:w="158" w:type="pct"/>
            <w:tcBorders>
              <w:top w:val="nil"/>
              <w:left w:val="nil"/>
              <w:bottom w:val="single" w:sz="4" w:space="0" w:color="auto"/>
              <w:right w:val="nil"/>
            </w:tcBorders>
            <w:shd w:val="clear" w:color="000000" w:fill="FFFFFF"/>
            <w:noWrap/>
            <w:hideMark/>
          </w:tcPr>
          <w:p w14:paraId="746DDB92"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6</w:t>
            </w:r>
          </w:p>
        </w:tc>
        <w:tc>
          <w:tcPr>
            <w:tcW w:w="3199" w:type="pct"/>
            <w:tcBorders>
              <w:top w:val="nil"/>
              <w:left w:val="nil"/>
              <w:bottom w:val="single" w:sz="4" w:space="0" w:color="auto"/>
              <w:right w:val="nil"/>
            </w:tcBorders>
            <w:shd w:val="clear" w:color="000000" w:fill="FFFFFF"/>
            <w:hideMark/>
          </w:tcPr>
          <w:p w14:paraId="358D550B" w14:textId="77777777" w:rsidR="007C7178" w:rsidRPr="007C7178" w:rsidRDefault="007C7178" w:rsidP="007C7178">
            <w:pPr>
              <w:spacing w:after="0"/>
              <w:jc w:val="left"/>
              <w:rPr>
                <w:rFonts w:eastAsia="Times New Roman" w:cs="Times New Roman"/>
                <w:sz w:val="20"/>
                <w:szCs w:val="20"/>
              </w:rPr>
            </w:pPr>
            <w:r w:rsidRPr="007C7178">
              <w:rPr>
                <w:rFonts w:eastAsia="Times New Roman" w:cs="Times New Roman"/>
                <w:sz w:val="20"/>
                <w:szCs w:val="20"/>
              </w:rPr>
              <w:t>Предоставени трансфери от бюджета на Министерството на отбраната за бюджетите на държавните висши военни училища</w:t>
            </w:r>
          </w:p>
        </w:tc>
        <w:tc>
          <w:tcPr>
            <w:tcW w:w="548" w:type="pct"/>
            <w:tcBorders>
              <w:top w:val="nil"/>
              <w:left w:val="nil"/>
              <w:bottom w:val="single" w:sz="4" w:space="0" w:color="auto"/>
              <w:right w:val="nil"/>
            </w:tcBorders>
            <w:shd w:val="clear" w:color="000000" w:fill="FFFFFF"/>
            <w:noWrap/>
            <w:vAlign w:val="bottom"/>
            <w:hideMark/>
          </w:tcPr>
          <w:p w14:paraId="0A045B25"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49 620,3</w:t>
            </w:r>
          </w:p>
        </w:tc>
        <w:tc>
          <w:tcPr>
            <w:tcW w:w="548" w:type="pct"/>
            <w:tcBorders>
              <w:top w:val="nil"/>
              <w:left w:val="nil"/>
              <w:bottom w:val="single" w:sz="4" w:space="0" w:color="auto"/>
              <w:right w:val="nil"/>
            </w:tcBorders>
            <w:shd w:val="clear" w:color="000000" w:fill="FFFFFF"/>
            <w:noWrap/>
            <w:vAlign w:val="bottom"/>
            <w:hideMark/>
          </w:tcPr>
          <w:p w14:paraId="64294D3E"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49 931,0</w:t>
            </w:r>
          </w:p>
        </w:tc>
        <w:tc>
          <w:tcPr>
            <w:tcW w:w="548" w:type="pct"/>
            <w:tcBorders>
              <w:top w:val="nil"/>
              <w:left w:val="nil"/>
              <w:bottom w:val="single" w:sz="4" w:space="0" w:color="auto"/>
              <w:right w:val="nil"/>
            </w:tcBorders>
            <w:shd w:val="clear" w:color="000000" w:fill="FFFFFF"/>
            <w:noWrap/>
            <w:vAlign w:val="bottom"/>
            <w:hideMark/>
          </w:tcPr>
          <w:p w14:paraId="1F852336" w14:textId="77777777" w:rsidR="007C7178" w:rsidRPr="007C7178" w:rsidRDefault="007C7178" w:rsidP="007C7178">
            <w:pPr>
              <w:spacing w:after="0"/>
              <w:jc w:val="right"/>
              <w:rPr>
                <w:rFonts w:eastAsia="Times New Roman" w:cs="Times New Roman"/>
                <w:sz w:val="20"/>
                <w:szCs w:val="20"/>
              </w:rPr>
            </w:pPr>
            <w:r w:rsidRPr="007C7178">
              <w:rPr>
                <w:rFonts w:eastAsia="Times New Roman" w:cs="Times New Roman"/>
                <w:sz w:val="20"/>
                <w:szCs w:val="20"/>
              </w:rPr>
              <w:t>50 382,2</w:t>
            </w:r>
          </w:p>
        </w:tc>
      </w:tr>
    </w:tbl>
    <w:p w14:paraId="2EDD875E" w14:textId="77777777" w:rsidR="007C7178" w:rsidRDefault="007C7178" w:rsidP="008D2A8E">
      <w:pPr>
        <w:spacing w:after="120"/>
        <w:jc w:val="right"/>
        <w:rPr>
          <w:rFonts w:eastAsia="Times New Roman" w:cs="Times New Roman"/>
          <w:b/>
          <w:bCs/>
          <w:sz w:val="20"/>
          <w:szCs w:val="20"/>
        </w:rPr>
      </w:pPr>
    </w:p>
    <w:p w14:paraId="039EE63D" w14:textId="77777777" w:rsidR="00027A43" w:rsidRDefault="00027A43">
      <w:pPr>
        <w:spacing w:line="276" w:lineRule="auto"/>
        <w:jc w:val="left"/>
        <w:rPr>
          <w:sz w:val="18"/>
          <w:szCs w:val="18"/>
        </w:rPr>
      </w:pPr>
      <w:r>
        <w:rPr>
          <w:sz w:val="18"/>
          <w:szCs w:val="18"/>
        </w:rPr>
        <w:br w:type="page"/>
      </w:r>
    </w:p>
    <w:p w14:paraId="01F35169" w14:textId="77777777" w:rsidR="009E1DFF" w:rsidRDefault="002B149E" w:rsidP="00DE6798">
      <w:pPr>
        <w:pStyle w:val="Heading2"/>
      </w:pPr>
      <w:bookmarkStart w:id="615" w:name="_Toc464224829"/>
      <w:bookmarkStart w:id="616" w:name="_Toc464225479"/>
      <w:bookmarkStart w:id="617" w:name="_Toc464459026"/>
      <w:bookmarkStart w:id="618" w:name="_Toc464459774"/>
      <w:bookmarkStart w:id="619" w:name="_Toc464460727"/>
      <w:bookmarkStart w:id="620" w:name="_Toc464463126"/>
      <w:bookmarkStart w:id="621" w:name="_Toc464464955"/>
      <w:bookmarkStart w:id="622" w:name="_Toc464465462"/>
      <w:bookmarkStart w:id="623" w:name="_Toc464465650"/>
      <w:bookmarkStart w:id="624" w:name="_Toc464466474"/>
      <w:bookmarkStart w:id="625" w:name="_Toc464466717"/>
      <w:bookmarkStart w:id="626" w:name="_Toc464645434"/>
      <w:bookmarkStart w:id="627" w:name="_Toc465205592"/>
      <w:bookmarkStart w:id="628" w:name="_Toc216029381"/>
      <w:r w:rsidRPr="00AA3F66">
        <w:lastRenderedPageBreak/>
        <w:t xml:space="preserve">Приложение № 7: </w:t>
      </w:r>
      <w:r w:rsidR="00232AC7" w:rsidRPr="00AA3F66">
        <w:br/>
      </w:r>
      <w:r w:rsidR="00F60E52" w:rsidRPr="00AA3F66">
        <w:t>Размери</w:t>
      </w:r>
      <w:r w:rsidR="00382492" w:rsidRPr="00AA3F66">
        <w:t xml:space="preserve"> на разходите и</w:t>
      </w:r>
      <w:r w:rsidRPr="00AA3F66">
        <w:t xml:space="preserve"> трансферите (нето) по сметките за средствата от</w:t>
      </w:r>
      <w:r w:rsidR="00931F81" w:rsidRPr="00AA3F66">
        <w:t xml:space="preserve"> </w:t>
      </w:r>
      <w:r w:rsidR="003B3137">
        <w:t>Европейския съюз за периода 2026</w:t>
      </w:r>
      <w:r w:rsidR="00C40D40" w:rsidRPr="00AA3F66">
        <w:t>-202</w:t>
      </w:r>
      <w:r w:rsidR="004A6349">
        <w:t>8</w:t>
      </w:r>
      <w:r w:rsidR="00AA3035" w:rsidRPr="00AA3F66">
        <w:t> г.</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6E86D2CD" w14:textId="77777777" w:rsidR="003658CF" w:rsidRDefault="003658CF" w:rsidP="003658CF">
      <w:pPr>
        <w:jc w:val="right"/>
        <w:rPr>
          <w:rFonts w:eastAsia="Times New Roman" w:cs="Times New Roman"/>
          <w:b/>
          <w:bCs/>
          <w:sz w:val="20"/>
          <w:szCs w:val="20"/>
        </w:rPr>
      </w:pPr>
      <w:r w:rsidRPr="00844EF7">
        <w:rPr>
          <w:rFonts w:eastAsia="Times New Roman" w:cs="Times New Roman"/>
          <w:b/>
          <w:bCs/>
          <w:sz w:val="20"/>
          <w:szCs w:val="20"/>
        </w:rPr>
        <w:t>(в хил. евро)</w:t>
      </w:r>
    </w:p>
    <w:tbl>
      <w:tblPr>
        <w:tblW w:w="14729" w:type="dxa"/>
        <w:tblCellMar>
          <w:left w:w="70" w:type="dxa"/>
          <w:right w:w="70" w:type="dxa"/>
        </w:tblCellMar>
        <w:tblLook w:val="04A0" w:firstRow="1" w:lastRow="0" w:firstColumn="1" w:lastColumn="0" w:noHBand="0" w:noVBand="1"/>
      </w:tblPr>
      <w:tblGrid>
        <w:gridCol w:w="3969"/>
        <w:gridCol w:w="1180"/>
        <w:gridCol w:w="1180"/>
        <w:gridCol w:w="1160"/>
        <w:gridCol w:w="1120"/>
        <w:gridCol w:w="1280"/>
        <w:gridCol w:w="1220"/>
        <w:gridCol w:w="1120"/>
        <w:gridCol w:w="1280"/>
        <w:gridCol w:w="1220"/>
      </w:tblGrid>
      <w:tr w:rsidR="00771AC6" w:rsidRPr="00771AC6" w14:paraId="757CE9C8" w14:textId="77777777" w:rsidTr="00771AC6">
        <w:trPr>
          <w:trHeight w:val="255"/>
        </w:trPr>
        <w:tc>
          <w:tcPr>
            <w:tcW w:w="3969" w:type="dxa"/>
            <w:tcBorders>
              <w:top w:val="single" w:sz="4" w:space="0" w:color="auto"/>
              <w:left w:val="nil"/>
              <w:bottom w:val="nil"/>
              <w:right w:val="nil"/>
            </w:tcBorders>
            <w:shd w:val="clear" w:color="000000" w:fill="FFFFFF"/>
            <w:noWrap/>
            <w:hideMark/>
          </w:tcPr>
          <w:p w14:paraId="45520261"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w:t>
            </w:r>
          </w:p>
        </w:tc>
        <w:tc>
          <w:tcPr>
            <w:tcW w:w="3520" w:type="dxa"/>
            <w:gridSpan w:val="3"/>
            <w:tcBorders>
              <w:top w:val="single" w:sz="4" w:space="0" w:color="auto"/>
              <w:left w:val="nil"/>
              <w:bottom w:val="single" w:sz="4" w:space="0" w:color="595959"/>
              <w:right w:val="nil"/>
            </w:tcBorders>
            <w:shd w:val="clear" w:color="000000" w:fill="FFFFFF"/>
            <w:hideMark/>
          </w:tcPr>
          <w:p w14:paraId="76321009"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xml:space="preserve"> 2026 г.</w:t>
            </w:r>
          </w:p>
        </w:tc>
        <w:tc>
          <w:tcPr>
            <w:tcW w:w="3620" w:type="dxa"/>
            <w:gridSpan w:val="3"/>
            <w:tcBorders>
              <w:top w:val="single" w:sz="4" w:space="0" w:color="auto"/>
              <w:left w:val="nil"/>
              <w:bottom w:val="single" w:sz="4" w:space="0" w:color="595959"/>
              <w:right w:val="nil"/>
            </w:tcBorders>
            <w:shd w:val="clear" w:color="000000" w:fill="FFFFFF"/>
            <w:hideMark/>
          </w:tcPr>
          <w:p w14:paraId="799E3070"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xml:space="preserve"> 2027 г.</w:t>
            </w:r>
          </w:p>
        </w:tc>
        <w:tc>
          <w:tcPr>
            <w:tcW w:w="3620" w:type="dxa"/>
            <w:gridSpan w:val="3"/>
            <w:tcBorders>
              <w:top w:val="single" w:sz="4" w:space="0" w:color="auto"/>
              <w:left w:val="nil"/>
              <w:bottom w:val="single" w:sz="4" w:space="0" w:color="595959"/>
              <w:right w:val="nil"/>
            </w:tcBorders>
            <w:shd w:val="clear" w:color="000000" w:fill="FFFFFF"/>
            <w:hideMark/>
          </w:tcPr>
          <w:p w14:paraId="44B52C9A"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xml:space="preserve"> 2028 г.</w:t>
            </w:r>
          </w:p>
        </w:tc>
      </w:tr>
      <w:tr w:rsidR="00771AC6" w:rsidRPr="00771AC6" w14:paraId="4AE5E425" w14:textId="77777777" w:rsidTr="00771AC6">
        <w:trPr>
          <w:trHeight w:val="1110"/>
        </w:trPr>
        <w:tc>
          <w:tcPr>
            <w:tcW w:w="3969" w:type="dxa"/>
            <w:tcBorders>
              <w:top w:val="nil"/>
              <w:left w:val="nil"/>
              <w:bottom w:val="nil"/>
              <w:right w:val="nil"/>
            </w:tcBorders>
            <w:shd w:val="clear" w:color="000000" w:fill="FFFFFF"/>
            <w:hideMark/>
          </w:tcPr>
          <w:p w14:paraId="542195B1"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Сметки за средствата от Европейския съюз</w:t>
            </w:r>
          </w:p>
        </w:tc>
        <w:tc>
          <w:tcPr>
            <w:tcW w:w="1180" w:type="dxa"/>
            <w:tcBorders>
              <w:top w:val="nil"/>
              <w:left w:val="nil"/>
              <w:bottom w:val="single" w:sz="4" w:space="0" w:color="auto"/>
              <w:right w:val="nil"/>
            </w:tcBorders>
            <w:shd w:val="clear" w:color="000000" w:fill="FFFFFF"/>
            <w:hideMark/>
          </w:tcPr>
          <w:p w14:paraId="277880D8"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Общо разходи и трансфери (нето)</w:t>
            </w:r>
          </w:p>
        </w:tc>
        <w:tc>
          <w:tcPr>
            <w:tcW w:w="2340" w:type="dxa"/>
            <w:gridSpan w:val="2"/>
            <w:tcBorders>
              <w:top w:val="single" w:sz="4" w:space="0" w:color="595959"/>
              <w:left w:val="nil"/>
              <w:bottom w:val="single" w:sz="4" w:space="0" w:color="auto"/>
              <w:right w:val="nil"/>
            </w:tcBorders>
            <w:shd w:val="clear" w:color="000000" w:fill="FFFFFF"/>
            <w:hideMark/>
          </w:tcPr>
          <w:p w14:paraId="54F39444"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в т.ч.</w:t>
            </w:r>
          </w:p>
        </w:tc>
        <w:tc>
          <w:tcPr>
            <w:tcW w:w="1120" w:type="dxa"/>
            <w:tcBorders>
              <w:top w:val="nil"/>
              <w:left w:val="nil"/>
              <w:bottom w:val="single" w:sz="4" w:space="0" w:color="auto"/>
              <w:right w:val="nil"/>
            </w:tcBorders>
            <w:shd w:val="clear" w:color="000000" w:fill="FFFFFF"/>
            <w:hideMark/>
          </w:tcPr>
          <w:p w14:paraId="1F8BDE94"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Общо разходи и трансфери (нето)</w:t>
            </w:r>
          </w:p>
        </w:tc>
        <w:tc>
          <w:tcPr>
            <w:tcW w:w="2500" w:type="dxa"/>
            <w:gridSpan w:val="2"/>
            <w:tcBorders>
              <w:top w:val="single" w:sz="4" w:space="0" w:color="595959"/>
              <w:left w:val="nil"/>
              <w:bottom w:val="single" w:sz="4" w:space="0" w:color="auto"/>
              <w:right w:val="nil"/>
            </w:tcBorders>
            <w:shd w:val="clear" w:color="000000" w:fill="FFFFFF"/>
            <w:hideMark/>
          </w:tcPr>
          <w:p w14:paraId="53E6A07E"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в т.ч.</w:t>
            </w:r>
          </w:p>
        </w:tc>
        <w:tc>
          <w:tcPr>
            <w:tcW w:w="1120" w:type="dxa"/>
            <w:tcBorders>
              <w:top w:val="nil"/>
              <w:left w:val="nil"/>
              <w:bottom w:val="single" w:sz="4" w:space="0" w:color="auto"/>
              <w:right w:val="nil"/>
            </w:tcBorders>
            <w:shd w:val="clear" w:color="000000" w:fill="FFFFFF"/>
            <w:hideMark/>
          </w:tcPr>
          <w:p w14:paraId="51A7DB9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Общо разходи и трансфери (нето)</w:t>
            </w:r>
          </w:p>
        </w:tc>
        <w:tc>
          <w:tcPr>
            <w:tcW w:w="2500" w:type="dxa"/>
            <w:gridSpan w:val="2"/>
            <w:tcBorders>
              <w:top w:val="single" w:sz="4" w:space="0" w:color="595959"/>
              <w:left w:val="nil"/>
              <w:bottom w:val="single" w:sz="4" w:space="0" w:color="auto"/>
              <w:right w:val="nil"/>
            </w:tcBorders>
            <w:shd w:val="clear" w:color="000000" w:fill="FFFFFF"/>
            <w:hideMark/>
          </w:tcPr>
          <w:p w14:paraId="2FA0E7B5"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в т.ч.</w:t>
            </w:r>
          </w:p>
        </w:tc>
      </w:tr>
      <w:tr w:rsidR="00771AC6" w:rsidRPr="00771AC6" w14:paraId="713E2336" w14:textId="77777777" w:rsidTr="00771AC6">
        <w:trPr>
          <w:trHeight w:val="510"/>
        </w:trPr>
        <w:tc>
          <w:tcPr>
            <w:tcW w:w="3969" w:type="dxa"/>
            <w:tcBorders>
              <w:top w:val="nil"/>
              <w:left w:val="nil"/>
              <w:bottom w:val="single" w:sz="4" w:space="0" w:color="auto"/>
              <w:right w:val="nil"/>
            </w:tcBorders>
            <w:shd w:val="clear" w:color="000000" w:fill="FFFFFF"/>
            <w:noWrap/>
            <w:hideMark/>
          </w:tcPr>
          <w:p w14:paraId="706E2DAA"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FFFFF"/>
            <w:vAlign w:val="center"/>
            <w:hideMark/>
          </w:tcPr>
          <w:p w14:paraId="4DDAC4E0"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к.2.1-к.2.2</w:t>
            </w:r>
          </w:p>
        </w:tc>
        <w:tc>
          <w:tcPr>
            <w:tcW w:w="1180" w:type="dxa"/>
            <w:tcBorders>
              <w:top w:val="nil"/>
              <w:left w:val="nil"/>
              <w:bottom w:val="single" w:sz="4" w:space="0" w:color="auto"/>
              <w:right w:val="nil"/>
            </w:tcBorders>
            <w:shd w:val="clear" w:color="000000" w:fill="FFFFFF"/>
            <w:hideMark/>
          </w:tcPr>
          <w:p w14:paraId="5CBF916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Разходи</w:t>
            </w:r>
          </w:p>
        </w:tc>
        <w:tc>
          <w:tcPr>
            <w:tcW w:w="1160" w:type="dxa"/>
            <w:tcBorders>
              <w:top w:val="nil"/>
              <w:left w:val="nil"/>
              <w:bottom w:val="single" w:sz="4" w:space="0" w:color="auto"/>
              <w:right w:val="nil"/>
            </w:tcBorders>
            <w:shd w:val="clear" w:color="000000" w:fill="FFFFFF"/>
            <w:hideMark/>
          </w:tcPr>
          <w:p w14:paraId="3C3AEA73"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Трансфери (нето)</w:t>
            </w:r>
          </w:p>
        </w:tc>
        <w:tc>
          <w:tcPr>
            <w:tcW w:w="1120" w:type="dxa"/>
            <w:tcBorders>
              <w:top w:val="nil"/>
              <w:left w:val="nil"/>
              <w:bottom w:val="single" w:sz="4" w:space="0" w:color="auto"/>
              <w:right w:val="nil"/>
            </w:tcBorders>
            <w:shd w:val="clear" w:color="000000" w:fill="FFFFFF"/>
            <w:vAlign w:val="center"/>
            <w:hideMark/>
          </w:tcPr>
          <w:p w14:paraId="3B410E2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к.3.1-к.3.2</w:t>
            </w:r>
          </w:p>
        </w:tc>
        <w:tc>
          <w:tcPr>
            <w:tcW w:w="1280" w:type="dxa"/>
            <w:tcBorders>
              <w:top w:val="nil"/>
              <w:left w:val="nil"/>
              <w:bottom w:val="single" w:sz="4" w:space="0" w:color="auto"/>
              <w:right w:val="nil"/>
            </w:tcBorders>
            <w:shd w:val="clear" w:color="000000" w:fill="FFFFFF"/>
            <w:hideMark/>
          </w:tcPr>
          <w:p w14:paraId="49C9AA5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58999FB4"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Трансфери (нето)</w:t>
            </w:r>
          </w:p>
        </w:tc>
        <w:tc>
          <w:tcPr>
            <w:tcW w:w="1120" w:type="dxa"/>
            <w:tcBorders>
              <w:top w:val="nil"/>
              <w:left w:val="nil"/>
              <w:bottom w:val="single" w:sz="4" w:space="0" w:color="auto"/>
              <w:right w:val="nil"/>
            </w:tcBorders>
            <w:shd w:val="clear" w:color="000000" w:fill="FFFFFF"/>
            <w:vAlign w:val="center"/>
            <w:hideMark/>
          </w:tcPr>
          <w:p w14:paraId="1890A824"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к.4.1-к.4.2</w:t>
            </w:r>
          </w:p>
        </w:tc>
        <w:tc>
          <w:tcPr>
            <w:tcW w:w="1280" w:type="dxa"/>
            <w:tcBorders>
              <w:top w:val="nil"/>
              <w:left w:val="nil"/>
              <w:bottom w:val="single" w:sz="4" w:space="0" w:color="auto"/>
              <w:right w:val="nil"/>
            </w:tcBorders>
            <w:shd w:val="clear" w:color="000000" w:fill="FFFFFF"/>
            <w:hideMark/>
          </w:tcPr>
          <w:p w14:paraId="008F2833"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0F05EC12"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Трансфери (нето)</w:t>
            </w:r>
          </w:p>
        </w:tc>
      </w:tr>
      <w:tr w:rsidR="00771AC6" w:rsidRPr="00771AC6" w14:paraId="5B213668" w14:textId="77777777" w:rsidTr="00771AC6">
        <w:trPr>
          <w:trHeight w:val="255"/>
        </w:trPr>
        <w:tc>
          <w:tcPr>
            <w:tcW w:w="3969" w:type="dxa"/>
            <w:tcBorders>
              <w:top w:val="nil"/>
              <w:left w:val="nil"/>
              <w:bottom w:val="single" w:sz="4" w:space="0" w:color="auto"/>
              <w:right w:val="nil"/>
            </w:tcBorders>
            <w:shd w:val="clear" w:color="000000" w:fill="FFFFFF"/>
            <w:noWrap/>
            <w:hideMark/>
          </w:tcPr>
          <w:p w14:paraId="77D9CE8E"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1</w:t>
            </w:r>
          </w:p>
        </w:tc>
        <w:tc>
          <w:tcPr>
            <w:tcW w:w="1180" w:type="dxa"/>
            <w:tcBorders>
              <w:top w:val="nil"/>
              <w:left w:val="nil"/>
              <w:bottom w:val="single" w:sz="4" w:space="0" w:color="auto"/>
              <w:right w:val="nil"/>
            </w:tcBorders>
            <w:shd w:val="clear" w:color="000000" w:fill="FFFFFF"/>
            <w:noWrap/>
            <w:hideMark/>
          </w:tcPr>
          <w:p w14:paraId="79D61073"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w:t>
            </w:r>
          </w:p>
        </w:tc>
        <w:tc>
          <w:tcPr>
            <w:tcW w:w="1180" w:type="dxa"/>
            <w:tcBorders>
              <w:top w:val="nil"/>
              <w:left w:val="nil"/>
              <w:bottom w:val="single" w:sz="4" w:space="0" w:color="auto"/>
              <w:right w:val="nil"/>
            </w:tcBorders>
            <w:shd w:val="clear" w:color="000000" w:fill="FFFFFF"/>
            <w:noWrap/>
            <w:hideMark/>
          </w:tcPr>
          <w:p w14:paraId="2441F727"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2.1</w:t>
            </w:r>
          </w:p>
        </w:tc>
        <w:tc>
          <w:tcPr>
            <w:tcW w:w="1160" w:type="dxa"/>
            <w:tcBorders>
              <w:top w:val="nil"/>
              <w:left w:val="nil"/>
              <w:bottom w:val="single" w:sz="4" w:space="0" w:color="auto"/>
              <w:right w:val="nil"/>
            </w:tcBorders>
            <w:shd w:val="clear" w:color="000000" w:fill="FFFFFF"/>
            <w:noWrap/>
            <w:hideMark/>
          </w:tcPr>
          <w:p w14:paraId="11B351E3"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2.2</w:t>
            </w:r>
          </w:p>
        </w:tc>
        <w:tc>
          <w:tcPr>
            <w:tcW w:w="1120" w:type="dxa"/>
            <w:tcBorders>
              <w:top w:val="nil"/>
              <w:left w:val="nil"/>
              <w:bottom w:val="single" w:sz="4" w:space="0" w:color="auto"/>
              <w:right w:val="nil"/>
            </w:tcBorders>
            <w:shd w:val="clear" w:color="000000" w:fill="FFFFFF"/>
            <w:noWrap/>
            <w:hideMark/>
          </w:tcPr>
          <w:p w14:paraId="27592637"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3</w:t>
            </w:r>
          </w:p>
        </w:tc>
        <w:tc>
          <w:tcPr>
            <w:tcW w:w="1280" w:type="dxa"/>
            <w:tcBorders>
              <w:top w:val="nil"/>
              <w:left w:val="nil"/>
              <w:bottom w:val="single" w:sz="4" w:space="0" w:color="auto"/>
              <w:right w:val="nil"/>
            </w:tcBorders>
            <w:shd w:val="clear" w:color="000000" w:fill="FFFFFF"/>
            <w:noWrap/>
            <w:hideMark/>
          </w:tcPr>
          <w:p w14:paraId="221BE107"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3.1</w:t>
            </w:r>
          </w:p>
        </w:tc>
        <w:tc>
          <w:tcPr>
            <w:tcW w:w="1220" w:type="dxa"/>
            <w:tcBorders>
              <w:top w:val="nil"/>
              <w:left w:val="nil"/>
              <w:bottom w:val="single" w:sz="4" w:space="0" w:color="auto"/>
              <w:right w:val="nil"/>
            </w:tcBorders>
            <w:shd w:val="clear" w:color="000000" w:fill="FFFFFF"/>
            <w:noWrap/>
            <w:hideMark/>
          </w:tcPr>
          <w:p w14:paraId="2294833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3.2</w:t>
            </w:r>
          </w:p>
        </w:tc>
        <w:tc>
          <w:tcPr>
            <w:tcW w:w="1120" w:type="dxa"/>
            <w:tcBorders>
              <w:top w:val="nil"/>
              <w:left w:val="nil"/>
              <w:bottom w:val="single" w:sz="4" w:space="0" w:color="auto"/>
              <w:right w:val="nil"/>
            </w:tcBorders>
            <w:shd w:val="clear" w:color="000000" w:fill="FFFFFF"/>
            <w:noWrap/>
            <w:hideMark/>
          </w:tcPr>
          <w:p w14:paraId="367B8FC1"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4</w:t>
            </w:r>
          </w:p>
        </w:tc>
        <w:tc>
          <w:tcPr>
            <w:tcW w:w="1280" w:type="dxa"/>
            <w:tcBorders>
              <w:top w:val="nil"/>
              <w:left w:val="nil"/>
              <w:bottom w:val="single" w:sz="4" w:space="0" w:color="auto"/>
              <w:right w:val="nil"/>
            </w:tcBorders>
            <w:shd w:val="clear" w:color="000000" w:fill="FFFFFF"/>
            <w:noWrap/>
            <w:hideMark/>
          </w:tcPr>
          <w:p w14:paraId="3D46BBBA"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4.1</w:t>
            </w:r>
          </w:p>
        </w:tc>
        <w:tc>
          <w:tcPr>
            <w:tcW w:w="1220" w:type="dxa"/>
            <w:tcBorders>
              <w:top w:val="nil"/>
              <w:left w:val="nil"/>
              <w:bottom w:val="single" w:sz="4" w:space="0" w:color="auto"/>
              <w:right w:val="nil"/>
            </w:tcBorders>
            <w:shd w:val="clear" w:color="000000" w:fill="FFFFFF"/>
            <w:noWrap/>
            <w:hideMark/>
          </w:tcPr>
          <w:p w14:paraId="5D9C9587"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4.2</w:t>
            </w:r>
          </w:p>
        </w:tc>
      </w:tr>
      <w:tr w:rsidR="00771AC6" w:rsidRPr="00771AC6" w14:paraId="22F65B86" w14:textId="77777777" w:rsidTr="00771AC6">
        <w:trPr>
          <w:trHeight w:val="525"/>
        </w:trPr>
        <w:tc>
          <w:tcPr>
            <w:tcW w:w="3969" w:type="dxa"/>
            <w:tcBorders>
              <w:top w:val="nil"/>
              <w:left w:val="nil"/>
              <w:bottom w:val="nil"/>
              <w:right w:val="nil"/>
            </w:tcBorders>
            <w:shd w:val="clear" w:color="000000" w:fill="FFFFFF"/>
            <w:hideMark/>
          </w:tcPr>
          <w:p w14:paraId="24310FDF"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Сметка за средствата от Европейския съюз на Държавния фонд „Земеделие“</w:t>
            </w:r>
          </w:p>
        </w:tc>
        <w:tc>
          <w:tcPr>
            <w:tcW w:w="1180" w:type="dxa"/>
            <w:tcBorders>
              <w:top w:val="nil"/>
              <w:left w:val="nil"/>
              <w:bottom w:val="nil"/>
              <w:right w:val="nil"/>
            </w:tcBorders>
            <w:shd w:val="clear" w:color="000000" w:fill="FFFFFF"/>
            <w:noWrap/>
            <w:vAlign w:val="bottom"/>
            <w:hideMark/>
          </w:tcPr>
          <w:p w14:paraId="093A9A8F"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193 835,6</w:t>
            </w:r>
          </w:p>
        </w:tc>
        <w:tc>
          <w:tcPr>
            <w:tcW w:w="1180" w:type="dxa"/>
            <w:tcBorders>
              <w:top w:val="nil"/>
              <w:left w:val="nil"/>
              <w:bottom w:val="nil"/>
              <w:right w:val="nil"/>
            </w:tcBorders>
            <w:shd w:val="clear" w:color="000000" w:fill="FFFFFF"/>
            <w:noWrap/>
            <w:vAlign w:val="bottom"/>
            <w:hideMark/>
          </w:tcPr>
          <w:p w14:paraId="28480A6F"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666 970,2</w:t>
            </w:r>
          </w:p>
        </w:tc>
        <w:tc>
          <w:tcPr>
            <w:tcW w:w="1160" w:type="dxa"/>
            <w:tcBorders>
              <w:top w:val="nil"/>
              <w:left w:val="nil"/>
              <w:bottom w:val="nil"/>
              <w:right w:val="nil"/>
            </w:tcBorders>
            <w:shd w:val="clear" w:color="000000" w:fill="FFFFFF"/>
            <w:noWrap/>
            <w:vAlign w:val="bottom"/>
            <w:hideMark/>
          </w:tcPr>
          <w:p w14:paraId="6EC51DC9"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473 134,6</w:t>
            </w:r>
          </w:p>
        </w:tc>
        <w:tc>
          <w:tcPr>
            <w:tcW w:w="1120" w:type="dxa"/>
            <w:tcBorders>
              <w:top w:val="nil"/>
              <w:left w:val="nil"/>
              <w:bottom w:val="nil"/>
              <w:right w:val="nil"/>
            </w:tcBorders>
            <w:shd w:val="clear" w:color="000000" w:fill="FFFFFF"/>
            <w:noWrap/>
            <w:vAlign w:val="bottom"/>
            <w:hideMark/>
          </w:tcPr>
          <w:p w14:paraId="1B14A394"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210 338,1</w:t>
            </w:r>
          </w:p>
        </w:tc>
        <w:tc>
          <w:tcPr>
            <w:tcW w:w="1280" w:type="dxa"/>
            <w:tcBorders>
              <w:top w:val="nil"/>
              <w:left w:val="nil"/>
              <w:bottom w:val="nil"/>
              <w:right w:val="nil"/>
            </w:tcBorders>
            <w:shd w:val="clear" w:color="000000" w:fill="FFFFFF"/>
            <w:noWrap/>
            <w:vAlign w:val="bottom"/>
            <w:hideMark/>
          </w:tcPr>
          <w:p w14:paraId="01D42C7A"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684 235,6</w:t>
            </w:r>
          </w:p>
        </w:tc>
        <w:tc>
          <w:tcPr>
            <w:tcW w:w="1220" w:type="dxa"/>
            <w:tcBorders>
              <w:top w:val="nil"/>
              <w:left w:val="nil"/>
              <w:bottom w:val="nil"/>
              <w:right w:val="nil"/>
            </w:tcBorders>
            <w:shd w:val="clear" w:color="000000" w:fill="FFFFFF"/>
            <w:noWrap/>
            <w:vAlign w:val="bottom"/>
            <w:hideMark/>
          </w:tcPr>
          <w:p w14:paraId="43BAF147"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473 897,5</w:t>
            </w:r>
          </w:p>
        </w:tc>
        <w:tc>
          <w:tcPr>
            <w:tcW w:w="1120" w:type="dxa"/>
            <w:tcBorders>
              <w:top w:val="nil"/>
              <w:left w:val="nil"/>
              <w:bottom w:val="nil"/>
              <w:right w:val="nil"/>
            </w:tcBorders>
            <w:shd w:val="clear" w:color="000000" w:fill="FFFFFF"/>
            <w:noWrap/>
            <w:vAlign w:val="bottom"/>
            <w:hideMark/>
          </w:tcPr>
          <w:p w14:paraId="75C70A08"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220 546,0</w:t>
            </w:r>
          </w:p>
        </w:tc>
        <w:tc>
          <w:tcPr>
            <w:tcW w:w="1280" w:type="dxa"/>
            <w:tcBorders>
              <w:top w:val="nil"/>
              <w:left w:val="nil"/>
              <w:bottom w:val="nil"/>
              <w:right w:val="nil"/>
            </w:tcBorders>
            <w:shd w:val="clear" w:color="000000" w:fill="FFFFFF"/>
            <w:noWrap/>
            <w:vAlign w:val="bottom"/>
            <w:hideMark/>
          </w:tcPr>
          <w:p w14:paraId="6FD8D28F"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695 366,3</w:t>
            </w:r>
          </w:p>
        </w:tc>
        <w:tc>
          <w:tcPr>
            <w:tcW w:w="1220" w:type="dxa"/>
            <w:tcBorders>
              <w:top w:val="nil"/>
              <w:left w:val="nil"/>
              <w:bottom w:val="nil"/>
              <w:right w:val="nil"/>
            </w:tcBorders>
            <w:shd w:val="clear" w:color="000000" w:fill="FFFFFF"/>
            <w:noWrap/>
            <w:vAlign w:val="bottom"/>
            <w:hideMark/>
          </w:tcPr>
          <w:p w14:paraId="6C12A950"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474 820,3</w:t>
            </w:r>
          </w:p>
        </w:tc>
      </w:tr>
      <w:tr w:rsidR="00771AC6" w:rsidRPr="00771AC6" w14:paraId="530075CF" w14:textId="77777777" w:rsidTr="00771AC6">
        <w:trPr>
          <w:trHeight w:val="525"/>
        </w:trPr>
        <w:tc>
          <w:tcPr>
            <w:tcW w:w="3969" w:type="dxa"/>
            <w:tcBorders>
              <w:top w:val="nil"/>
              <w:left w:val="nil"/>
              <w:bottom w:val="nil"/>
              <w:right w:val="nil"/>
            </w:tcBorders>
            <w:shd w:val="clear" w:color="000000" w:fill="FFFFFF"/>
            <w:hideMark/>
          </w:tcPr>
          <w:p w14:paraId="6021E816"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Сметка за средствата от Европейския съюз на Националния фонд</w:t>
            </w:r>
          </w:p>
        </w:tc>
        <w:tc>
          <w:tcPr>
            <w:tcW w:w="1180" w:type="dxa"/>
            <w:tcBorders>
              <w:top w:val="nil"/>
              <w:left w:val="nil"/>
              <w:bottom w:val="nil"/>
              <w:right w:val="nil"/>
            </w:tcBorders>
            <w:shd w:val="clear" w:color="000000" w:fill="FFFFFF"/>
            <w:noWrap/>
            <w:vAlign w:val="bottom"/>
            <w:hideMark/>
          </w:tcPr>
          <w:p w14:paraId="0FD18DFB"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4 017 649,8</w:t>
            </w:r>
          </w:p>
        </w:tc>
        <w:tc>
          <w:tcPr>
            <w:tcW w:w="1180" w:type="dxa"/>
            <w:tcBorders>
              <w:top w:val="nil"/>
              <w:left w:val="nil"/>
              <w:bottom w:val="nil"/>
              <w:right w:val="nil"/>
            </w:tcBorders>
            <w:shd w:val="clear" w:color="000000" w:fill="FFFFFF"/>
            <w:noWrap/>
            <w:vAlign w:val="bottom"/>
            <w:hideMark/>
          </w:tcPr>
          <w:p w14:paraId="75407E91"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4 688 021,2</w:t>
            </w:r>
          </w:p>
        </w:tc>
        <w:tc>
          <w:tcPr>
            <w:tcW w:w="1160" w:type="dxa"/>
            <w:tcBorders>
              <w:top w:val="nil"/>
              <w:left w:val="nil"/>
              <w:bottom w:val="nil"/>
              <w:right w:val="nil"/>
            </w:tcBorders>
            <w:shd w:val="clear" w:color="000000" w:fill="FFFFFF"/>
            <w:noWrap/>
            <w:vAlign w:val="bottom"/>
            <w:hideMark/>
          </w:tcPr>
          <w:p w14:paraId="46447D35"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670 371,4</w:t>
            </w:r>
          </w:p>
        </w:tc>
        <w:tc>
          <w:tcPr>
            <w:tcW w:w="1120" w:type="dxa"/>
            <w:tcBorders>
              <w:top w:val="nil"/>
              <w:left w:val="nil"/>
              <w:bottom w:val="nil"/>
              <w:right w:val="nil"/>
            </w:tcBorders>
            <w:shd w:val="clear" w:color="000000" w:fill="FFFFFF"/>
            <w:noWrap/>
            <w:vAlign w:val="bottom"/>
            <w:hideMark/>
          </w:tcPr>
          <w:p w14:paraId="4C842FE6"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2 495 917,3</w:t>
            </w:r>
          </w:p>
        </w:tc>
        <w:tc>
          <w:tcPr>
            <w:tcW w:w="1280" w:type="dxa"/>
            <w:tcBorders>
              <w:top w:val="nil"/>
              <w:left w:val="nil"/>
              <w:bottom w:val="nil"/>
              <w:right w:val="nil"/>
            </w:tcBorders>
            <w:shd w:val="clear" w:color="000000" w:fill="FFFFFF"/>
            <w:noWrap/>
            <w:vAlign w:val="bottom"/>
            <w:hideMark/>
          </w:tcPr>
          <w:p w14:paraId="062E55A3"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3 083 380,1</w:t>
            </w:r>
          </w:p>
        </w:tc>
        <w:tc>
          <w:tcPr>
            <w:tcW w:w="1220" w:type="dxa"/>
            <w:tcBorders>
              <w:top w:val="nil"/>
              <w:left w:val="nil"/>
              <w:bottom w:val="nil"/>
              <w:right w:val="nil"/>
            </w:tcBorders>
            <w:shd w:val="clear" w:color="000000" w:fill="FFFFFF"/>
            <w:noWrap/>
            <w:vAlign w:val="bottom"/>
            <w:hideMark/>
          </w:tcPr>
          <w:p w14:paraId="3A9801D7"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587 462,8</w:t>
            </w:r>
          </w:p>
        </w:tc>
        <w:tc>
          <w:tcPr>
            <w:tcW w:w="1120" w:type="dxa"/>
            <w:tcBorders>
              <w:top w:val="nil"/>
              <w:left w:val="nil"/>
              <w:bottom w:val="nil"/>
              <w:right w:val="nil"/>
            </w:tcBorders>
            <w:shd w:val="clear" w:color="000000" w:fill="FFFFFF"/>
            <w:noWrap/>
            <w:vAlign w:val="bottom"/>
            <w:hideMark/>
          </w:tcPr>
          <w:p w14:paraId="748B74B6"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2 696 074,1</w:t>
            </w:r>
          </w:p>
        </w:tc>
        <w:tc>
          <w:tcPr>
            <w:tcW w:w="1280" w:type="dxa"/>
            <w:tcBorders>
              <w:top w:val="nil"/>
              <w:left w:val="nil"/>
              <w:bottom w:val="nil"/>
              <w:right w:val="nil"/>
            </w:tcBorders>
            <w:shd w:val="clear" w:color="000000" w:fill="FFFFFF"/>
            <w:noWrap/>
            <w:vAlign w:val="bottom"/>
            <w:hideMark/>
          </w:tcPr>
          <w:p w14:paraId="250961A1"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3 394 537,7</w:t>
            </w:r>
          </w:p>
        </w:tc>
        <w:tc>
          <w:tcPr>
            <w:tcW w:w="1220" w:type="dxa"/>
            <w:tcBorders>
              <w:top w:val="nil"/>
              <w:left w:val="nil"/>
              <w:bottom w:val="nil"/>
              <w:right w:val="nil"/>
            </w:tcBorders>
            <w:shd w:val="clear" w:color="000000" w:fill="FFFFFF"/>
            <w:noWrap/>
            <w:vAlign w:val="bottom"/>
            <w:hideMark/>
          </w:tcPr>
          <w:p w14:paraId="73F32C89"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698 463,6</w:t>
            </w:r>
          </w:p>
        </w:tc>
      </w:tr>
      <w:tr w:rsidR="00771AC6" w:rsidRPr="00771AC6" w14:paraId="380E3A63" w14:textId="77777777" w:rsidTr="00771AC6">
        <w:trPr>
          <w:trHeight w:val="1350"/>
        </w:trPr>
        <w:tc>
          <w:tcPr>
            <w:tcW w:w="3969" w:type="dxa"/>
            <w:tcBorders>
              <w:top w:val="nil"/>
              <w:left w:val="nil"/>
              <w:bottom w:val="single" w:sz="4" w:space="0" w:color="auto"/>
              <w:right w:val="nil"/>
            </w:tcBorders>
            <w:shd w:val="clear" w:color="000000" w:fill="FFFFFF"/>
            <w:hideMark/>
          </w:tcPr>
          <w:p w14:paraId="53B471B8"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Други сметки за средства от Европейския съюз и средства по други международни програми и договори, за които се прилага режимът на сметките за средства от Европейския съюз</w:t>
            </w:r>
          </w:p>
        </w:tc>
        <w:tc>
          <w:tcPr>
            <w:tcW w:w="1180" w:type="dxa"/>
            <w:tcBorders>
              <w:top w:val="nil"/>
              <w:left w:val="nil"/>
              <w:bottom w:val="single" w:sz="4" w:space="0" w:color="auto"/>
              <w:right w:val="nil"/>
            </w:tcBorders>
            <w:shd w:val="clear" w:color="000000" w:fill="FFFFFF"/>
            <w:noWrap/>
            <w:vAlign w:val="bottom"/>
            <w:hideMark/>
          </w:tcPr>
          <w:p w14:paraId="4C7B92C9"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333 334,8</w:t>
            </w:r>
          </w:p>
        </w:tc>
        <w:tc>
          <w:tcPr>
            <w:tcW w:w="1180" w:type="dxa"/>
            <w:tcBorders>
              <w:top w:val="nil"/>
              <w:left w:val="nil"/>
              <w:bottom w:val="single" w:sz="4" w:space="0" w:color="auto"/>
              <w:right w:val="nil"/>
            </w:tcBorders>
            <w:shd w:val="clear" w:color="000000" w:fill="FFFFFF"/>
            <w:noWrap/>
            <w:vAlign w:val="bottom"/>
            <w:hideMark/>
          </w:tcPr>
          <w:p w14:paraId="3BBAF4EC"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452 067,6</w:t>
            </w:r>
          </w:p>
        </w:tc>
        <w:tc>
          <w:tcPr>
            <w:tcW w:w="1160" w:type="dxa"/>
            <w:tcBorders>
              <w:top w:val="nil"/>
              <w:left w:val="nil"/>
              <w:bottom w:val="single" w:sz="4" w:space="0" w:color="auto"/>
              <w:right w:val="nil"/>
            </w:tcBorders>
            <w:shd w:val="clear" w:color="000000" w:fill="FFFFFF"/>
            <w:noWrap/>
            <w:vAlign w:val="bottom"/>
            <w:hideMark/>
          </w:tcPr>
          <w:p w14:paraId="0E52DBA7"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118 732,8</w:t>
            </w:r>
          </w:p>
        </w:tc>
        <w:tc>
          <w:tcPr>
            <w:tcW w:w="1120" w:type="dxa"/>
            <w:tcBorders>
              <w:top w:val="nil"/>
              <w:left w:val="nil"/>
              <w:bottom w:val="single" w:sz="4" w:space="0" w:color="auto"/>
              <w:right w:val="nil"/>
            </w:tcBorders>
            <w:shd w:val="clear" w:color="000000" w:fill="FFFFFF"/>
            <w:noWrap/>
            <w:vAlign w:val="bottom"/>
            <w:hideMark/>
          </w:tcPr>
          <w:p w14:paraId="1BC147F3"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383 786,5</w:t>
            </w:r>
          </w:p>
        </w:tc>
        <w:tc>
          <w:tcPr>
            <w:tcW w:w="1280" w:type="dxa"/>
            <w:tcBorders>
              <w:top w:val="nil"/>
              <w:left w:val="nil"/>
              <w:bottom w:val="single" w:sz="4" w:space="0" w:color="auto"/>
              <w:right w:val="nil"/>
            </w:tcBorders>
            <w:shd w:val="clear" w:color="000000" w:fill="FFFFFF"/>
            <w:noWrap/>
            <w:vAlign w:val="bottom"/>
            <w:hideMark/>
          </w:tcPr>
          <w:p w14:paraId="60F1E42E"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580 382,0</w:t>
            </w:r>
          </w:p>
        </w:tc>
        <w:tc>
          <w:tcPr>
            <w:tcW w:w="1220" w:type="dxa"/>
            <w:tcBorders>
              <w:top w:val="nil"/>
              <w:left w:val="nil"/>
              <w:bottom w:val="single" w:sz="4" w:space="0" w:color="auto"/>
              <w:right w:val="nil"/>
            </w:tcBorders>
            <w:shd w:val="clear" w:color="000000" w:fill="FFFFFF"/>
            <w:noWrap/>
            <w:vAlign w:val="bottom"/>
            <w:hideMark/>
          </w:tcPr>
          <w:p w14:paraId="3ACBADAD"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196 595,5</w:t>
            </w:r>
          </w:p>
        </w:tc>
        <w:tc>
          <w:tcPr>
            <w:tcW w:w="1120" w:type="dxa"/>
            <w:tcBorders>
              <w:top w:val="nil"/>
              <w:left w:val="nil"/>
              <w:bottom w:val="single" w:sz="4" w:space="0" w:color="auto"/>
              <w:right w:val="nil"/>
            </w:tcBorders>
            <w:shd w:val="clear" w:color="000000" w:fill="FFFFFF"/>
            <w:noWrap/>
            <w:vAlign w:val="bottom"/>
            <w:hideMark/>
          </w:tcPr>
          <w:p w14:paraId="32D28E14"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283 642,7</w:t>
            </w:r>
          </w:p>
        </w:tc>
        <w:tc>
          <w:tcPr>
            <w:tcW w:w="1280" w:type="dxa"/>
            <w:tcBorders>
              <w:top w:val="nil"/>
              <w:left w:val="nil"/>
              <w:bottom w:val="single" w:sz="4" w:space="0" w:color="auto"/>
              <w:right w:val="nil"/>
            </w:tcBorders>
            <w:shd w:val="clear" w:color="000000" w:fill="FFFFFF"/>
            <w:noWrap/>
            <w:vAlign w:val="bottom"/>
            <w:hideMark/>
          </w:tcPr>
          <w:p w14:paraId="52A17300"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427 747,4</w:t>
            </w:r>
          </w:p>
        </w:tc>
        <w:tc>
          <w:tcPr>
            <w:tcW w:w="1220" w:type="dxa"/>
            <w:tcBorders>
              <w:top w:val="nil"/>
              <w:left w:val="nil"/>
              <w:bottom w:val="single" w:sz="4" w:space="0" w:color="auto"/>
              <w:right w:val="nil"/>
            </w:tcBorders>
            <w:shd w:val="clear" w:color="000000" w:fill="FFFFFF"/>
            <w:noWrap/>
            <w:vAlign w:val="bottom"/>
            <w:hideMark/>
          </w:tcPr>
          <w:p w14:paraId="16C5A9C2"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144 104,7</w:t>
            </w:r>
          </w:p>
        </w:tc>
      </w:tr>
    </w:tbl>
    <w:p w14:paraId="14E2C9AD" w14:textId="77777777" w:rsidR="00771AC6" w:rsidRPr="003658CF" w:rsidRDefault="00771AC6" w:rsidP="003658CF">
      <w:pPr>
        <w:jc w:val="right"/>
      </w:pPr>
    </w:p>
    <w:p w14:paraId="5B5F9FED" w14:textId="77777777" w:rsidR="007208F8" w:rsidRDefault="007208F8" w:rsidP="009E1DFF"/>
    <w:p w14:paraId="7E873C22" w14:textId="77777777" w:rsidR="00AA7571" w:rsidRPr="009E1DFF" w:rsidRDefault="00AA7571" w:rsidP="009E1DFF">
      <w:pPr>
        <w:jc w:val="right"/>
        <w:rPr>
          <w:sz w:val="18"/>
          <w:szCs w:val="18"/>
        </w:rPr>
      </w:pPr>
    </w:p>
    <w:p w14:paraId="251AD9EB" w14:textId="77777777" w:rsidR="009E1DFF" w:rsidRPr="009E1DFF" w:rsidRDefault="009E1DFF" w:rsidP="009E1DFF"/>
    <w:p w14:paraId="1226BFB3" w14:textId="77777777" w:rsidR="0069080D" w:rsidRDefault="0069080D" w:rsidP="00363F6B">
      <w:pPr>
        <w:spacing w:after="120"/>
        <w:jc w:val="right"/>
        <w:rPr>
          <w:sz w:val="20"/>
          <w:szCs w:val="20"/>
        </w:rPr>
      </w:pPr>
    </w:p>
    <w:p w14:paraId="7394F9C2" w14:textId="77777777" w:rsidR="00027A43" w:rsidRDefault="00027A43">
      <w:pPr>
        <w:spacing w:line="276" w:lineRule="auto"/>
        <w:jc w:val="left"/>
        <w:rPr>
          <w:sz w:val="20"/>
          <w:szCs w:val="20"/>
        </w:rPr>
      </w:pPr>
      <w:r>
        <w:rPr>
          <w:sz w:val="20"/>
          <w:szCs w:val="20"/>
        </w:rPr>
        <w:br w:type="page"/>
      </w:r>
    </w:p>
    <w:p w14:paraId="353E8F79" w14:textId="77777777" w:rsidR="00CB34AF" w:rsidRDefault="00CB34AF" w:rsidP="00363F6B">
      <w:pPr>
        <w:spacing w:after="120"/>
        <w:jc w:val="right"/>
        <w:rPr>
          <w:sz w:val="20"/>
          <w:szCs w:val="20"/>
        </w:rPr>
      </w:pPr>
    </w:p>
    <w:p w14:paraId="3C12E282" w14:textId="77777777" w:rsidR="00E67632" w:rsidRDefault="00E67632" w:rsidP="00DE6798">
      <w:pPr>
        <w:pStyle w:val="Heading2"/>
      </w:pPr>
      <w:bookmarkStart w:id="629" w:name="_Toc464224830"/>
      <w:bookmarkStart w:id="630" w:name="_Toc464225480"/>
      <w:bookmarkStart w:id="631" w:name="_Toc464459027"/>
      <w:bookmarkStart w:id="632" w:name="_Toc464459775"/>
      <w:bookmarkStart w:id="633" w:name="_Toc464460728"/>
      <w:bookmarkStart w:id="634" w:name="_Toc464463127"/>
      <w:bookmarkStart w:id="635" w:name="_Toc464464956"/>
      <w:bookmarkStart w:id="636" w:name="_Toc464465463"/>
      <w:bookmarkStart w:id="637" w:name="_Toc464465651"/>
      <w:bookmarkStart w:id="638" w:name="_Toc464466475"/>
      <w:bookmarkStart w:id="639" w:name="_Toc464466718"/>
      <w:bookmarkStart w:id="640" w:name="_Toc464645435"/>
      <w:bookmarkStart w:id="641" w:name="_Toc465205593"/>
      <w:bookmarkStart w:id="642" w:name="_Toc216029382"/>
      <w:r w:rsidRPr="00AA3F66">
        <w:t xml:space="preserve">Приложение № 8: </w:t>
      </w:r>
      <w:r w:rsidR="006067A9" w:rsidRPr="00AA3F66">
        <w:br/>
      </w:r>
      <w:r w:rsidR="00F60E52" w:rsidRPr="00AA3F66">
        <w:t>Размери</w:t>
      </w:r>
      <w:r w:rsidRPr="00AA3F66">
        <w:t xml:space="preserve"> на разходите и трансферите (нето) </w:t>
      </w:r>
      <w:r w:rsidR="00B502E4" w:rsidRPr="00AA3F66">
        <w:t>по други икономически обособени лица и структурни единици</w:t>
      </w:r>
      <w:r w:rsidR="003B3137">
        <w:t>, включени в КФП за периода 2026</w:t>
      </w:r>
      <w:r w:rsidR="00C402B4" w:rsidRPr="00AA3F66">
        <w:t>-</w:t>
      </w:r>
      <w:r w:rsidR="00C40D40" w:rsidRPr="00AA3F66">
        <w:t>202</w:t>
      </w:r>
      <w:r w:rsidR="004A6349">
        <w:t>8</w:t>
      </w:r>
      <w:r w:rsidR="00AA3035" w:rsidRPr="00AA3F66">
        <w:t> г.</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3B886EFE" w14:textId="77777777" w:rsidR="00D2268D" w:rsidRDefault="00D2268D" w:rsidP="00D2268D">
      <w:pPr>
        <w:jc w:val="right"/>
        <w:rPr>
          <w:rFonts w:eastAsia="Times New Roman" w:cs="Times New Roman"/>
          <w:b/>
          <w:bCs/>
          <w:sz w:val="20"/>
          <w:szCs w:val="20"/>
        </w:rPr>
      </w:pPr>
      <w:r w:rsidRPr="00844EF7">
        <w:rPr>
          <w:rFonts w:eastAsia="Times New Roman" w:cs="Times New Roman"/>
          <w:b/>
          <w:bCs/>
          <w:sz w:val="20"/>
          <w:szCs w:val="20"/>
        </w:rPr>
        <w:t>(в хил. евро)</w:t>
      </w:r>
    </w:p>
    <w:tbl>
      <w:tblPr>
        <w:tblW w:w="14780" w:type="dxa"/>
        <w:tblCellMar>
          <w:left w:w="70" w:type="dxa"/>
          <w:right w:w="70" w:type="dxa"/>
        </w:tblCellMar>
        <w:tblLook w:val="04A0" w:firstRow="1" w:lastRow="0" w:firstColumn="1" w:lastColumn="0" w:noHBand="0" w:noVBand="1"/>
      </w:tblPr>
      <w:tblGrid>
        <w:gridCol w:w="341"/>
        <w:gridCol w:w="3640"/>
        <w:gridCol w:w="1180"/>
        <w:gridCol w:w="1180"/>
        <w:gridCol w:w="1160"/>
        <w:gridCol w:w="1240"/>
        <w:gridCol w:w="1200"/>
        <w:gridCol w:w="1220"/>
        <w:gridCol w:w="1240"/>
        <w:gridCol w:w="1200"/>
        <w:gridCol w:w="1220"/>
      </w:tblGrid>
      <w:tr w:rsidR="00771AC6" w:rsidRPr="00771AC6" w14:paraId="1B23F0C1" w14:textId="77777777" w:rsidTr="00771AC6">
        <w:trPr>
          <w:trHeight w:val="255"/>
        </w:trPr>
        <w:tc>
          <w:tcPr>
            <w:tcW w:w="300" w:type="dxa"/>
            <w:tcBorders>
              <w:top w:val="single" w:sz="4" w:space="0" w:color="auto"/>
              <w:left w:val="nil"/>
              <w:bottom w:val="nil"/>
              <w:right w:val="nil"/>
            </w:tcBorders>
            <w:shd w:val="clear" w:color="000000" w:fill="FFFFFF"/>
            <w:noWrap/>
            <w:hideMark/>
          </w:tcPr>
          <w:p w14:paraId="7C16D0F9"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w:t>
            </w:r>
          </w:p>
        </w:tc>
        <w:tc>
          <w:tcPr>
            <w:tcW w:w="3640" w:type="dxa"/>
            <w:tcBorders>
              <w:top w:val="single" w:sz="4" w:space="0" w:color="auto"/>
              <w:left w:val="nil"/>
              <w:bottom w:val="nil"/>
              <w:right w:val="nil"/>
            </w:tcBorders>
            <w:shd w:val="clear" w:color="000000" w:fill="FFFFFF"/>
            <w:noWrap/>
            <w:hideMark/>
          </w:tcPr>
          <w:p w14:paraId="125BE455"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w:t>
            </w:r>
          </w:p>
        </w:tc>
        <w:tc>
          <w:tcPr>
            <w:tcW w:w="3520" w:type="dxa"/>
            <w:gridSpan w:val="3"/>
            <w:tcBorders>
              <w:top w:val="single" w:sz="4" w:space="0" w:color="auto"/>
              <w:left w:val="nil"/>
              <w:bottom w:val="single" w:sz="4" w:space="0" w:color="595959"/>
              <w:right w:val="nil"/>
            </w:tcBorders>
            <w:shd w:val="clear" w:color="000000" w:fill="FFFFFF"/>
            <w:hideMark/>
          </w:tcPr>
          <w:p w14:paraId="6A535EBA"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2026 г.</w:t>
            </w:r>
          </w:p>
        </w:tc>
        <w:tc>
          <w:tcPr>
            <w:tcW w:w="3660" w:type="dxa"/>
            <w:gridSpan w:val="3"/>
            <w:tcBorders>
              <w:top w:val="single" w:sz="4" w:space="0" w:color="auto"/>
              <w:left w:val="nil"/>
              <w:bottom w:val="single" w:sz="4" w:space="0" w:color="595959"/>
              <w:right w:val="nil"/>
            </w:tcBorders>
            <w:shd w:val="clear" w:color="000000" w:fill="FFFFFF"/>
            <w:hideMark/>
          </w:tcPr>
          <w:p w14:paraId="1B65FB36"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2027 г.</w:t>
            </w:r>
          </w:p>
        </w:tc>
        <w:tc>
          <w:tcPr>
            <w:tcW w:w="3660" w:type="dxa"/>
            <w:gridSpan w:val="3"/>
            <w:tcBorders>
              <w:top w:val="single" w:sz="4" w:space="0" w:color="auto"/>
              <w:left w:val="nil"/>
              <w:bottom w:val="single" w:sz="4" w:space="0" w:color="595959"/>
              <w:right w:val="nil"/>
            </w:tcBorders>
            <w:shd w:val="clear" w:color="000000" w:fill="FFFFFF"/>
            <w:hideMark/>
          </w:tcPr>
          <w:p w14:paraId="326300D6"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2028 г.</w:t>
            </w:r>
          </w:p>
        </w:tc>
      </w:tr>
      <w:tr w:rsidR="00771AC6" w:rsidRPr="00771AC6" w14:paraId="68EDF13B" w14:textId="77777777" w:rsidTr="00771AC6">
        <w:trPr>
          <w:trHeight w:val="1110"/>
        </w:trPr>
        <w:tc>
          <w:tcPr>
            <w:tcW w:w="300" w:type="dxa"/>
            <w:tcBorders>
              <w:top w:val="nil"/>
              <w:left w:val="nil"/>
              <w:bottom w:val="nil"/>
              <w:right w:val="nil"/>
            </w:tcBorders>
            <w:shd w:val="clear" w:color="000000" w:fill="FFFFFF"/>
            <w:noWrap/>
            <w:hideMark/>
          </w:tcPr>
          <w:p w14:paraId="4CD7DBE0"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w:t>
            </w:r>
          </w:p>
        </w:tc>
        <w:tc>
          <w:tcPr>
            <w:tcW w:w="3640" w:type="dxa"/>
            <w:tcBorders>
              <w:top w:val="nil"/>
              <w:left w:val="nil"/>
              <w:bottom w:val="nil"/>
              <w:right w:val="nil"/>
            </w:tcBorders>
            <w:shd w:val="clear" w:color="000000" w:fill="FFFFFF"/>
            <w:hideMark/>
          </w:tcPr>
          <w:p w14:paraId="101B1052"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Други икономически обособени лица, включени в КФП</w:t>
            </w:r>
          </w:p>
        </w:tc>
        <w:tc>
          <w:tcPr>
            <w:tcW w:w="1180" w:type="dxa"/>
            <w:tcBorders>
              <w:top w:val="nil"/>
              <w:left w:val="nil"/>
              <w:bottom w:val="single" w:sz="4" w:space="0" w:color="auto"/>
              <w:right w:val="nil"/>
            </w:tcBorders>
            <w:shd w:val="clear" w:color="000000" w:fill="FFFFFF"/>
            <w:hideMark/>
          </w:tcPr>
          <w:p w14:paraId="794DDB7F"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Общо разходи и трансфери (нето)</w:t>
            </w:r>
          </w:p>
        </w:tc>
        <w:tc>
          <w:tcPr>
            <w:tcW w:w="2340" w:type="dxa"/>
            <w:gridSpan w:val="2"/>
            <w:tcBorders>
              <w:top w:val="single" w:sz="4" w:space="0" w:color="595959"/>
              <w:left w:val="nil"/>
              <w:bottom w:val="single" w:sz="4" w:space="0" w:color="auto"/>
              <w:right w:val="nil"/>
            </w:tcBorders>
            <w:shd w:val="clear" w:color="000000" w:fill="FFFFFF"/>
            <w:hideMark/>
          </w:tcPr>
          <w:p w14:paraId="3AEAA2CE"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в т.ч.</w:t>
            </w:r>
          </w:p>
        </w:tc>
        <w:tc>
          <w:tcPr>
            <w:tcW w:w="1240" w:type="dxa"/>
            <w:tcBorders>
              <w:top w:val="nil"/>
              <w:left w:val="nil"/>
              <w:bottom w:val="single" w:sz="4" w:space="0" w:color="auto"/>
              <w:right w:val="nil"/>
            </w:tcBorders>
            <w:shd w:val="clear" w:color="000000" w:fill="FFFFFF"/>
            <w:hideMark/>
          </w:tcPr>
          <w:p w14:paraId="5674827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Общо разходи и трансфери (нето)</w:t>
            </w:r>
          </w:p>
        </w:tc>
        <w:tc>
          <w:tcPr>
            <w:tcW w:w="2420" w:type="dxa"/>
            <w:gridSpan w:val="2"/>
            <w:tcBorders>
              <w:top w:val="single" w:sz="4" w:space="0" w:color="595959"/>
              <w:left w:val="nil"/>
              <w:bottom w:val="single" w:sz="4" w:space="0" w:color="auto"/>
              <w:right w:val="nil"/>
            </w:tcBorders>
            <w:shd w:val="clear" w:color="000000" w:fill="FFFFFF"/>
            <w:hideMark/>
          </w:tcPr>
          <w:p w14:paraId="4EBEE474"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в т.ч.</w:t>
            </w:r>
          </w:p>
        </w:tc>
        <w:tc>
          <w:tcPr>
            <w:tcW w:w="1240" w:type="dxa"/>
            <w:tcBorders>
              <w:top w:val="nil"/>
              <w:left w:val="nil"/>
              <w:bottom w:val="single" w:sz="4" w:space="0" w:color="auto"/>
              <w:right w:val="nil"/>
            </w:tcBorders>
            <w:shd w:val="clear" w:color="000000" w:fill="FFFFFF"/>
            <w:hideMark/>
          </w:tcPr>
          <w:p w14:paraId="0C4F1753"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Общо разходи и трансфери (нето)</w:t>
            </w:r>
          </w:p>
        </w:tc>
        <w:tc>
          <w:tcPr>
            <w:tcW w:w="2420" w:type="dxa"/>
            <w:gridSpan w:val="2"/>
            <w:tcBorders>
              <w:top w:val="single" w:sz="4" w:space="0" w:color="595959"/>
              <w:left w:val="nil"/>
              <w:bottom w:val="single" w:sz="4" w:space="0" w:color="auto"/>
              <w:right w:val="nil"/>
            </w:tcBorders>
            <w:shd w:val="clear" w:color="000000" w:fill="FFFFFF"/>
            <w:hideMark/>
          </w:tcPr>
          <w:p w14:paraId="513E952E"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в т.ч.</w:t>
            </w:r>
          </w:p>
        </w:tc>
      </w:tr>
      <w:tr w:rsidR="00771AC6" w:rsidRPr="00771AC6" w14:paraId="40241EF5" w14:textId="77777777" w:rsidTr="00771AC6">
        <w:trPr>
          <w:trHeight w:val="510"/>
        </w:trPr>
        <w:tc>
          <w:tcPr>
            <w:tcW w:w="300" w:type="dxa"/>
            <w:tcBorders>
              <w:top w:val="nil"/>
              <w:left w:val="nil"/>
              <w:bottom w:val="single" w:sz="4" w:space="0" w:color="auto"/>
              <w:right w:val="nil"/>
            </w:tcBorders>
            <w:shd w:val="clear" w:color="000000" w:fill="FFFFFF"/>
            <w:noWrap/>
            <w:hideMark/>
          </w:tcPr>
          <w:p w14:paraId="0B4C5761"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w:t>
            </w:r>
          </w:p>
        </w:tc>
        <w:tc>
          <w:tcPr>
            <w:tcW w:w="3640" w:type="dxa"/>
            <w:tcBorders>
              <w:top w:val="nil"/>
              <w:left w:val="nil"/>
              <w:bottom w:val="single" w:sz="4" w:space="0" w:color="auto"/>
              <w:right w:val="nil"/>
            </w:tcBorders>
            <w:shd w:val="clear" w:color="000000" w:fill="FFFFFF"/>
            <w:noWrap/>
            <w:hideMark/>
          </w:tcPr>
          <w:p w14:paraId="0AC0C9C8"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FFFFF"/>
            <w:vAlign w:val="center"/>
            <w:hideMark/>
          </w:tcPr>
          <w:p w14:paraId="2109B136"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к.2.1-к.2.2</w:t>
            </w:r>
          </w:p>
        </w:tc>
        <w:tc>
          <w:tcPr>
            <w:tcW w:w="1180" w:type="dxa"/>
            <w:tcBorders>
              <w:top w:val="nil"/>
              <w:left w:val="nil"/>
              <w:bottom w:val="single" w:sz="4" w:space="0" w:color="auto"/>
              <w:right w:val="nil"/>
            </w:tcBorders>
            <w:shd w:val="clear" w:color="000000" w:fill="FFFFFF"/>
            <w:hideMark/>
          </w:tcPr>
          <w:p w14:paraId="0BE016E6"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Разходи</w:t>
            </w:r>
          </w:p>
        </w:tc>
        <w:tc>
          <w:tcPr>
            <w:tcW w:w="1160" w:type="dxa"/>
            <w:tcBorders>
              <w:top w:val="nil"/>
              <w:left w:val="nil"/>
              <w:bottom w:val="single" w:sz="4" w:space="0" w:color="auto"/>
              <w:right w:val="nil"/>
            </w:tcBorders>
            <w:shd w:val="clear" w:color="000000" w:fill="FFFFFF"/>
            <w:hideMark/>
          </w:tcPr>
          <w:p w14:paraId="2EDB2476"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Трансфери (нето)</w:t>
            </w:r>
          </w:p>
        </w:tc>
        <w:tc>
          <w:tcPr>
            <w:tcW w:w="1240" w:type="dxa"/>
            <w:tcBorders>
              <w:top w:val="nil"/>
              <w:left w:val="nil"/>
              <w:bottom w:val="single" w:sz="4" w:space="0" w:color="auto"/>
              <w:right w:val="nil"/>
            </w:tcBorders>
            <w:shd w:val="clear" w:color="000000" w:fill="FFFFFF"/>
            <w:vAlign w:val="center"/>
            <w:hideMark/>
          </w:tcPr>
          <w:p w14:paraId="28129178"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к.3.1-к.3.2</w:t>
            </w:r>
          </w:p>
        </w:tc>
        <w:tc>
          <w:tcPr>
            <w:tcW w:w="1200" w:type="dxa"/>
            <w:tcBorders>
              <w:top w:val="nil"/>
              <w:left w:val="nil"/>
              <w:bottom w:val="single" w:sz="4" w:space="0" w:color="auto"/>
              <w:right w:val="nil"/>
            </w:tcBorders>
            <w:shd w:val="clear" w:color="000000" w:fill="FFFFFF"/>
            <w:hideMark/>
          </w:tcPr>
          <w:p w14:paraId="6B6370D3"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60EC2C63"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Трансфери (нето)</w:t>
            </w:r>
          </w:p>
        </w:tc>
        <w:tc>
          <w:tcPr>
            <w:tcW w:w="1240" w:type="dxa"/>
            <w:tcBorders>
              <w:top w:val="nil"/>
              <w:left w:val="nil"/>
              <w:bottom w:val="single" w:sz="4" w:space="0" w:color="auto"/>
              <w:right w:val="nil"/>
            </w:tcBorders>
            <w:shd w:val="clear" w:color="000000" w:fill="FFFFFF"/>
            <w:vAlign w:val="center"/>
            <w:hideMark/>
          </w:tcPr>
          <w:p w14:paraId="5F6FB4CB"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к.4.1-к.4.2</w:t>
            </w:r>
          </w:p>
        </w:tc>
        <w:tc>
          <w:tcPr>
            <w:tcW w:w="1200" w:type="dxa"/>
            <w:tcBorders>
              <w:top w:val="nil"/>
              <w:left w:val="nil"/>
              <w:bottom w:val="single" w:sz="4" w:space="0" w:color="auto"/>
              <w:right w:val="nil"/>
            </w:tcBorders>
            <w:shd w:val="clear" w:color="000000" w:fill="FFFFFF"/>
            <w:hideMark/>
          </w:tcPr>
          <w:p w14:paraId="5B77BFF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Разходи</w:t>
            </w:r>
          </w:p>
        </w:tc>
        <w:tc>
          <w:tcPr>
            <w:tcW w:w="1220" w:type="dxa"/>
            <w:tcBorders>
              <w:top w:val="nil"/>
              <w:left w:val="nil"/>
              <w:bottom w:val="single" w:sz="4" w:space="0" w:color="auto"/>
              <w:right w:val="nil"/>
            </w:tcBorders>
            <w:shd w:val="clear" w:color="000000" w:fill="FFFFFF"/>
            <w:hideMark/>
          </w:tcPr>
          <w:p w14:paraId="1C0D2A80"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Трансфери (нето)</w:t>
            </w:r>
          </w:p>
        </w:tc>
      </w:tr>
      <w:tr w:rsidR="00771AC6" w:rsidRPr="00771AC6" w14:paraId="5C721DC1" w14:textId="77777777" w:rsidTr="00771AC6">
        <w:trPr>
          <w:trHeight w:val="255"/>
        </w:trPr>
        <w:tc>
          <w:tcPr>
            <w:tcW w:w="300" w:type="dxa"/>
            <w:tcBorders>
              <w:top w:val="nil"/>
              <w:left w:val="nil"/>
              <w:bottom w:val="single" w:sz="4" w:space="0" w:color="366092"/>
              <w:right w:val="nil"/>
            </w:tcBorders>
            <w:shd w:val="clear" w:color="000000" w:fill="FFFFFF"/>
            <w:noWrap/>
            <w:hideMark/>
          </w:tcPr>
          <w:p w14:paraId="44C46828"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 </w:t>
            </w:r>
          </w:p>
        </w:tc>
        <w:tc>
          <w:tcPr>
            <w:tcW w:w="3640" w:type="dxa"/>
            <w:tcBorders>
              <w:top w:val="nil"/>
              <w:left w:val="nil"/>
              <w:bottom w:val="single" w:sz="4" w:space="0" w:color="366092"/>
              <w:right w:val="nil"/>
            </w:tcBorders>
            <w:shd w:val="clear" w:color="000000" w:fill="FFFFFF"/>
            <w:noWrap/>
            <w:hideMark/>
          </w:tcPr>
          <w:p w14:paraId="3DDCA77D"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1</w:t>
            </w:r>
          </w:p>
        </w:tc>
        <w:tc>
          <w:tcPr>
            <w:tcW w:w="1180" w:type="dxa"/>
            <w:tcBorders>
              <w:top w:val="nil"/>
              <w:left w:val="nil"/>
              <w:bottom w:val="single" w:sz="4" w:space="0" w:color="auto"/>
              <w:right w:val="nil"/>
            </w:tcBorders>
            <w:shd w:val="clear" w:color="000000" w:fill="FFFFFF"/>
            <w:noWrap/>
            <w:hideMark/>
          </w:tcPr>
          <w:p w14:paraId="551241E6"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w:t>
            </w:r>
          </w:p>
        </w:tc>
        <w:tc>
          <w:tcPr>
            <w:tcW w:w="1180" w:type="dxa"/>
            <w:tcBorders>
              <w:top w:val="nil"/>
              <w:left w:val="nil"/>
              <w:bottom w:val="single" w:sz="4" w:space="0" w:color="auto"/>
              <w:right w:val="nil"/>
            </w:tcBorders>
            <w:shd w:val="clear" w:color="000000" w:fill="FFFFFF"/>
            <w:noWrap/>
            <w:hideMark/>
          </w:tcPr>
          <w:p w14:paraId="3876E614"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2.1</w:t>
            </w:r>
          </w:p>
        </w:tc>
        <w:tc>
          <w:tcPr>
            <w:tcW w:w="1160" w:type="dxa"/>
            <w:tcBorders>
              <w:top w:val="nil"/>
              <w:left w:val="nil"/>
              <w:bottom w:val="single" w:sz="4" w:space="0" w:color="auto"/>
              <w:right w:val="nil"/>
            </w:tcBorders>
            <w:shd w:val="clear" w:color="000000" w:fill="FFFFFF"/>
            <w:noWrap/>
            <w:hideMark/>
          </w:tcPr>
          <w:p w14:paraId="446558B8"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2.2</w:t>
            </w:r>
          </w:p>
        </w:tc>
        <w:tc>
          <w:tcPr>
            <w:tcW w:w="1240" w:type="dxa"/>
            <w:tcBorders>
              <w:top w:val="nil"/>
              <w:left w:val="nil"/>
              <w:bottom w:val="single" w:sz="4" w:space="0" w:color="auto"/>
              <w:right w:val="nil"/>
            </w:tcBorders>
            <w:shd w:val="clear" w:color="000000" w:fill="FFFFFF"/>
            <w:noWrap/>
            <w:hideMark/>
          </w:tcPr>
          <w:p w14:paraId="7F09614F"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3</w:t>
            </w:r>
          </w:p>
        </w:tc>
        <w:tc>
          <w:tcPr>
            <w:tcW w:w="1200" w:type="dxa"/>
            <w:tcBorders>
              <w:top w:val="nil"/>
              <w:left w:val="nil"/>
              <w:bottom w:val="single" w:sz="4" w:space="0" w:color="auto"/>
              <w:right w:val="nil"/>
            </w:tcBorders>
            <w:shd w:val="clear" w:color="000000" w:fill="FFFFFF"/>
            <w:noWrap/>
            <w:hideMark/>
          </w:tcPr>
          <w:p w14:paraId="25E70511"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3.1</w:t>
            </w:r>
          </w:p>
        </w:tc>
        <w:tc>
          <w:tcPr>
            <w:tcW w:w="1220" w:type="dxa"/>
            <w:tcBorders>
              <w:top w:val="nil"/>
              <w:left w:val="nil"/>
              <w:bottom w:val="single" w:sz="4" w:space="0" w:color="auto"/>
              <w:right w:val="nil"/>
            </w:tcBorders>
            <w:shd w:val="clear" w:color="000000" w:fill="FFFFFF"/>
            <w:noWrap/>
            <w:hideMark/>
          </w:tcPr>
          <w:p w14:paraId="2ABA3046"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3.2</w:t>
            </w:r>
          </w:p>
        </w:tc>
        <w:tc>
          <w:tcPr>
            <w:tcW w:w="1240" w:type="dxa"/>
            <w:tcBorders>
              <w:top w:val="nil"/>
              <w:left w:val="nil"/>
              <w:bottom w:val="single" w:sz="4" w:space="0" w:color="auto"/>
              <w:right w:val="nil"/>
            </w:tcBorders>
            <w:shd w:val="clear" w:color="000000" w:fill="FFFFFF"/>
            <w:noWrap/>
            <w:hideMark/>
          </w:tcPr>
          <w:p w14:paraId="43DAB1C4"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4</w:t>
            </w:r>
          </w:p>
        </w:tc>
        <w:tc>
          <w:tcPr>
            <w:tcW w:w="1200" w:type="dxa"/>
            <w:tcBorders>
              <w:top w:val="nil"/>
              <w:left w:val="nil"/>
              <w:bottom w:val="single" w:sz="4" w:space="0" w:color="auto"/>
              <w:right w:val="nil"/>
            </w:tcBorders>
            <w:shd w:val="clear" w:color="000000" w:fill="FFFFFF"/>
            <w:noWrap/>
            <w:hideMark/>
          </w:tcPr>
          <w:p w14:paraId="37E278DB"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4.1</w:t>
            </w:r>
          </w:p>
        </w:tc>
        <w:tc>
          <w:tcPr>
            <w:tcW w:w="1220" w:type="dxa"/>
            <w:tcBorders>
              <w:top w:val="nil"/>
              <w:left w:val="nil"/>
              <w:bottom w:val="single" w:sz="4" w:space="0" w:color="auto"/>
              <w:right w:val="nil"/>
            </w:tcBorders>
            <w:shd w:val="clear" w:color="000000" w:fill="FFFFFF"/>
            <w:noWrap/>
            <w:hideMark/>
          </w:tcPr>
          <w:p w14:paraId="06433C6F" w14:textId="77777777" w:rsidR="00771AC6" w:rsidRPr="00771AC6" w:rsidRDefault="00771AC6" w:rsidP="00771AC6">
            <w:pPr>
              <w:spacing w:after="0"/>
              <w:jc w:val="center"/>
              <w:rPr>
                <w:rFonts w:eastAsia="Times New Roman" w:cs="Times New Roman"/>
                <w:b/>
                <w:bCs/>
                <w:sz w:val="20"/>
                <w:szCs w:val="20"/>
              </w:rPr>
            </w:pPr>
            <w:r w:rsidRPr="00771AC6">
              <w:rPr>
                <w:rFonts w:eastAsia="Times New Roman" w:cs="Times New Roman"/>
                <w:b/>
                <w:bCs/>
                <w:sz w:val="20"/>
                <w:szCs w:val="20"/>
              </w:rPr>
              <w:t>4.2</w:t>
            </w:r>
          </w:p>
        </w:tc>
      </w:tr>
      <w:tr w:rsidR="00771AC6" w:rsidRPr="00771AC6" w14:paraId="26B4BA13" w14:textId="77777777" w:rsidTr="00771AC6">
        <w:trPr>
          <w:trHeight w:val="585"/>
        </w:trPr>
        <w:tc>
          <w:tcPr>
            <w:tcW w:w="300" w:type="dxa"/>
            <w:tcBorders>
              <w:top w:val="single" w:sz="4" w:space="0" w:color="auto"/>
              <w:left w:val="nil"/>
              <w:bottom w:val="nil"/>
              <w:right w:val="nil"/>
            </w:tcBorders>
            <w:shd w:val="clear" w:color="000000" w:fill="FFFFFF"/>
            <w:noWrap/>
            <w:hideMark/>
          </w:tcPr>
          <w:p w14:paraId="20EC4E21"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w:t>
            </w:r>
          </w:p>
        </w:tc>
        <w:tc>
          <w:tcPr>
            <w:tcW w:w="3640" w:type="dxa"/>
            <w:tcBorders>
              <w:top w:val="single" w:sz="4" w:space="0" w:color="auto"/>
              <w:left w:val="nil"/>
              <w:bottom w:val="nil"/>
              <w:right w:val="nil"/>
            </w:tcBorders>
            <w:shd w:val="clear" w:color="000000" w:fill="FFFFFF"/>
            <w:hideMark/>
          </w:tcPr>
          <w:p w14:paraId="247E19BD"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Предприятие за управление на дейностите по опазване на околната среда</w:t>
            </w:r>
          </w:p>
        </w:tc>
        <w:tc>
          <w:tcPr>
            <w:tcW w:w="1180" w:type="dxa"/>
            <w:tcBorders>
              <w:top w:val="nil"/>
              <w:left w:val="nil"/>
              <w:bottom w:val="nil"/>
              <w:right w:val="nil"/>
            </w:tcBorders>
            <w:shd w:val="clear" w:color="000000" w:fill="FFFFFF"/>
            <w:noWrap/>
            <w:vAlign w:val="bottom"/>
            <w:hideMark/>
          </w:tcPr>
          <w:p w14:paraId="14AE21A8"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35 934,9</w:t>
            </w:r>
          </w:p>
        </w:tc>
        <w:tc>
          <w:tcPr>
            <w:tcW w:w="1180" w:type="dxa"/>
            <w:tcBorders>
              <w:top w:val="nil"/>
              <w:left w:val="nil"/>
              <w:bottom w:val="nil"/>
              <w:right w:val="nil"/>
            </w:tcBorders>
            <w:shd w:val="clear" w:color="000000" w:fill="FFFFFF"/>
            <w:noWrap/>
            <w:vAlign w:val="bottom"/>
            <w:hideMark/>
          </w:tcPr>
          <w:p w14:paraId="774DF422"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54 921,0</w:t>
            </w:r>
          </w:p>
        </w:tc>
        <w:tc>
          <w:tcPr>
            <w:tcW w:w="1160" w:type="dxa"/>
            <w:tcBorders>
              <w:top w:val="nil"/>
              <w:left w:val="nil"/>
              <w:bottom w:val="nil"/>
              <w:right w:val="nil"/>
            </w:tcBorders>
            <w:shd w:val="clear" w:color="000000" w:fill="FFFFFF"/>
            <w:noWrap/>
            <w:vAlign w:val="bottom"/>
            <w:hideMark/>
          </w:tcPr>
          <w:p w14:paraId="049BAED9"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18 986,1</w:t>
            </w:r>
          </w:p>
        </w:tc>
        <w:tc>
          <w:tcPr>
            <w:tcW w:w="1240" w:type="dxa"/>
            <w:tcBorders>
              <w:top w:val="nil"/>
              <w:left w:val="nil"/>
              <w:bottom w:val="nil"/>
              <w:right w:val="nil"/>
            </w:tcBorders>
            <w:shd w:val="clear" w:color="000000" w:fill="FFFFFF"/>
            <w:noWrap/>
            <w:vAlign w:val="bottom"/>
            <w:hideMark/>
          </w:tcPr>
          <w:p w14:paraId="638F5CEC"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49 790,0</w:t>
            </w:r>
          </w:p>
        </w:tc>
        <w:tc>
          <w:tcPr>
            <w:tcW w:w="1200" w:type="dxa"/>
            <w:tcBorders>
              <w:top w:val="nil"/>
              <w:left w:val="nil"/>
              <w:bottom w:val="nil"/>
              <w:right w:val="nil"/>
            </w:tcBorders>
            <w:shd w:val="clear" w:color="000000" w:fill="FFFFFF"/>
            <w:noWrap/>
            <w:vAlign w:val="bottom"/>
            <w:hideMark/>
          </w:tcPr>
          <w:p w14:paraId="0DECBC61"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67 429,5</w:t>
            </w:r>
          </w:p>
        </w:tc>
        <w:tc>
          <w:tcPr>
            <w:tcW w:w="1220" w:type="dxa"/>
            <w:tcBorders>
              <w:top w:val="nil"/>
              <w:left w:val="nil"/>
              <w:bottom w:val="nil"/>
              <w:right w:val="nil"/>
            </w:tcBorders>
            <w:shd w:val="clear" w:color="000000" w:fill="FFFFFF"/>
            <w:noWrap/>
            <w:vAlign w:val="bottom"/>
            <w:hideMark/>
          </w:tcPr>
          <w:p w14:paraId="4E038544"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17 639,5</w:t>
            </w:r>
          </w:p>
        </w:tc>
        <w:tc>
          <w:tcPr>
            <w:tcW w:w="1240" w:type="dxa"/>
            <w:tcBorders>
              <w:top w:val="nil"/>
              <w:left w:val="nil"/>
              <w:bottom w:val="nil"/>
              <w:right w:val="nil"/>
            </w:tcBorders>
            <w:shd w:val="clear" w:color="000000" w:fill="FFFFFF"/>
            <w:noWrap/>
            <w:vAlign w:val="bottom"/>
            <w:hideMark/>
          </w:tcPr>
          <w:p w14:paraId="781C6C19"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48 986,4</w:t>
            </w:r>
          </w:p>
        </w:tc>
        <w:tc>
          <w:tcPr>
            <w:tcW w:w="1200" w:type="dxa"/>
            <w:tcBorders>
              <w:top w:val="nil"/>
              <w:left w:val="nil"/>
              <w:bottom w:val="nil"/>
              <w:right w:val="nil"/>
            </w:tcBorders>
            <w:shd w:val="clear" w:color="000000" w:fill="FFFFFF"/>
            <w:noWrap/>
            <w:vAlign w:val="bottom"/>
            <w:hideMark/>
          </w:tcPr>
          <w:p w14:paraId="756BF896"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66 845,8</w:t>
            </w:r>
          </w:p>
        </w:tc>
        <w:tc>
          <w:tcPr>
            <w:tcW w:w="1220" w:type="dxa"/>
            <w:tcBorders>
              <w:top w:val="nil"/>
              <w:left w:val="nil"/>
              <w:bottom w:val="nil"/>
              <w:right w:val="nil"/>
            </w:tcBorders>
            <w:shd w:val="clear" w:color="000000" w:fill="FFFFFF"/>
            <w:noWrap/>
            <w:vAlign w:val="bottom"/>
            <w:hideMark/>
          </w:tcPr>
          <w:p w14:paraId="4A2C75EC"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17 859,4</w:t>
            </w:r>
          </w:p>
        </w:tc>
      </w:tr>
      <w:tr w:rsidR="00771AC6" w:rsidRPr="00771AC6" w14:paraId="28DD096E" w14:textId="77777777" w:rsidTr="00771AC6">
        <w:trPr>
          <w:trHeight w:val="570"/>
        </w:trPr>
        <w:tc>
          <w:tcPr>
            <w:tcW w:w="300" w:type="dxa"/>
            <w:tcBorders>
              <w:top w:val="nil"/>
              <w:left w:val="nil"/>
              <w:bottom w:val="nil"/>
              <w:right w:val="nil"/>
            </w:tcBorders>
            <w:shd w:val="clear" w:color="000000" w:fill="FFFFFF"/>
            <w:noWrap/>
            <w:hideMark/>
          </w:tcPr>
          <w:p w14:paraId="7E532E7C"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2</w:t>
            </w:r>
          </w:p>
        </w:tc>
        <w:tc>
          <w:tcPr>
            <w:tcW w:w="3640" w:type="dxa"/>
            <w:tcBorders>
              <w:top w:val="nil"/>
              <w:left w:val="nil"/>
              <w:bottom w:val="nil"/>
              <w:right w:val="nil"/>
            </w:tcBorders>
            <w:shd w:val="clear" w:color="000000" w:fill="FFFFFF"/>
            <w:hideMark/>
          </w:tcPr>
          <w:p w14:paraId="582B451B"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Фонд „Сигурност на електроенергийната система“</w:t>
            </w:r>
          </w:p>
        </w:tc>
        <w:tc>
          <w:tcPr>
            <w:tcW w:w="1180" w:type="dxa"/>
            <w:tcBorders>
              <w:top w:val="nil"/>
              <w:left w:val="nil"/>
              <w:bottom w:val="nil"/>
              <w:right w:val="nil"/>
            </w:tcBorders>
            <w:shd w:val="clear" w:color="000000" w:fill="FFFFFF"/>
            <w:noWrap/>
            <w:vAlign w:val="bottom"/>
            <w:hideMark/>
          </w:tcPr>
          <w:p w14:paraId="0F06F29B"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1 258 399,2</w:t>
            </w:r>
          </w:p>
        </w:tc>
        <w:tc>
          <w:tcPr>
            <w:tcW w:w="1180" w:type="dxa"/>
            <w:tcBorders>
              <w:top w:val="nil"/>
              <w:left w:val="nil"/>
              <w:bottom w:val="nil"/>
              <w:right w:val="nil"/>
            </w:tcBorders>
            <w:shd w:val="clear" w:color="000000" w:fill="FFFFFF"/>
            <w:noWrap/>
            <w:vAlign w:val="bottom"/>
            <w:hideMark/>
          </w:tcPr>
          <w:p w14:paraId="1895D6F6"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1 394 640,0</w:t>
            </w:r>
          </w:p>
        </w:tc>
        <w:tc>
          <w:tcPr>
            <w:tcW w:w="1160" w:type="dxa"/>
            <w:tcBorders>
              <w:top w:val="nil"/>
              <w:left w:val="nil"/>
              <w:bottom w:val="nil"/>
              <w:right w:val="nil"/>
            </w:tcBorders>
            <w:shd w:val="clear" w:color="000000" w:fill="FFFFFF"/>
            <w:noWrap/>
            <w:vAlign w:val="bottom"/>
            <w:hideMark/>
          </w:tcPr>
          <w:p w14:paraId="47646D1D"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136 240,8</w:t>
            </w:r>
          </w:p>
        </w:tc>
        <w:tc>
          <w:tcPr>
            <w:tcW w:w="1240" w:type="dxa"/>
            <w:tcBorders>
              <w:top w:val="nil"/>
              <w:left w:val="nil"/>
              <w:bottom w:val="nil"/>
              <w:right w:val="nil"/>
            </w:tcBorders>
            <w:shd w:val="clear" w:color="000000" w:fill="FFFFFF"/>
            <w:noWrap/>
            <w:vAlign w:val="bottom"/>
            <w:hideMark/>
          </w:tcPr>
          <w:p w14:paraId="72BAD1E4"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961 585,4</w:t>
            </w:r>
          </w:p>
        </w:tc>
        <w:tc>
          <w:tcPr>
            <w:tcW w:w="1200" w:type="dxa"/>
            <w:tcBorders>
              <w:top w:val="nil"/>
              <w:left w:val="nil"/>
              <w:bottom w:val="nil"/>
              <w:right w:val="nil"/>
            </w:tcBorders>
            <w:shd w:val="clear" w:color="000000" w:fill="FFFFFF"/>
            <w:noWrap/>
            <w:vAlign w:val="bottom"/>
            <w:hideMark/>
          </w:tcPr>
          <w:p w14:paraId="0413084D"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1 035 630,5</w:t>
            </w:r>
          </w:p>
        </w:tc>
        <w:tc>
          <w:tcPr>
            <w:tcW w:w="1220" w:type="dxa"/>
            <w:tcBorders>
              <w:top w:val="nil"/>
              <w:left w:val="nil"/>
              <w:bottom w:val="nil"/>
              <w:right w:val="nil"/>
            </w:tcBorders>
            <w:shd w:val="clear" w:color="000000" w:fill="FFFFFF"/>
            <w:noWrap/>
            <w:vAlign w:val="bottom"/>
            <w:hideMark/>
          </w:tcPr>
          <w:p w14:paraId="693217CF"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74 045,1</w:t>
            </w:r>
          </w:p>
        </w:tc>
        <w:tc>
          <w:tcPr>
            <w:tcW w:w="1240" w:type="dxa"/>
            <w:tcBorders>
              <w:top w:val="nil"/>
              <w:left w:val="nil"/>
              <w:bottom w:val="nil"/>
              <w:right w:val="nil"/>
            </w:tcBorders>
            <w:shd w:val="clear" w:color="000000" w:fill="FFFFFF"/>
            <w:noWrap/>
            <w:vAlign w:val="bottom"/>
            <w:hideMark/>
          </w:tcPr>
          <w:p w14:paraId="41C855FD"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1 011 585,4</w:t>
            </w:r>
          </w:p>
        </w:tc>
        <w:tc>
          <w:tcPr>
            <w:tcW w:w="1200" w:type="dxa"/>
            <w:tcBorders>
              <w:top w:val="nil"/>
              <w:left w:val="nil"/>
              <w:bottom w:val="nil"/>
              <w:right w:val="nil"/>
            </w:tcBorders>
            <w:shd w:val="clear" w:color="000000" w:fill="FFFFFF"/>
            <w:noWrap/>
            <w:vAlign w:val="bottom"/>
            <w:hideMark/>
          </w:tcPr>
          <w:p w14:paraId="3D979311"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1 035 630,5</w:t>
            </w:r>
          </w:p>
        </w:tc>
        <w:tc>
          <w:tcPr>
            <w:tcW w:w="1220" w:type="dxa"/>
            <w:tcBorders>
              <w:top w:val="nil"/>
              <w:left w:val="nil"/>
              <w:bottom w:val="nil"/>
              <w:right w:val="nil"/>
            </w:tcBorders>
            <w:shd w:val="clear" w:color="000000" w:fill="FFFFFF"/>
            <w:noWrap/>
            <w:vAlign w:val="bottom"/>
            <w:hideMark/>
          </w:tcPr>
          <w:p w14:paraId="7AF1C9F1"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24 045,1</w:t>
            </w:r>
          </w:p>
        </w:tc>
      </w:tr>
      <w:tr w:rsidR="00771AC6" w:rsidRPr="00771AC6" w14:paraId="46D978FF" w14:textId="77777777" w:rsidTr="00771AC6">
        <w:trPr>
          <w:trHeight w:val="315"/>
        </w:trPr>
        <w:tc>
          <w:tcPr>
            <w:tcW w:w="300" w:type="dxa"/>
            <w:tcBorders>
              <w:top w:val="nil"/>
              <w:left w:val="nil"/>
              <w:bottom w:val="nil"/>
              <w:right w:val="nil"/>
            </w:tcBorders>
            <w:shd w:val="clear" w:color="000000" w:fill="FFFFFF"/>
            <w:noWrap/>
            <w:hideMark/>
          </w:tcPr>
          <w:p w14:paraId="42BF8393"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3</w:t>
            </w:r>
          </w:p>
        </w:tc>
        <w:tc>
          <w:tcPr>
            <w:tcW w:w="3640" w:type="dxa"/>
            <w:tcBorders>
              <w:top w:val="nil"/>
              <w:left w:val="nil"/>
              <w:bottom w:val="nil"/>
              <w:right w:val="nil"/>
            </w:tcBorders>
            <w:shd w:val="clear" w:color="000000" w:fill="FFFFFF"/>
            <w:hideMark/>
          </w:tcPr>
          <w:p w14:paraId="4827643C"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Селскостопанска академия</w:t>
            </w:r>
          </w:p>
        </w:tc>
        <w:tc>
          <w:tcPr>
            <w:tcW w:w="1180" w:type="dxa"/>
            <w:tcBorders>
              <w:top w:val="nil"/>
              <w:left w:val="nil"/>
              <w:bottom w:val="nil"/>
              <w:right w:val="nil"/>
            </w:tcBorders>
            <w:shd w:val="clear" w:color="000000" w:fill="FFFFFF"/>
            <w:noWrap/>
            <w:vAlign w:val="bottom"/>
            <w:hideMark/>
          </w:tcPr>
          <w:p w14:paraId="2A3D36BA"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9 203,3</w:t>
            </w:r>
          </w:p>
        </w:tc>
        <w:tc>
          <w:tcPr>
            <w:tcW w:w="1180" w:type="dxa"/>
            <w:tcBorders>
              <w:top w:val="nil"/>
              <w:left w:val="nil"/>
              <w:bottom w:val="nil"/>
              <w:right w:val="nil"/>
            </w:tcBorders>
            <w:shd w:val="clear" w:color="000000" w:fill="FFFFFF"/>
            <w:noWrap/>
            <w:vAlign w:val="bottom"/>
            <w:hideMark/>
          </w:tcPr>
          <w:p w14:paraId="09694AC0"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54 806,1</w:t>
            </w:r>
          </w:p>
        </w:tc>
        <w:tc>
          <w:tcPr>
            <w:tcW w:w="1160" w:type="dxa"/>
            <w:tcBorders>
              <w:top w:val="nil"/>
              <w:left w:val="nil"/>
              <w:bottom w:val="nil"/>
              <w:right w:val="nil"/>
            </w:tcBorders>
            <w:shd w:val="clear" w:color="000000" w:fill="FFFFFF"/>
            <w:noWrap/>
            <w:vAlign w:val="bottom"/>
            <w:hideMark/>
          </w:tcPr>
          <w:p w14:paraId="27655EAD"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45 602,8</w:t>
            </w:r>
          </w:p>
        </w:tc>
        <w:tc>
          <w:tcPr>
            <w:tcW w:w="1240" w:type="dxa"/>
            <w:tcBorders>
              <w:top w:val="nil"/>
              <w:left w:val="nil"/>
              <w:bottom w:val="nil"/>
              <w:right w:val="nil"/>
            </w:tcBorders>
            <w:shd w:val="clear" w:color="000000" w:fill="FFFFFF"/>
            <w:noWrap/>
            <w:vAlign w:val="bottom"/>
            <w:hideMark/>
          </w:tcPr>
          <w:p w14:paraId="76EDCBCA"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9 203,3</w:t>
            </w:r>
          </w:p>
        </w:tc>
        <w:tc>
          <w:tcPr>
            <w:tcW w:w="1200" w:type="dxa"/>
            <w:tcBorders>
              <w:top w:val="nil"/>
              <w:left w:val="nil"/>
              <w:bottom w:val="nil"/>
              <w:right w:val="nil"/>
            </w:tcBorders>
            <w:shd w:val="clear" w:color="000000" w:fill="FFFFFF"/>
            <w:noWrap/>
            <w:vAlign w:val="bottom"/>
            <w:hideMark/>
          </w:tcPr>
          <w:p w14:paraId="1BB00663"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55 166,5</w:t>
            </w:r>
          </w:p>
        </w:tc>
        <w:tc>
          <w:tcPr>
            <w:tcW w:w="1220" w:type="dxa"/>
            <w:tcBorders>
              <w:top w:val="nil"/>
              <w:left w:val="nil"/>
              <w:bottom w:val="nil"/>
              <w:right w:val="nil"/>
            </w:tcBorders>
            <w:shd w:val="clear" w:color="000000" w:fill="FFFFFF"/>
            <w:noWrap/>
            <w:vAlign w:val="bottom"/>
            <w:hideMark/>
          </w:tcPr>
          <w:p w14:paraId="4AF1BD23"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45 963,2</w:t>
            </w:r>
          </w:p>
        </w:tc>
        <w:tc>
          <w:tcPr>
            <w:tcW w:w="1240" w:type="dxa"/>
            <w:tcBorders>
              <w:top w:val="nil"/>
              <w:left w:val="nil"/>
              <w:bottom w:val="nil"/>
              <w:right w:val="nil"/>
            </w:tcBorders>
            <w:shd w:val="clear" w:color="000000" w:fill="FFFFFF"/>
            <w:noWrap/>
            <w:vAlign w:val="bottom"/>
            <w:hideMark/>
          </w:tcPr>
          <w:p w14:paraId="36F1B1E5"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9 203,3</w:t>
            </w:r>
          </w:p>
        </w:tc>
        <w:tc>
          <w:tcPr>
            <w:tcW w:w="1200" w:type="dxa"/>
            <w:tcBorders>
              <w:top w:val="nil"/>
              <w:left w:val="nil"/>
              <w:bottom w:val="nil"/>
              <w:right w:val="nil"/>
            </w:tcBorders>
            <w:shd w:val="clear" w:color="000000" w:fill="FFFFFF"/>
            <w:noWrap/>
            <w:vAlign w:val="bottom"/>
            <w:hideMark/>
          </w:tcPr>
          <w:p w14:paraId="71427149"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55 852,4</w:t>
            </w:r>
          </w:p>
        </w:tc>
        <w:tc>
          <w:tcPr>
            <w:tcW w:w="1220" w:type="dxa"/>
            <w:tcBorders>
              <w:top w:val="nil"/>
              <w:left w:val="nil"/>
              <w:bottom w:val="nil"/>
              <w:right w:val="nil"/>
            </w:tcBorders>
            <w:shd w:val="clear" w:color="000000" w:fill="FFFFFF"/>
            <w:noWrap/>
            <w:vAlign w:val="bottom"/>
            <w:hideMark/>
          </w:tcPr>
          <w:p w14:paraId="1D00E838"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46 649,1</w:t>
            </w:r>
          </w:p>
        </w:tc>
      </w:tr>
      <w:tr w:rsidR="00771AC6" w:rsidRPr="00771AC6" w14:paraId="2F51D07B" w14:textId="77777777" w:rsidTr="00771AC6">
        <w:trPr>
          <w:trHeight w:val="585"/>
        </w:trPr>
        <w:tc>
          <w:tcPr>
            <w:tcW w:w="300" w:type="dxa"/>
            <w:tcBorders>
              <w:top w:val="nil"/>
              <w:left w:val="nil"/>
              <w:bottom w:val="nil"/>
              <w:right w:val="nil"/>
            </w:tcBorders>
            <w:shd w:val="clear" w:color="000000" w:fill="FFFFFF"/>
            <w:noWrap/>
            <w:hideMark/>
          </w:tcPr>
          <w:p w14:paraId="2003A182"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4</w:t>
            </w:r>
          </w:p>
        </w:tc>
        <w:tc>
          <w:tcPr>
            <w:tcW w:w="3640" w:type="dxa"/>
            <w:tcBorders>
              <w:top w:val="nil"/>
              <w:left w:val="nil"/>
              <w:bottom w:val="nil"/>
              <w:right w:val="nil"/>
            </w:tcBorders>
            <w:shd w:val="clear" w:color="000000" w:fill="FFFFFF"/>
            <w:hideMark/>
          </w:tcPr>
          <w:p w14:paraId="4657CE05"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Държавно предприятие „Научно-производствен център“</w:t>
            </w:r>
          </w:p>
        </w:tc>
        <w:tc>
          <w:tcPr>
            <w:tcW w:w="1180" w:type="dxa"/>
            <w:tcBorders>
              <w:top w:val="nil"/>
              <w:left w:val="nil"/>
              <w:bottom w:val="nil"/>
              <w:right w:val="nil"/>
            </w:tcBorders>
            <w:shd w:val="clear" w:color="000000" w:fill="FFFFFF"/>
            <w:noWrap/>
            <w:vAlign w:val="bottom"/>
            <w:hideMark/>
          </w:tcPr>
          <w:p w14:paraId="31876ED5"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1 884,1</w:t>
            </w:r>
          </w:p>
        </w:tc>
        <w:tc>
          <w:tcPr>
            <w:tcW w:w="1180" w:type="dxa"/>
            <w:tcBorders>
              <w:top w:val="nil"/>
              <w:left w:val="nil"/>
              <w:bottom w:val="nil"/>
              <w:right w:val="nil"/>
            </w:tcBorders>
            <w:shd w:val="clear" w:color="000000" w:fill="FFFFFF"/>
            <w:noWrap/>
            <w:vAlign w:val="bottom"/>
            <w:hideMark/>
          </w:tcPr>
          <w:p w14:paraId="33B3B320"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1 884,1</w:t>
            </w:r>
          </w:p>
        </w:tc>
        <w:tc>
          <w:tcPr>
            <w:tcW w:w="1160" w:type="dxa"/>
            <w:tcBorders>
              <w:top w:val="nil"/>
              <w:left w:val="nil"/>
              <w:bottom w:val="nil"/>
              <w:right w:val="nil"/>
            </w:tcBorders>
            <w:shd w:val="clear" w:color="000000" w:fill="FFFFFF"/>
            <w:noWrap/>
            <w:vAlign w:val="bottom"/>
            <w:hideMark/>
          </w:tcPr>
          <w:p w14:paraId="0FEBB2FC"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40" w:type="dxa"/>
            <w:tcBorders>
              <w:top w:val="nil"/>
              <w:left w:val="nil"/>
              <w:bottom w:val="nil"/>
              <w:right w:val="nil"/>
            </w:tcBorders>
            <w:shd w:val="clear" w:color="000000" w:fill="FFFFFF"/>
            <w:noWrap/>
            <w:vAlign w:val="bottom"/>
            <w:hideMark/>
          </w:tcPr>
          <w:p w14:paraId="603E37A6"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1 884,1</w:t>
            </w:r>
          </w:p>
        </w:tc>
        <w:tc>
          <w:tcPr>
            <w:tcW w:w="1200" w:type="dxa"/>
            <w:tcBorders>
              <w:top w:val="nil"/>
              <w:left w:val="nil"/>
              <w:bottom w:val="nil"/>
              <w:right w:val="nil"/>
            </w:tcBorders>
            <w:shd w:val="clear" w:color="000000" w:fill="FFFFFF"/>
            <w:noWrap/>
            <w:vAlign w:val="bottom"/>
            <w:hideMark/>
          </w:tcPr>
          <w:p w14:paraId="4DE9CDCB"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1 884,1</w:t>
            </w:r>
          </w:p>
        </w:tc>
        <w:tc>
          <w:tcPr>
            <w:tcW w:w="1220" w:type="dxa"/>
            <w:tcBorders>
              <w:top w:val="nil"/>
              <w:left w:val="nil"/>
              <w:bottom w:val="nil"/>
              <w:right w:val="nil"/>
            </w:tcBorders>
            <w:shd w:val="clear" w:color="000000" w:fill="FFFFFF"/>
            <w:noWrap/>
            <w:vAlign w:val="bottom"/>
            <w:hideMark/>
          </w:tcPr>
          <w:p w14:paraId="1D88D391"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40" w:type="dxa"/>
            <w:tcBorders>
              <w:top w:val="nil"/>
              <w:left w:val="nil"/>
              <w:bottom w:val="nil"/>
              <w:right w:val="nil"/>
            </w:tcBorders>
            <w:shd w:val="clear" w:color="000000" w:fill="FFFFFF"/>
            <w:noWrap/>
            <w:vAlign w:val="bottom"/>
            <w:hideMark/>
          </w:tcPr>
          <w:p w14:paraId="25292DF4"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1 884,1</w:t>
            </w:r>
          </w:p>
        </w:tc>
        <w:tc>
          <w:tcPr>
            <w:tcW w:w="1200" w:type="dxa"/>
            <w:tcBorders>
              <w:top w:val="nil"/>
              <w:left w:val="nil"/>
              <w:bottom w:val="nil"/>
              <w:right w:val="nil"/>
            </w:tcBorders>
            <w:shd w:val="clear" w:color="000000" w:fill="FFFFFF"/>
            <w:noWrap/>
            <w:vAlign w:val="bottom"/>
            <w:hideMark/>
          </w:tcPr>
          <w:p w14:paraId="37D4C009"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1 884,1</w:t>
            </w:r>
          </w:p>
        </w:tc>
        <w:tc>
          <w:tcPr>
            <w:tcW w:w="1220" w:type="dxa"/>
            <w:tcBorders>
              <w:top w:val="nil"/>
              <w:left w:val="nil"/>
              <w:bottom w:val="nil"/>
              <w:right w:val="nil"/>
            </w:tcBorders>
            <w:shd w:val="clear" w:color="000000" w:fill="FFFFFF"/>
            <w:noWrap/>
            <w:vAlign w:val="bottom"/>
            <w:hideMark/>
          </w:tcPr>
          <w:p w14:paraId="77D7DD4D"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r>
      <w:tr w:rsidR="00771AC6" w:rsidRPr="00771AC6" w14:paraId="0FE1BCCB" w14:textId="77777777" w:rsidTr="00771AC6">
        <w:trPr>
          <w:trHeight w:val="540"/>
        </w:trPr>
        <w:tc>
          <w:tcPr>
            <w:tcW w:w="300" w:type="dxa"/>
            <w:tcBorders>
              <w:top w:val="nil"/>
              <w:left w:val="nil"/>
              <w:bottom w:val="nil"/>
              <w:right w:val="nil"/>
            </w:tcBorders>
            <w:shd w:val="clear" w:color="000000" w:fill="FFFFFF"/>
            <w:noWrap/>
            <w:hideMark/>
          </w:tcPr>
          <w:p w14:paraId="70B7BBBF"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5</w:t>
            </w:r>
          </w:p>
        </w:tc>
        <w:tc>
          <w:tcPr>
            <w:tcW w:w="3640" w:type="dxa"/>
            <w:tcBorders>
              <w:top w:val="nil"/>
              <w:left w:val="nil"/>
              <w:bottom w:val="nil"/>
              <w:right w:val="nil"/>
            </w:tcBorders>
            <w:shd w:val="clear" w:color="000000" w:fill="FFFFFF"/>
            <w:hideMark/>
          </w:tcPr>
          <w:p w14:paraId="53AA9003"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Държавно предприятие „Управление и стопанисване на язовири“</w:t>
            </w:r>
          </w:p>
        </w:tc>
        <w:tc>
          <w:tcPr>
            <w:tcW w:w="1180" w:type="dxa"/>
            <w:tcBorders>
              <w:top w:val="nil"/>
              <w:left w:val="nil"/>
              <w:bottom w:val="nil"/>
              <w:right w:val="nil"/>
            </w:tcBorders>
            <w:shd w:val="clear" w:color="000000" w:fill="FFFFFF"/>
            <w:noWrap/>
            <w:vAlign w:val="bottom"/>
            <w:hideMark/>
          </w:tcPr>
          <w:p w14:paraId="5163A638"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180" w:type="dxa"/>
            <w:tcBorders>
              <w:top w:val="nil"/>
              <w:left w:val="nil"/>
              <w:bottom w:val="nil"/>
              <w:right w:val="nil"/>
            </w:tcBorders>
            <w:shd w:val="clear" w:color="000000" w:fill="FFFFFF"/>
            <w:noWrap/>
            <w:vAlign w:val="bottom"/>
            <w:hideMark/>
          </w:tcPr>
          <w:p w14:paraId="76EC9818"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15 939,8</w:t>
            </w:r>
          </w:p>
        </w:tc>
        <w:tc>
          <w:tcPr>
            <w:tcW w:w="1160" w:type="dxa"/>
            <w:tcBorders>
              <w:top w:val="nil"/>
              <w:left w:val="nil"/>
              <w:bottom w:val="nil"/>
              <w:right w:val="nil"/>
            </w:tcBorders>
            <w:shd w:val="clear" w:color="000000" w:fill="FFFFFF"/>
            <w:noWrap/>
            <w:vAlign w:val="bottom"/>
            <w:hideMark/>
          </w:tcPr>
          <w:p w14:paraId="6D93C42E"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15 939,8</w:t>
            </w:r>
          </w:p>
        </w:tc>
        <w:tc>
          <w:tcPr>
            <w:tcW w:w="1240" w:type="dxa"/>
            <w:tcBorders>
              <w:top w:val="nil"/>
              <w:left w:val="nil"/>
              <w:bottom w:val="nil"/>
              <w:right w:val="nil"/>
            </w:tcBorders>
            <w:shd w:val="clear" w:color="000000" w:fill="FFFFFF"/>
            <w:noWrap/>
            <w:vAlign w:val="bottom"/>
            <w:hideMark/>
          </w:tcPr>
          <w:p w14:paraId="58DA1577"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00" w:type="dxa"/>
            <w:tcBorders>
              <w:top w:val="nil"/>
              <w:left w:val="nil"/>
              <w:bottom w:val="nil"/>
              <w:right w:val="nil"/>
            </w:tcBorders>
            <w:shd w:val="clear" w:color="000000" w:fill="FFFFFF"/>
            <w:noWrap/>
            <w:vAlign w:val="bottom"/>
            <w:hideMark/>
          </w:tcPr>
          <w:p w14:paraId="417660B4"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11 094,7</w:t>
            </w:r>
          </w:p>
        </w:tc>
        <w:tc>
          <w:tcPr>
            <w:tcW w:w="1220" w:type="dxa"/>
            <w:tcBorders>
              <w:top w:val="nil"/>
              <w:left w:val="nil"/>
              <w:bottom w:val="nil"/>
              <w:right w:val="nil"/>
            </w:tcBorders>
            <w:shd w:val="clear" w:color="000000" w:fill="FFFFFF"/>
            <w:noWrap/>
            <w:vAlign w:val="bottom"/>
            <w:hideMark/>
          </w:tcPr>
          <w:p w14:paraId="7568B77F"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11 094,7</w:t>
            </w:r>
          </w:p>
        </w:tc>
        <w:tc>
          <w:tcPr>
            <w:tcW w:w="1240" w:type="dxa"/>
            <w:tcBorders>
              <w:top w:val="nil"/>
              <w:left w:val="nil"/>
              <w:bottom w:val="nil"/>
              <w:right w:val="nil"/>
            </w:tcBorders>
            <w:shd w:val="clear" w:color="000000" w:fill="FFFFFF"/>
            <w:noWrap/>
            <w:vAlign w:val="bottom"/>
            <w:hideMark/>
          </w:tcPr>
          <w:p w14:paraId="4D5488BC"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00" w:type="dxa"/>
            <w:tcBorders>
              <w:top w:val="nil"/>
              <w:left w:val="nil"/>
              <w:bottom w:val="nil"/>
              <w:right w:val="nil"/>
            </w:tcBorders>
            <w:shd w:val="clear" w:color="000000" w:fill="FFFFFF"/>
            <w:noWrap/>
            <w:vAlign w:val="bottom"/>
            <w:hideMark/>
          </w:tcPr>
          <w:p w14:paraId="3F0E690B"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11 123,7</w:t>
            </w:r>
          </w:p>
        </w:tc>
        <w:tc>
          <w:tcPr>
            <w:tcW w:w="1220" w:type="dxa"/>
            <w:tcBorders>
              <w:top w:val="nil"/>
              <w:left w:val="nil"/>
              <w:bottom w:val="nil"/>
              <w:right w:val="nil"/>
            </w:tcBorders>
            <w:shd w:val="clear" w:color="000000" w:fill="FFFFFF"/>
            <w:noWrap/>
            <w:vAlign w:val="bottom"/>
            <w:hideMark/>
          </w:tcPr>
          <w:p w14:paraId="26E08F2F" w14:textId="77777777" w:rsidR="00771AC6" w:rsidRPr="00771AC6" w:rsidRDefault="00771AC6" w:rsidP="00771AC6">
            <w:pPr>
              <w:spacing w:after="0"/>
              <w:jc w:val="right"/>
              <w:rPr>
                <w:rFonts w:eastAsia="Times New Roman" w:cs="Times New Roman"/>
                <w:sz w:val="20"/>
                <w:szCs w:val="20"/>
              </w:rPr>
            </w:pPr>
            <w:r w:rsidRPr="00771AC6">
              <w:rPr>
                <w:rFonts w:eastAsia="Times New Roman" w:cs="Times New Roman"/>
                <w:sz w:val="20"/>
                <w:szCs w:val="20"/>
              </w:rPr>
              <w:t>11 123,7</w:t>
            </w:r>
          </w:p>
        </w:tc>
      </w:tr>
      <w:tr w:rsidR="00771AC6" w:rsidRPr="00771AC6" w14:paraId="5808A3FB" w14:textId="77777777" w:rsidTr="00771AC6">
        <w:trPr>
          <w:trHeight w:val="120"/>
        </w:trPr>
        <w:tc>
          <w:tcPr>
            <w:tcW w:w="300" w:type="dxa"/>
            <w:tcBorders>
              <w:top w:val="nil"/>
              <w:left w:val="nil"/>
              <w:bottom w:val="single" w:sz="4" w:space="0" w:color="auto"/>
              <w:right w:val="nil"/>
            </w:tcBorders>
            <w:shd w:val="clear" w:color="000000" w:fill="FFFFFF"/>
            <w:noWrap/>
            <w:hideMark/>
          </w:tcPr>
          <w:p w14:paraId="62146C7E"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3640" w:type="dxa"/>
            <w:tcBorders>
              <w:top w:val="nil"/>
              <w:left w:val="nil"/>
              <w:bottom w:val="single" w:sz="4" w:space="0" w:color="auto"/>
              <w:right w:val="nil"/>
            </w:tcBorders>
            <w:shd w:val="clear" w:color="000000" w:fill="FFFFFF"/>
            <w:hideMark/>
          </w:tcPr>
          <w:p w14:paraId="4493192E"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180" w:type="dxa"/>
            <w:tcBorders>
              <w:top w:val="nil"/>
              <w:left w:val="nil"/>
              <w:bottom w:val="single" w:sz="4" w:space="0" w:color="auto"/>
              <w:right w:val="nil"/>
            </w:tcBorders>
            <w:shd w:val="clear" w:color="000000" w:fill="FFFFFF"/>
            <w:noWrap/>
            <w:vAlign w:val="bottom"/>
            <w:hideMark/>
          </w:tcPr>
          <w:p w14:paraId="5A39D9C5"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180" w:type="dxa"/>
            <w:tcBorders>
              <w:top w:val="nil"/>
              <w:left w:val="nil"/>
              <w:bottom w:val="single" w:sz="4" w:space="0" w:color="auto"/>
              <w:right w:val="nil"/>
            </w:tcBorders>
            <w:shd w:val="clear" w:color="000000" w:fill="FFFFFF"/>
            <w:noWrap/>
            <w:vAlign w:val="bottom"/>
            <w:hideMark/>
          </w:tcPr>
          <w:p w14:paraId="78642F28"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160" w:type="dxa"/>
            <w:tcBorders>
              <w:top w:val="nil"/>
              <w:left w:val="nil"/>
              <w:bottom w:val="single" w:sz="4" w:space="0" w:color="auto"/>
              <w:right w:val="nil"/>
            </w:tcBorders>
            <w:shd w:val="clear" w:color="000000" w:fill="FFFFFF"/>
            <w:noWrap/>
            <w:vAlign w:val="bottom"/>
            <w:hideMark/>
          </w:tcPr>
          <w:p w14:paraId="36721482"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40" w:type="dxa"/>
            <w:tcBorders>
              <w:top w:val="nil"/>
              <w:left w:val="nil"/>
              <w:bottom w:val="single" w:sz="4" w:space="0" w:color="auto"/>
              <w:right w:val="nil"/>
            </w:tcBorders>
            <w:shd w:val="clear" w:color="000000" w:fill="FFFFFF"/>
            <w:noWrap/>
            <w:vAlign w:val="bottom"/>
            <w:hideMark/>
          </w:tcPr>
          <w:p w14:paraId="5189862F"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00" w:type="dxa"/>
            <w:tcBorders>
              <w:top w:val="nil"/>
              <w:left w:val="nil"/>
              <w:bottom w:val="single" w:sz="4" w:space="0" w:color="auto"/>
              <w:right w:val="nil"/>
            </w:tcBorders>
            <w:shd w:val="clear" w:color="000000" w:fill="FFFFFF"/>
            <w:noWrap/>
            <w:vAlign w:val="bottom"/>
            <w:hideMark/>
          </w:tcPr>
          <w:p w14:paraId="23ED9371"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20" w:type="dxa"/>
            <w:tcBorders>
              <w:top w:val="nil"/>
              <w:left w:val="nil"/>
              <w:bottom w:val="single" w:sz="4" w:space="0" w:color="auto"/>
              <w:right w:val="nil"/>
            </w:tcBorders>
            <w:shd w:val="clear" w:color="000000" w:fill="FFFFFF"/>
            <w:noWrap/>
            <w:vAlign w:val="bottom"/>
            <w:hideMark/>
          </w:tcPr>
          <w:p w14:paraId="6C3E0BC6"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40" w:type="dxa"/>
            <w:tcBorders>
              <w:top w:val="nil"/>
              <w:left w:val="nil"/>
              <w:bottom w:val="single" w:sz="4" w:space="0" w:color="auto"/>
              <w:right w:val="nil"/>
            </w:tcBorders>
            <w:shd w:val="clear" w:color="000000" w:fill="FFFFFF"/>
            <w:noWrap/>
            <w:vAlign w:val="bottom"/>
            <w:hideMark/>
          </w:tcPr>
          <w:p w14:paraId="23568DD6"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00" w:type="dxa"/>
            <w:tcBorders>
              <w:top w:val="nil"/>
              <w:left w:val="nil"/>
              <w:bottom w:val="single" w:sz="4" w:space="0" w:color="auto"/>
              <w:right w:val="nil"/>
            </w:tcBorders>
            <w:shd w:val="clear" w:color="000000" w:fill="FFFFFF"/>
            <w:noWrap/>
            <w:vAlign w:val="bottom"/>
            <w:hideMark/>
          </w:tcPr>
          <w:p w14:paraId="4A8C1B97"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c>
          <w:tcPr>
            <w:tcW w:w="1220" w:type="dxa"/>
            <w:tcBorders>
              <w:top w:val="nil"/>
              <w:left w:val="nil"/>
              <w:bottom w:val="single" w:sz="4" w:space="0" w:color="auto"/>
              <w:right w:val="nil"/>
            </w:tcBorders>
            <w:shd w:val="clear" w:color="000000" w:fill="FFFFFF"/>
            <w:noWrap/>
            <w:vAlign w:val="bottom"/>
            <w:hideMark/>
          </w:tcPr>
          <w:p w14:paraId="7C0B4951" w14:textId="77777777" w:rsidR="00771AC6" w:rsidRPr="00771AC6" w:rsidRDefault="00771AC6" w:rsidP="00771AC6">
            <w:pPr>
              <w:spacing w:after="0"/>
              <w:jc w:val="left"/>
              <w:rPr>
                <w:rFonts w:eastAsia="Times New Roman" w:cs="Times New Roman"/>
                <w:sz w:val="20"/>
                <w:szCs w:val="20"/>
              </w:rPr>
            </w:pPr>
            <w:r w:rsidRPr="00771AC6">
              <w:rPr>
                <w:rFonts w:eastAsia="Times New Roman" w:cs="Times New Roman"/>
                <w:sz w:val="20"/>
                <w:szCs w:val="20"/>
              </w:rPr>
              <w:t> </w:t>
            </w:r>
          </w:p>
        </w:tc>
      </w:tr>
    </w:tbl>
    <w:p w14:paraId="5E87C240" w14:textId="77777777" w:rsidR="00771AC6" w:rsidRDefault="00771AC6" w:rsidP="00D2268D">
      <w:pPr>
        <w:jc w:val="right"/>
        <w:rPr>
          <w:rFonts w:eastAsia="Times New Roman" w:cs="Times New Roman"/>
          <w:b/>
          <w:bCs/>
          <w:sz w:val="20"/>
          <w:szCs w:val="20"/>
        </w:rPr>
      </w:pPr>
    </w:p>
    <w:p w14:paraId="19340AF0" w14:textId="77777777" w:rsidR="0069080D" w:rsidRDefault="0069080D" w:rsidP="00035C4B">
      <w:pPr>
        <w:spacing w:after="120"/>
        <w:jc w:val="right"/>
        <w:rPr>
          <w:sz w:val="20"/>
          <w:szCs w:val="20"/>
        </w:rPr>
      </w:pPr>
    </w:p>
    <w:p w14:paraId="7C944C0F" w14:textId="77777777" w:rsidR="00F76A6E" w:rsidRDefault="00F76A6E" w:rsidP="00035C4B">
      <w:pPr>
        <w:spacing w:after="120"/>
        <w:jc w:val="right"/>
        <w:rPr>
          <w:sz w:val="20"/>
          <w:szCs w:val="20"/>
        </w:rPr>
      </w:pPr>
    </w:p>
    <w:p w14:paraId="6036E876" w14:textId="77777777" w:rsidR="004968EC" w:rsidRPr="00AA3F66" w:rsidRDefault="004968EC" w:rsidP="00D22F61">
      <w:r w:rsidRPr="00AA3F66">
        <w:br w:type="page"/>
      </w:r>
    </w:p>
    <w:p w14:paraId="3580F160" w14:textId="77777777" w:rsidR="00BF3C17" w:rsidRDefault="002B149E" w:rsidP="00DE6798">
      <w:pPr>
        <w:pStyle w:val="Heading2"/>
      </w:pPr>
      <w:bookmarkStart w:id="643" w:name="_Toc464224831"/>
      <w:bookmarkStart w:id="644" w:name="_Toc464225481"/>
      <w:bookmarkStart w:id="645" w:name="_Toc464459028"/>
      <w:bookmarkStart w:id="646" w:name="_Toc464459776"/>
      <w:bookmarkStart w:id="647" w:name="_Toc464460729"/>
      <w:bookmarkStart w:id="648" w:name="_Toc464463128"/>
      <w:bookmarkStart w:id="649" w:name="_Toc464464957"/>
      <w:bookmarkStart w:id="650" w:name="_Toc464465464"/>
      <w:bookmarkStart w:id="651" w:name="_Toc464465652"/>
      <w:bookmarkStart w:id="652" w:name="_Toc464466476"/>
      <w:bookmarkStart w:id="653" w:name="_Toc464466719"/>
      <w:bookmarkStart w:id="654" w:name="_Toc464645436"/>
      <w:bookmarkStart w:id="655" w:name="_Toc465205594"/>
      <w:bookmarkStart w:id="656" w:name="_Toc216029383"/>
      <w:r w:rsidRPr="00AA3F66">
        <w:lastRenderedPageBreak/>
        <w:t xml:space="preserve">Приложение № 9: </w:t>
      </w:r>
      <w:r w:rsidR="001B1227" w:rsidRPr="00AA3F66">
        <w:br/>
      </w:r>
      <w:r w:rsidR="00B04AD7" w:rsidRPr="00AA3F66">
        <w:t>Р</w:t>
      </w:r>
      <w:r w:rsidRPr="00AA3F66">
        <w:t xml:space="preserve">азмери на </w:t>
      </w:r>
      <w:r w:rsidR="00F60E52" w:rsidRPr="00AA3F66">
        <w:t>основните</w:t>
      </w:r>
      <w:r w:rsidR="00E3725A" w:rsidRPr="00AA3F66">
        <w:t xml:space="preserve"> </w:t>
      </w:r>
      <w:r w:rsidRPr="00AA3F66">
        <w:t>бюджетни взаимоотношения между централния бюджет и бюдж</w:t>
      </w:r>
      <w:r w:rsidR="00B502E4" w:rsidRPr="00AA3F66">
        <w:t>е</w:t>
      </w:r>
      <w:r w:rsidR="00BE4275" w:rsidRPr="00AA3F66">
        <w:t xml:space="preserve">тите на общините </w:t>
      </w:r>
      <w:r w:rsidR="0098294A" w:rsidRPr="00AA3F66">
        <w:t xml:space="preserve">за </w:t>
      </w:r>
      <w:r w:rsidR="00EC7E15">
        <w:t>периода 2026</w:t>
      </w:r>
      <w:r w:rsidR="004A6349">
        <w:t>-2028</w:t>
      </w:r>
      <w:r w:rsidR="00AA3035" w:rsidRPr="00AA3F66">
        <w:t> г.</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EB8C90B" w14:textId="77777777" w:rsidR="006C31A3" w:rsidRDefault="006C31A3" w:rsidP="008F6CEB">
      <w:pPr>
        <w:spacing w:after="120"/>
        <w:ind w:right="145" w:firstLine="11198"/>
        <w:jc w:val="right"/>
        <w:rPr>
          <w:rFonts w:eastAsia="Times New Roman" w:cs="Times New Roman"/>
          <w:b/>
          <w:bCs/>
          <w:sz w:val="20"/>
          <w:szCs w:val="20"/>
        </w:rPr>
      </w:pPr>
      <w:r w:rsidRPr="00844EF7">
        <w:rPr>
          <w:rFonts w:eastAsia="Times New Roman" w:cs="Times New Roman"/>
          <w:b/>
          <w:bCs/>
          <w:sz w:val="20"/>
          <w:szCs w:val="20"/>
        </w:rPr>
        <w:t>(в хил. евро)</w:t>
      </w:r>
    </w:p>
    <w:tbl>
      <w:tblPr>
        <w:tblW w:w="14940" w:type="dxa"/>
        <w:tblCellMar>
          <w:left w:w="70" w:type="dxa"/>
          <w:right w:w="70" w:type="dxa"/>
        </w:tblCellMar>
        <w:tblLook w:val="04A0" w:firstRow="1" w:lastRow="0" w:firstColumn="1" w:lastColumn="0" w:noHBand="0" w:noVBand="1"/>
      </w:tblPr>
      <w:tblGrid>
        <w:gridCol w:w="1225"/>
        <w:gridCol w:w="8252"/>
        <w:gridCol w:w="1777"/>
        <w:gridCol w:w="1732"/>
        <w:gridCol w:w="1954"/>
      </w:tblGrid>
      <w:tr w:rsidR="00345170" w:rsidRPr="005D40AD" w14:paraId="6A8CA628" w14:textId="77777777" w:rsidTr="00E71766">
        <w:trPr>
          <w:trHeight w:val="269"/>
        </w:trPr>
        <w:tc>
          <w:tcPr>
            <w:tcW w:w="1225" w:type="dxa"/>
            <w:tcBorders>
              <w:top w:val="nil"/>
              <w:left w:val="nil"/>
              <w:bottom w:val="nil"/>
              <w:right w:val="nil"/>
            </w:tcBorders>
            <w:shd w:val="clear" w:color="auto" w:fill="auto"/>
            <w:noWrap/>
            <w:vAlign w:val="bottom"/>
            <w:hideMark/>
          </w:tcPr>
          <w:p w14:paraId="02056452" w14:textId="77777777" w:rsidR="00345170" w:rsidRPr="005D40AD" w:rsidRDefault="00345170" w:rsidP="00643B7B">
            <w:pPr>
              <w:spacing w:after="0"/>
              <w:jc w:val="left"/>
              <w:rPr>
                <w:rFonts w:eastAsia="Times New Roman" w:cs="Times New Roman"/>
                <w:sz w:val="20"/>
                <w:szCs w:val="24"/>
              </w:rPr>
            </w:pPr>
          </w:p>
        </w:tc>
        <w:tc>
          <w:tcPr>
            <w:tcW w:w="8252" w:type="dxa"/>
            <w:tcBorders>
              <w:top w:val="nil"/>
              <w:left w:val="nil"/>
              <w:bottom w:val="nil"/>
              <w:right w:val="nil"/>
            </w:tcBorders>
            <w:shd w:val="clear" w:color="auto" w:fill="auto"/>
            <w:noWrap/>
            <w:vAlign w:val="bottom"/>
            <w:hideMark/>
          </w:tcPr>
          <w:p w14:paraId="23E64F8B" w14:textId="77777777" w:rsidR="00345170" w:rsidRPr="005D40AD" w:rsidRDefault="00345170" w:rsidP="00643B7B">
            <w:pPr>
              <w:spacing w:after="0"/>
              <w:jc w:val="left"/>
              <w:rPr>
                <w:rFonts w:eastAsia="Times New Roman" w:cs="Times New Roman"/>
                <w:sz w:val="20"/>
                <w:szCs w:val="20"/>
              </w:rPr>
            </w:pPr>
          </w:p>
        </w:tc>
        <w:tc>
          <w:tcPr>
            <w:tcW w:w="1777" w:type="dxa"/>
            <w:tcBorders>
              <w:top w:val="nil"/>
              <w:left w:val="nil"/>
              <w:bottom w:val="nil"/>
              <w:right w:val="nil"/>
            </w:tcBorders>
            <w:shd w:val="clear" w:color="auto" w:fill="auto"/>
            <w:noWrap/>
            <w:vAlign w:val="bottom"/>
            <w:hideMark/>
          </w:tcPr>
          <w:p w14:paraId="5586525A" w14:textId="77777777" w:rsidR="00345170" w:rsidRPr="005D40AD" w:rsidRDefault="00345170" w:rsidP="00643B7B">
            <w:pPr>
              <w:spacing w:after="0"/>
              <w:jc w:val="left"/>
              <w:rPr>
                <w:rFonts w:eastAsia="Times New Roman" w:cs="Times New Roman"/>
                <w:sz w:val="20"/>
                <w:szCs w:val="20"/>
              </w:rPr>
            </w:pPr>
          </w:p>
        </w:tc>
        <w:tc>
          <w:tcPr>
            <w:tcW w:w="1732" w:type="dxa"/>
            <w:tcBorders>
              <w:top w:val="nil"/>
              <w:left w:val="nil"/>
              <w:bottom w:val="nil"/>
              <w:right w:val="nil"/>
            </w:tcBorders>
            <w:shd w:val="clear" w:color="auto" w:fill="auto"/>
            <w:noWrap/>
            <w:vAlign w:val="center"/>
            <w:hideMark/>
          </w:tcPr>
          <w:p w14:paraId="1D1222C9" w14:textId="77777777" w:rsidR="00345170" w:rsidRPr="005D40AD" w:rsidRDefault="00345170" w:rsidP="00643B7B">
            <w:pPr>
              <w:spacing w:after="0"/>
              <w:jc w:val="left"/>
              <w:rPr>
                <w:rFonts w:eastAsia="Times New Roman" w:cs="Times New Roman"/>
                <w:sz w:val="20"/>
                <w:szCs w:val="20"/>
              </w:rPr>
            </w:pPr>
          </w:p>
        </w:tc>
        <w:tc>
          <w:tcPr>
            <w:tcW w:w="1954" w:type="dxa"/>
            <w:tcBorders>
              <w:top w:val="nil"/>
              <w:left w:val="nil"/>
              <w:bottom w:val="nil"/>
              <w:right w:val="nil"/>
            </w:tcBorders>
            <w:shd w:val="clear" w:color="auto" w:fill="auto"/>
            <w:noWrap/>
            <w:vAlign w:val="center"/>
            <w:hideMark/>
          </w:tcPr>
          <w:p w14:paraId="5BCD358F" w14:textId="77777777" w:rsidR="00345170" w:rsidRPr="005D40AD" w:rsidRDefault="00345170" w:rsidP="00643B7B">
            <w:pPr>
              <w:spacing w:after="0"/>
              <w:jc w:val="right"/>
              <w:rPr>
                <w:rFonts w:eastAsia="Times New Roman" w:cs="Times New Roman"/>
                <w:color w:val="000000"/>
                <w:sz w:val="20"/>
                <w:szCs w:val="20"/>
              </w:rPr>
            </w:pPr>
          </w:p>
        </w:tc>
      </w:tr>
      <w:tr w:rsidR="00345170" w:rsidRPr="005D40AD" w14:paraId="436BA064" w14:textId="77777777" w:rsidTr="00E71766">
        <w:trPr>
          <w:trHeight w:val="258"/>
        </w:trPr>
        <w:tc>
          <w:tcPr>
            <w:tcW w:w="1225" w:type="dxa"/>
            <w:tcBorders>
              <w:top w:val="single" w:sz="8" w:space="0" w:color="auto"/>
              <w:left w:val="nil"/>
              <w:bottom w:val="nil"/>
              <w:right w:val="nil"/>
            </w:tcBorders>
            <w:shd w:val="clear" w:color="auto" w:fill="auto"/>
            <w:noWrap/>
            <w:vAlign w:val="center"/>
            <w:hideMark/>
          </w:tcPr>
          <w:p w14:paraId="30CF4C5C"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8252" w:type="dxa"/>
            <w:tcBorders>
              <w:top w:val="single" w:sz="8" w:space="0" w:color="auto"/>
              <w:left w:val="nil"/>
              <w:bottom w:val="nil"/>
              <w:right w:val="nil"/>
            </w:tcBorders>
            <w:shd w:val="clear" w:color="auto" w:fill="auto"/>
            <w:noWrap/>
            <w:vAlign w:val="center"/>
            <w:hideMark/>
          </w:tcPr>
          <w:p w14:paraId="1BB13A9E"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1777" w:type="dxa"/>
            <w:tcBorders>
              <w:top w:val="single" w:sz="8" w:space="0" w:color="auto"/>
              <w:left w:val="nil"/>
              <w:bottom w:val="nil"/>
              <w:right w:val="nil"/>
            </w:tcBorders>
            <w:shd w:val="clear" w:color="auto" w:fill="auto"/>
            <w:vAlign w:val="center"/>
            <w:hideMark/>
          </w:tcPr>
          <w:p w14:paraId="79228707"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1732" w:type="dxa"/>
            <w:tcBorders>
              <w:top w:val="single" w:sz="8" w:space="0" w:color="auto"/>
              <w:left w:val="nil"/>
              <w:bottom w:val="nil"/>
              <w:right w:val="nil"/>
            </w:tcBorders>
            <w:shd w:val="clear" w:color="auto" w:fill="auto"/>
            <w:vAlign w:val="center"/>
            <w:hideMark/>
          </w:tcPr>
          <w:p w14:paraId="3CA30A42"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1954" w:type="dxa"/>
            <w:tcBorders>
              <w:top w:val="single" w:sz="8" w:space="0" w:color="auto"/>
              <w:left w:val="nil"/>
              <w:bottom w:val="nil"/>
              <w:right w:val="nil"/>
            </w:tcBorders>
            <w:shd w:val="clear" w:color="auto" w:fill="auto"/>
            <w:vAlign w:val="center"/>
            <w:hideMark/>
          </w:tcPr>
          <w:p w14:paraId="55CD6369"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w:t>
            </w:r>
          </w:p>
        </w:tc>
      </w:tr>
      <w:tr w:rsidR="00345170" w:rsidRPr="005D40AD" w14:paraId="38CAF4DC" w14:textId="77777777" w:rsidTr="00E71766">
        <w:trPr>
          <w:trHeight w:val="258"/>
        </w:trPr>
        <w:tc>
          <w:tcPr>
            <w:tcW w:w="1225" w:type="dxa"/>
            <w:tcBorders>
              <w:top w:val="nil"/>
              <w:left w:val="nil"/>
              <w:bottom w:val="nil"/>
              <w:right w:val="nil"/>
            </w:tcBorders>
            <w:shd w:val="clear" w:color="auto" w:fill="auto"/>
            <w:noWrap/>
            <w:vAlign w:val="center"/>
            <w:hideMark/>
          </w:tcPr>
          <w:p w14:paraId="12F4EFBA"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w:t>
            </w:r>
          </w:p>
        </w:tc>
        <w:tc>
          <w:tcPr>
            <w:tcW w:w="8252" w:type="dxa"/>
            <w:tcBorders>
              <w:top w:val="nil"/>
              <w:left w:val="nil"/>
              <w:bottom w:val="nil"/>
              <w:right w:val="nil"/>
            </w:tcBorders>
            <w:shd w:val="clear" w:color="auto" w:fill="auto"/>
            <w:noWrap/>
            <w:vAlign w:val="center"/>
            <w:hideMark/>
          </w:tcPr>
          <w:p w14:paraId="599D6C6A"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Показатели</w:t>
            </w:r>
          </w:p>
        </w:tc>
        <w:tc>
          <w:tcPr>
            <w:tcW w:w="1777" w:type="dxa"/>
            <w:tcBorders>
              <w:top w:val="nil"/>
              <w:left w:val="nil"/>
              <w:bottom w:val="nil"/>
              <w:right w:val="nil"/>
            </w:tcBorders>
            <w:shd w:val="clear" w:color="auto" w:fill="auto"/>
            <w:noWrap/>
            <w:vAlign w:val="center"/>
            <w:hideMark/>
          </w:tcPr>
          <w:p w14:paraId="0755010B"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xml:space="preserve"> 2026 г.</w:t>
            </w:r>
          </w:p>
        </w:tc>
        <w:tc>
          <w:tcPr>
            <w:tcW w:w="1732" w:type="dxa"/>
            <w:tcBorders>
              <w:top w:val="nil"/>
              <w:left w:val="nil"/>
              <w:bottom w:val="nil"/>
              <w:right w:val="nil"/>
            </w:tcBorders>
            <w:shd w:val="clear" w:color="auto" w:fill="auto"/>
            <w:noWrap/>
            <w:vAlign w:val="center"/>
            <w:hideMark/>
          </w:tcPr>
          <w:p w14:paraId="6315B100"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xml:space="preserve"> 2027 г.</w:t>
            </w:r>
          </w:p>
        </w:tc>
        <w:tc>
          <w:tcPr>
            <w:tcW w:w="1954" w:type="dxa"/>
            <w:tcBorders>
              <w:top w:val="nil"/>
              <w:left w:val="nil"/>
              <w:bottom w:val="nil"/>
              <w:right w:val="nil"/>
            </w:tcBorders>
            <w:shd w:val="clear" w:color="auto" w:fill="auto"/>
            <w:noWrap/>
            <w:vAlign w:val="center"/>
            <w:hideMark/>
          </w:tcPr>
          <w:p w14:paraId="52343B12" w14:textId="77777777" w:rsidR="00345170" w:rsidRPr="005D40AD" w:rsidRDefault="00345170" w:rsidP="00643B7B">
            <w:pPr>
              <w:spacing w:after="0"/>
              <w:jc w:val="center"/>
              <w:rPr>
                <w:rFonts w:eastAsia="Times New Roman" w:cs="Times New Roman"/>
                <w:b/>
                <w:bCs/>
                <w:color w:val="000000"/>
                <w:sz w:val="20"/>
                <w:szCs w:val="20"/>
              </w:rPr>
            </w:pPr>
            <w:r w:rsidRPr="005D40AD">
              <w:rPr>
                <w:rFonts w:eastAsia="Times New Roman" w:cs="Times New Roman"/>
                <w:b/>
                <w:bCs/>
                <w:color w:val="000000"/>
                <w:sz w:val="20"/>
                <w:szCs w:val="20"/>
              </w:rPr>
              <w:t xml:space="preserve"> 2028 г.</w:t>
            </w:r>
          </w:p>
        </w:tc>
      </w:tr>
      <w:tr w:rsidR="00345170" w:rsidRPr="005D40AD" w14:paraId="353C1748" w14:textId="77777777" w:rsidTr="00E71766">
        <w:trPr>
          <w:trHeight w:val="269"/>
        </w:trPr>
        <w:tc>
          <w:tcPr>
            <w:tcW w:w="1225" w:type="dxa"/>
            <w:tcBorders>
              <w:top w:val="nil"/>
              <w:left w:val="nil"/>
              <w:bottom w:val="single" w:sz="4" w:space="0" w:color="auto"/>
              <w:right w:val="nil"/>
            </w:tcBorders>
            <w:shd w:val="clear" w:color="auto" w:fill="auto"/>
            <w:noWrap/>
            <w:vAlign w:val="center"/>
            <w:hideMark/>
          </w:tcPr>
          <w:p w14:paraId="5D207529" w14:textId="77777777" w:rsidR="00345170" w:rsidRPr="005D40AD" w:rsidRDefault="00345170" w:rsidP="00643B7B">
            <w:pPr>
              <w:spacing w:after="0"/>
              <w:jc w:val="left"/>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8252" w:type="dxa"/>
            <w:tcBorders>
              <w:top w:val="nil"/>
              <w:left w:val="nil"/>
              <w:bottom w:val="single" w:sz="4" w:space="0" w:color="auto"/>
              <w:right w:val="nil"/>
            </w:tcBorders>
            <w:shd w:val="clear" w:color="auto" w:fill="auto"/>
            <w:noWrap/>
            <w:vAlign w:val="center"/>
            <w:hideMark/>
          </w:tcPr>
          <w:p w14:paraId="413B8C8C" w14:textId="77777777" w:rsidR="00345170" w:rsidRPr="005D40AD" w:rsidRDefault="00345170" w:rsidP="00643B7B">
            <w:pPr>
              <w:spacing w:after="0"/>
              <w:jc w:val="left"/>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1777" w:type="dxa"/>
            <w:tcBorders>
              <w:top w:val="nil"/>
              <w:left w:val="nil"/>
              <w:bottom w:val="single" w:sz="4" w:space="0" w:color="auto"/>
              <w:right w:val="nil"/>
            </w:tcBorders>
            <w:shd w:val="clear" w:color="auto" w:fill="auto"/>
            <w:noWrap/>
            <w:vAlign w:val="center"/>
            <w:hideMark/>
          </w:tcPr>
          <w:p w14:paraId="248BAADB" w14:textId="77777777" w:rsidR="00345170" w:rsidRPr="005D40AD" w:rsidRDefault="00345170" w:rsidP="00643B7B">
            <w:pPr>
              <w:spacing w:after="0"/>
              <w:jc w:val="left"/>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1732" w:type="dxa"/>
            <w:tcBorders>
              <w:top w:val="nil"/>
              <w:left w:val="nil"/>
              <w:bottom w:val="single" w:sz="4" w:space="0" w:color="auto"/>
              <w:right w:val="nil"/>
            </w:tcBorders>
            <w:shd w:val="clear" w:color="auto" w:fill="auto"/>
            <w:noWrap/>
            <w:vAlign w:val="center"/>
            <w:hideMark/>
          </w:tcPr>
          <w:p w14:paraId="1D265ECA" w14:textId="77777777" w:rsidR="00345170" w:rsidRPr="005D40AD" w:rsidRDefault="00345170" w:rsidP="00643B7B">
            <w:pPr>
              <w:spacing w:after="0"/>
              <w:jc w:val="left"/>
              <w:rPr>
                <w:rFonts w:eastAsia="Times New Roman" w:cs="Times New Roman"/>
                <w:b/>
                <w:bCs/>
                <w:color w:val="000000"/>
                <w:sz w:val="20"/>
                <w:szCs w:val="20"/>
              </w:rPr>
            </w:pPr>
            <w:r w:rsidRPr="005D40AD">
              <w:rPr>
                <w:rFonts w:eastAsia="Times New Roman" w:cs="Times New Roman"/>
                <w:b/>
                <w:bCs/>
                <w:color w:val="000000"/>
                <w:sz w:val="20"/>
                <w:szCs w:val="20"/>
              </w:rPr>
              <w:t> </w:t>
            </w:r>
          </w:p>
        </w:tc>
        <w:tc>
          <w:tcPr>
            <w:tcW w:w="1954" w:type="dxa"/>
            <w:tcBorders>
              <w:top w:val="nil"/>
              <w:left w:val="nil"/>
              <w:bottom w:val="single" w:sz="4" w:space="0" w:color="auto"/>
              <w:right w:val="nil"/>
            </w:tcBorders>
            <w:shd w:val="clear" w:color="auto" w:fill="auto"/>
            <w:noWrap/>
            <w:vAlign w:val="center"/>
            <w:hideMark/>
          </w:tcPr>
          <w:p w14:paraId="640F2CF1" w14:textId="77777777" w:rsidR="00345170" w:rsidRPr="005D40AD" w:rsidRDefault="00345170" w:rsidP="00643B7B">
            <w:pPr>
              <w:spacing w:after="0"/>
              <w:jc w:val="left"/>
              <w:rPr>
                <w:rFonts w:eastAsia="Times New Roman" w:cs="Times New Roman"/>
                <w:b/>
                <w:bCs/>
                <w:color w:val="000000"/>
                <w:sz w:val="20"/>
                <w:szCs w:val="20"/>
              </w:rPr>
            </w:pPr>
            <w:r w:rsidRPr="005D40AD">
              <w:rPr>
                <w:rFonts w:eastAsia="Times New Roman" w:cs="Times New Roman"/>
                <w:b/>
                <w:bCs/>
                <w:color w:val="000000"/>
                <w:sz w:val="20"/>
                <w:szCs w:val="20"/>
              </w:rPr>
              <w:t> </w:t>
            </w:r>
          </w:p>
        </w:tc>
      </w:tr>
      <w:tr w:rsidR="00345170" w:rsidRPr="005D40AD" w14:paraId="03369700" w14:textId="77777777" w:rsidTr="00E71766">
        <w:trPr>
          <w:trHeight w:val="258"/>
        </w:trPr>
        <w:tc>
          <w:tcPr>
            <w:tcW w:w="1225" w:type="dxa"/>
            <w:tcBorders>
              <w:top w:val="single" w:sz="4" w:space="0" w:color="auto"/>
              <w:left w:val="nil"/>
              <w:bottom w:val="nil"/>
              <w:right w:val="nil"/>
            </w:tcBorders>
            <w:shd w:val="clear" w:color="auto" w:fill="auto"/>
            <w:noWrap/>
            <w:vAlign w:val="center"/>
            <w:hideMark/>
          </w:tcPr>
          <w:p w14:paraId="5D55F70D" w14:textId="77777777" w:rsidR="00345170" w:rsidRPr="005D40AD" w:rsidRDefault="00345170" w:rsidP="00643B7B">
            <w:pPr>
              <w:spacing w:after="0"/>
              <w:jc w:val="left"/>
              <w:rPr>
                <w:rFonts w:eastAsia="Times New Roman" w:cs="Times New Roman"/>
                <w:b/>
                <w:bCs/>
                <w:color w:val="000000"/>
                <w:sz w:val="20"/>
                <w:szCs w:val="20"/>
              </w:rPr>
            </w:pPr>
          </w:p>
        </w:tc>
        <w:tc>
          <w:tcPr>
            <w:tcW w:w="8252" w:type="dxa"/>
            <w:tcBorders>
              <w:top w:val="single" w:sz="4" w:space="0" w:color="auto"/>
              <w:left w:val="nil"/>
              <w:bottom w:val="nil"/>
              <w:right w:val="nil"/>
            </w:tcBorders>
            <w:shd w:val="clear" w:color="auto" w:fill="auto"/>
            <w:noWrap/>
            <w:vAlign w:val="center"/>
            <w:hideMark/>
          </w:tcPr>
          <w:p w14:paraId="45F39C04" w14:textId="77777777" w:rsidR="00345170" w:rsidRPr="005D40AD" w:rsidRDefault="00345170" w:rsidP="00643B7B">
            <w:pPr>
              <w:spacing w:after="0"/>
              <w:jc w:val="left"/>
              <w:rPr>
                <w:rFonts w:eastAsia="Times New Roman" w:cs="Times New Roman"/>
                <w:b/>
                <w:bCs/>
                <w:color w:val="000000"/>
                <w:sz w:val="20"/>
                <w:szCs w:val="20"/>
              </w:rPr>
            </w:pPr>
            <w:r w:rsidRPr="005D40AD">
              <w:rPr>
                <w:rFonts w:eastAsia="Times New Roman" w:cs="Times New Roman"/>
                <w:b/>
                <w:bCs/>
                <w:color w:val="000000"/>
                <w:sz w:val="20"/>
                <w:szCs w:val="20"/>
              </w:rPr>
              <w:t>Основни бюджетни взаимоотношения - всичко</w:t>
            </w:r>
          </w:p>
        </w:tc>
        <w:tc>
          <w:tcPr>
            <w:tcW w:w="1777" w:type="dxa"/>
            <w:tcBorders>
              <w:top w:val="single" w:sz="4" w:space="0" w:color="auto"/>
              <w:left w:val="nil"/>
              <w:bottom w:val="nil"/>
              <w:right w:val="nil"/>
            </w:tcBorders>
            <w:shd w:val="clear" w:color="auto" w:fill="auto"/>
            <w:noWrap/>
            <w:vAlign w:val="center"/>
            <w:hideMark/>
          </w:tcPr>
          <w:p w14:paraId="2DB52DAE" w14:textId="77777777" w:rsidR="00345170" w:rsidRPr="005D40AD" w:rsidRDefault="00345170" w:rsidP="00643B7B">
            <w:pPr>
              <w:spacing w:after="0"/>
              <w:jc w:val="right"/>
              <w:rPr>
                <w:rFonts w:eastAsia="Times New Roman" w:cs="Times New Roman"/>
                <w:b/>
                <w:bCs/>
                <w:color w:val="000000"/>
                <w:sz w:val="20"/>
                <w:szCs w:val="20"/>
              </w:rPr>
            </w:pPr>
            <w:r w:rsidRPr="005D40AD">
              <w:rPr>
                <w:rFonts w:eastAsia="Times New Roman" w:cs="Times New Roman"/>
                <w:b/>
                <w:bCs/>
                <w:color w:val="000000"/>
                <w:sz w:val="20"/>
                <w:szCs w:val="20"/>
              </w:rPr>
              <w:t>5 035 624,5</w:t>
            </w:r>
          </w:p>
        </w:tc>
        <w:tc>
          <w:tcPr>
            <w:tcW w:w="1732" w:type="dxa"/>
            <w:tcBorders>
              <w:top w:val="single" w:sz="4" w:space="0" w:color="auto"/>
              <w:left w:val="nil"/>
              <w:bottom w:val="nil"/>
              <w:right w:val="nil"/>
            </w:tcBorders>
            <w:shd w:val="clear" w:color="auto" w:fill="auto"/>
            <w:noWrap/>
            <w:vAlign w:val="center"/>
            <w:hideMark/>
          </w:tcPr>
          <w:p w14:paraId="1AA63917" w14:textId="77777777" w:rsidR="00345170" w:rsidRPr="005D40AD" w:rsidRDefault="00345170" w:rsidP="00643B7B">
            <w:pPr>
              <w:spacing w:after="0"/>
              <w:jc w:val="right"/>
              <w:rPr>
                <w:rFonts w:eastAsia="Times New Roman" w:cs="Times New Roman"/>
                <w:b/>
                <w:bCs/>
                <w:color w:val="000000"/>
                <w:sz w:val="20"/>
                <w:szCs w:val="20"/>
              </w:rPr>
            </w:pPr>
            <w:r w:rsidRPr="005D40AD">
              <w:rPr>
                <w:rFonts w:eastAsia="Times New Roman" w:cs="Times New Roman"/>
                <w:b/>
                <w:bCs/>
                <w:color w:val="000000"/>
                <w:sz w:val="20"/>
                <w:szCs w:val="20"/>
              </w:rPr>
              <w:t>5 056 951,6</w:t>
            </w:r>
          </w:p>
        </w:tc>
        <w:tc>
          <w:tcPr>
            <w:tcW w:w="1954" w:type="dxa"/>
            <w:tcBorders>
              <w:top w:val="single" w:sz="4" w:space="0" w:color="auto"/>
              <w:left w:val="nil"/>
              <w:bottom w:val="nil"/>
              <w:right w:val="nil"/>
            </w:tcBorders>
            <w:shd w:val="clear" w:color="auto" w:fill="auto"/>
            <w:noWrap/>
            <w:vAlign w:val="center"/>
            <w:hideMark/>
          </w:tcPr>
          <w:p w14:paraId="75E8E8C4" w14:textId="77777777" w:rsidR="00345170" w:rsidRPr="005D40AD" w:rsidRDefault="00345170" w:rsidP="00643B7B">
            <w:pPr>
              <w:spacing w:after="0"/>
              <w:jc w:val="right"/>
              <w:rPr>
                <w:rFonts w:eastAsia="Times New Roman" w:cs="Times New Roman"/>
                <w:b/>
                <w:bCs/>
                <w:color w:val="000000"/>
                <w:sz w:val="20"/>
                <w:szCs w:val="20"/>
              </w:rPr>
            </w:pPr>
            <w:r w:rsidRPr="005D40AD">
              <w:rPr>
                <w:rFonts w:eastAsia="Times New Roman" w:cs="Times New Roman"/>
                <w:b/>
                <w:bCs/>
                <w:color w:val="000000"/>
                <w:sz w:val="20"/>
                <w:szCs w:val="20"/>
              </w:rPr>
              <w:t>5 097 229,4</w:t>
            </w:r>
          </w:p>
        </w:tc>
      </w:tr>
      <w:tr w:rsidR="00345170" w:rsidRPr="005D40AD" w14:paraId="66F9ADF9" w14:textId="77777777" w:rsidTr="00E71766">
        <w:trPr>
          <w:trHeight w:val="258"/>
        </w:trPr>
        <w:tc>
          <w:tcPr>
            <w:tcW w:w="1225" w:type="dxa"/>
            <w:tcBorders>
              <w:top w:val="nil"/>
              <w:left w:val="nil"/>
              <w:bottom w:val="nil"/>
              <w:right w:val="nil"/>
            </w:tcBorders>
            <w:shd w:val="clear" w:color="auto" w:fill="auto"/>
            <w:noWrap/>
            <w:vAlign w:val="center"/>
            <w:hideMark/>
          </w:tcPr>
          <w:p w14:paraId="604B8EC6" w14:textId="77777777" w:rsidR="00345170" w:rsidRPr="005D40AD" w:rsidRDefault="00345170" w:rsidP="00643B7B">
            <w:pPr>
              <w:spacing w:after="0"/>
              <w:jc w:val="right"/>
              <w:rPr>
                <w:rFonts w:eastAsia="Times New Roman" w:cs="Times New Roman"/>
                <w:b/>
                <w:bCs/>
                <w:color w:val="000000"/>
                <w:sz w:val="20"/>
                <w:szCs w:val="20"/>
              </w:rPr>
            </w:pPr>
          </w:p>
        </w:tc>
        <w:tc>
          <w:tcPr>
            <w:tcW w:w="8252" w:type="dxa"/>
            <w:tcBorders>
              <w:top w:val="nil"/>
              <w:left w:val="nil"/>
              <w:bottom w:val="nil"/>
              <w:right w:val="nil"/>
            </w:tcBorders>
            <w:shd w:val="clear" w:color="auto" w:fill="auto"/>
            <w:noWrap/>
            <w:vAlign w:val="center"/>
            <w:hideMark/>
          </w:tcPr>
          <w:p w14:paraId="4DB12F7A" w14:textId="77777777" w:rsidR="00345170" w:rsidRPr="005D40AD" w:rsidRDefault="00345170" w:rsidP="00643B7B">
            <w:pPr>
              <w:spacing w:after="0"/>
              <w:ind w:firstLineChars="100" w:firstLine="200"/>
              <w:jc w:val="left"/>
              <w:rPr>
                <w:rFonts w:eastAsia="Times New Roman" w:cs="Times New Roman"/>
                <w:color w:val="000000"/>
                <w:sz w:val="20"/>
                <w:szCs w:val="20"/>
              </w:rPr>
            </w:pPr>
            <w:r w:rsidRPr="005D40AD">
              <w:rPr>
                <w:rFonts w:eastAsia="Times New Roman" w:cs="Times New Roman"/>
                <w:color w:val="000000"/>
                <w:sz w:val="20"/>
                <w:szCs w:val="20"/>
              </w:rPr>
              <w:t>от тях:</w:t>
            </w:r>
          </w:p>
        </w:tc>
        <w:tc>
          <w:tcPr>
            <w:tcW w:w="1777" w:type="dxa"/>
            <w:tcBorders>
              <w:top w:val="nil"/>
              <w:left w:val="nil"/>
              <w:bottom w:val="nil"/>
              <w:right w:val="nil"/>
            </w:tcBorders>
            <w:shd w:val="clear" w:color="auto" w:fill="auto"/>
            <w:noWrap/>
            <w:vAlign w:val="bottom"/>
            <w:hideMark/>
          </w:tcPr>
          <w:p w14:paraId="21773B3B" w14:textId="77777777" w:rsidR="00345170" w:rsidRPr="005D40AD" w:rsidRDefault="00345170" w:rsidP="00643B7B">
            <w:pPr>
              <w:spacing w:after="0"/>
              <w:ind w:firstLineChars="100" w:firstLine="200"/>
              <w:jc w:val="left"/>
              <w:rPr>
                <w:rFonts w:eastAsia="Times New Roman" w:cs="Times New Roman"/>
                <w:color w:val="000000"/>
                <w:sz w:val="20"/>
                <w:szCs w:val="20"/>
              </w:rPr>
            </w:pPr>
          </w:p>
        </w:tc>
        <w:tc>
          <w:tcPr>
            <w:tcW w:w="1732" w:type="dxa"/>
            <w:tcBorders>
              <w:top w:val="nil"/>
              <w:left w:val="nil"/>
              <w:bottom w:val="nil"/>
              <w:right w:val="nil"/>
            </w:tcBorders>
            <w:shd w:val="clear" w:color="auto" w:fill="auto"/>
            <w:noWrap/>
            <w:vAlign w:val="bottom"/>
            <w:hideMark/>
          </w:tcPr>
          <w:p w14:paraId="76280D17" w14:textId="77777777" w:rsidR="00345170" w:rsidRPr="005D40AD" w:rsidRDefault="00345170" w:rsidP="00643B7B">
            <w:pPr>
              <w:spacing w:after="0"/>
              <w:jc w:val="left"/>
              <w:rPr>
                <w:rFonts w:eastAsia="Times New Roman" w:cs="Times New Roman"/>
                <w:sz w:val="20"/>
                <w:szCs w:val="20"/>
              </w:rPr>
            </w:pPr>
          </w:p>
        </w:tc>
        <w:tc>
          <w:tcPr>
            <w:tcW w:w="1954" w:type="dxa"/>
            <w:tcBorders>
              <w:top w:val="nil"/>
              <w:left w:val="nil"/>
              <w:bottom w:val="nil"/>
              <w:right w:val="nil"/>
            </w:tcBorders>
            <w:shd w:val="clear" w:color="auto" w:fill="auto"/>
            <w:noWrap/>
            <w:vAlign w:val="bottom"/>
            <w:hideMark/>
          </w:tcPr>
          <w:p w14:paraId="798B1035" w14:textId="77777777" w:rsidR="00345170" w:rsidRPr="005D40AD" w:rsidRDefault="00345170" w:rsidP="00643B7B">
            <w:pPr>
              <w:spacing w:after="0"/>
              <w:jc w:val="left"/>
              <w:rPr>
                <w:rFonts w:eastAsia="Times New Roman" w:cs="Times New Roman"/>
                <w:sz w:val="20"/>
                <w:szCs w:val="20"/>
              </w:rPr>
            </w:pPr>
          </w:p>
        </w:tc>
      </w:tr>
      <w:tr w:rsidR="00345170" w:rsidRPr="005D40AD" w14:paraId="2C82176C" w14:textId="77777777" w:rsidTr="00E71766">
        <w:trPr>
          <w:trHeight w:val="538"/>
        </w:trPr>
        <w:tc>
          <w:tcPr>
            <w:tcW w:w="1225" w:type="dxa"/>
            <w:tcBorders>
              <w:top w:val="nil"/>
              <w:left w:val="nil"/>
              <w:bottom w:val="nil"/>
              <w:right w:val="nil"/>
            </w:tcBorders>
            <w:shd w:val="clear" w:color="auto" w:fill="auto"/>
            <w:noWrap/>
            <w:vAlign w:val="center"/>
            <w:hideMark/>
          </w:tcPr>
          <w:p w14:paraId="139418E1" w14:textId="77777777" w:rsidR="00345170" w:rsidRPr="005D40AD" w:rsidRDefault="00345170" w:rsidP="00643B7B">
            <w:pPr>
              <w:spacing w:after="0"/>
              <w:jc w:val="center"/>
              <w:rPr>
                <w:rFonts w:eastAsia="Times New Roman" w:cs="Times New Roman"/>
                <w:color w:val="000000"/>
                <w:sz w:val="20"/>
                <w:szCs w:val="20"/>
              </w:rPr>
            </w:pPr>
            <w:r w:rsidRPr="005D40AD">
              <w:rPr>
                <w:rFonts w:eastAsia="Times New Roman" w:cs="Times New Roman"/>
                <w:color w:val="000000"/>
                <w:sz w:val="20"/>
                <w:szCs w:val="20"/>
              </w:rPr>
              <w:t>1</w:t>
            </w:r>
          </w:p>
        </w:tc>
        <w:tc>
          <w:tcPr>
            <w:tcW w:w="8252" w:type="dxa"/>
            <w:tcBorders>
              <w:top w:val="nil"/>
              <w:left w:val="nil"/>
              <w:bottom w:val="nil"/>
              <w:right w:val="nil"/>
            </w:tcBorders>
            <w:shd w:val="clear" w:color="auto" w:fill="auto"/>
            <w:vAlign w:val="center"/>
            <w:hideMark/>
          </w:tcPr>
          <w:p w14:paraId="338B2709" w14:textId="77777777" w:rsidR="00345170" w:rsidRPr="005D40AD" w:rsidRDefault="00345170" w:rsidP="00643B7B">
            <w:pPr>
              <w:spacing w:after="0"/>
              <w:ind w:firstLineChars="100" w:firstLine="200"/>
              <w:jc w:val="left"/>
              <w:rPr>
                <w:rFonts w:eastAsia="Times New Roman" w:cs="Times New Roman"/>
                <w:color w:val="000000"/>
                <w:sz w:val="20"/>
                <w:szCs w:val="20"/>
              </w:rPr>
            </w:pPr>
            <w:r w:rsidRPr="005D40AD">
              <w:rPr>
                <w:rFonts w:eastAsia="Times New Roman" w:cs="Times New Roman"/>
                <w:color w:val="000000"/>
                <w:sz w:val="20"/>
                <w:szCs w:val="20"/>
              </w:rPr>
              <w:t>Обща субсидия за делегираните от държавата дейности</w:t>
            </w:r>
          </w:p>
        </w:tc>
        <w:tc>
          <w:tcPr>
            <w:tcW w:w="1777" w:type="dxa"/>
            <w:tcBorders>
              <w:top w:val="nil"/>
              <w:left w:val="nil"/>
              <w:bottom w:val="nil"/>
              <w:right w:val="nil"/>
            </w:tcBorders>
            <w:shd w:val="clear" w:color="auto" w:fill="auto"/>
            <w:noWrap/>
            <w:vAlign w:val="center"/>
            <w:hideMark/>
          </w:tcPr>
          <w:p w14:paraId="7C65600E"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4 497 966,5</w:t>
            </w:r>
          </w:p>
        </w:tc>
        <w:tc>
          <w:tcPr>
            <w:tcW w:w="1732" w:type="dxa"/>
            <w:tcBorders>
              <w:top w:val="nil"/>
              <w:left w:val="nil"/>
              <w:bottom w:val="nil"/>
              <w:right w:val="nil"/>
            </w:tcBorders>
            <w:shd w:val="clear" w:color="auto" w:fill="auto"/>
            <w:noWrap/>
            <w:vAlign w:val="center"/>
            <w:hideMark/>
          </w:tcPr>
          <w:p w14:paraId="5822E67B"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4 519 293,6</w:t>
            </w:r>
          </w:p>
        </w:tc>
        <w:tc>
          <w:tcPr>
            <w:tcW w:w="1954" w:type="dxa"/>
            <w:tcBorders>
              <w:top w:val="nil"/>
              <w:left w:val="nil"/>
              <w:bottom w:val="nil"/>
              <w:right w:val="nil"/>
            </w:tcBorders>
            <w:shd w:val="clear" w:color="auto" w:fill="auto"/>
            <w:noWrap/>
            <w:vAlign w:val="center"/>
            <w:hideMark/>
          </w:tcPr>
          <w:p w14:paraId="4DF0DE04"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4 559 571,4</w:t>
            </w:r>
          </w:p>
        </w:tc>
      </w:tr>
      <w:tr w:rsidR="00345170" w:rsidRPr="005D40AD" w14:paraId="1C04ACC9" w14:textId="77777777" w:rsidTr="00E71766">
        <w:trPr>
          <w:trHeight w:val="258"/>
        </w:trPr>
        <w:tc>
          <w:tcPr>
            <w:tcW w:w="1225" w:type="dxa"/>
            <w:tcBorders>
              <w:top w:val="nil"/>
              <w:left w:val="nil"/>
              <w:bottom w:val="nil"/>
              <w:right w:val="nil"/>
            </w:tcBorders>
            <w:shd w:val="clear" w:color="auto" w:fill="auto"/>
            <w:noWrap/>
            <w:vAlign w:val="center"/>
            <w:hideMark/>
          </w:tcPr>
          <w:p w14:paraId="15C94727" w14:textId="77777777" w:rsidR="00345170" w:rsidRPr="005D40AD" w:rsidRDefault="00345170" w:rsidP="00643B7B">
            <w:pPr>
              <w:spacing w:after="0"/>
              <w:jc w:val="center"/>
              <w:rPr>
                <w:rFonts w:eastAsia="Times New Roman" w:cs="Times New Roman"/>
                <w:color w:val="000000"/>
                <w:sz w:val="20"/>
                <w:szCs w:val="20"/>
              </w:rPr>
            </w:pPr>
            <w:r w:rsidRPr="005D40AD">
              <w:rPr>
                <w:rFonts w:eastAsia="Times New Roman" w:cs="Times New Roman"/>
                <w:color w:val="000000"/>
                <w:sz w:val="20"/>
                <w:szCs w:val="20"/>
              </w:rPr>
              <w:t>2</w:t>
            </w:r>
          </w:p>
        </w:tc>
        <w:tc>
          <w:tcPr>
            <w:tcW w:w="8252" w:type="dxa"/>
            <w:tcBorders>
              <w:top w:val="nil"/>
              <w:left w:val="nil"/>
              <w:bottom w:val="nil"/>
              <w:right w:val="nil"/>
            </w:tcBorders>
            <w:shd w:val="clear" w:color="auto" w:fill="auto"/>
            <w:noWrap/>
            <w:vAlign w:val="center"/>
            <w:hideMark/>
          </w:tcPr>
          <w:p w14:paraId="65BB707E" w14:textId="77777777" w:rsidR="00345170" w:rsidRPr="005D40AD" w:rsidRDefault="00345170" w:rsidP="00643B7B">
            <w:pPr>
              <w:spacing w:after="0"/>
              <w:ind w:firstLineChars="100" w:firstLine="200"/>
              <w:jc w:val="left"/>
              <w:rPr>
                <w:rFonts w:eastAsia="Times New Roman" w:cs="Times New Roman"/>
                <w:color w:val="000000"/>
                <w:sz w:val="20"/>
                <w:szCs w:val="20"/>
              </w:rPr>
            </w:pPr>
            <w:r w:rsidRPr="005D40AD">
              <w:rPr>
                <w:rFonts w:eastAsia="Times New Roman" w:cs="Times New Roman"/>
                <w:color w:val="000000"/>
                <w:sz w:val="20"/>
                <w:szCs w:val="20"/>
              </w:rPr>
              <w:t>Трансфери за местни дейности</w:t>
            </w:r>
          </w:p>
        </w:tc>
        <w:tc>
          <w:tcPr>
            <w:tcW w:w="1777" w:type="dxa"/>
            <w:tcBorders>
              <w:top w:val="nil"/>
              <w:left w:val="nil"/>
              <w:bottom w:val="nil"/>
              <w:right w:val="nil"/>
            </w:tcBorders>
            <w:shd w:val="clear" w:color="auto" w:fill="auto"/>
            <w:noWrap/>
            <w:vAlign w:val="center"/>
            <w:hideMark/>
          </w:tcPr>
          <w:p w14:paraId="62D77CFE"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282 658,0</w:t>
            </w:r>
          </w:p>
        </w:tc>
        <w:tc>
          <w:tcPr>
            <w:tcW w:w="1732" w:type="dxa"/>
            <w:tcBorders>
              <w:top w:val="nil"/>
              <w:left w:val="nil"/>
              <w:bottom w:val="nil"/>
              <w:right w:val="nil"/>
            </w:tcBorders>
            <w:shd w:val="clear" w:color="auto" w:fill="auto"/>
            <w:noWrap/>
            <w:vAlign w:val="center"/>
            <w:hideMark/>
          </w:tcPr>
          <w:p w14:paraId="7FE319B3"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282 658,0</w:t>
            </w:r>
          </w:p>
        </w:tc>
        <w:tc>
          <w:tcPr>
            <w:tcW w:w="1954" w:type="dxa"/>
            <w:tcBorders>
              <w:top w:val="nil"/>
              <w:left w:val="nil"/>
              <w:bottom w:val="nil"/>
              <w:right w:val="nil"/>
            </w:tcBorders>
            <w:shd w:val="clear" w:color="auto" w:fill="auto"/>
            <w:noWrap/>
            <w:vAlign w:val="center"/>
            <w:hideMark/>
          </w:tcPr>
          <w:p w14:paraId="465DEAC7"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282 658,0</w:t>
            </w:r>
          </w:p>
        </w:tc>
      </w:tr>
      <w:tr w:rsidR="00345170" w:rsidRPr="005D40AD" w14:paraId="214A36CF" w14:textId="77777777" w:rsidTr="00E71766">
        <w:trPr>
          <w:trHeight w:val="258"/>
        </w:trPr>
        <w:tc>
          <w:tcPr>
            <w:tcW w:w="1225" w:type="dxa"/>
            <w:tcBorders>
              <w:top w:val="nil"/>
              <w:left w:val="nil"/>
              <w:bottom w:val="nil"/>
              <w:right w:val="nil"/>
            </w:tcBorders>
            <w:shd w:val="clear" w:color="auto" w:fill="auto"/>
            <w:noWrap/>
            <w:hideMark/>
          </w:tcPr>
          <w:p w14:paraId="7A656259" w14:textId="77777777" w:rsidR="00345170" w:rsidRPr="005D40AD" w:rsidRDefault="00345170" w:rsidP="00643B7B">
            <w:pPr>
              <w:spacing w:after="0"/>
              <w:jc w:val="right"/>
              <w:rPr>
                <w:rFonts w:eastAsia="Times New Roman" w:cs="Times New Roman"/>
                <w:color w:val="000000"/>
                <w:sz w:val="20"/>
                <w:szCs w:val="20"/>
              </w:rPr>
            </w:pPr>
          </w:p>
        </w:tc>
        <w:tc>
          <w:tcPr>
            <w:tcW w:w="8252" w:type="dxa"/>
            <w:tcBorders>
              <w:top w:val="nil"/>
              <w:left w:val="nil"/>
              <w:bottom w:val="nil"/>
              <w:right w:val="nil"/>
            </w:tcBorders>
            <w:shd w:val="clear" w:color="auto" w:fill="auto"/>
            <w:noWrap/>
            <w:vAlign w:val="center"/>
            <w:hideMark/>
          </w:tcPr>
          <w:p w14:paraId="1E7AED8A" w14:textId="77777777" w:rsidR="00345170" w:rsidRPr="005D40AD" w:rsidRDefault="00345170" w:rsidP="00643B7B">
            <w:pPr>
              <w:spacing w:after="0"/>
              <w:ind w:firstLineChars="200" w:firstLine="400"/>
              <w:jc w:val="left"/>
              <w:rPr>
                <w:rFonts w:eastAsia="Times New Roman" w:cs="Times New Roman"/>
                <w:color w:val="000000"/>
                <w:sz w:val="20"/>
                <w:szCs w:val="20"/>
              </w:rPr>
            </w:pPr>
            <w:r w:rsidRPr="005D40AD">
              <w:rPr>
                <w:rFonts w:eastAsia="Times New Roman" w:cs="Times New Roman"/>
                <w:color w:val="000000"/>
                <w:sz w:val="20"/>
                <w:szCs w:val="20"/>
              </w:rPr>
              <w:t>от тях:</w:t>
            </w:r>
          </w:p>
        </w:tc>
        <w:tc>
          <w:tcPr>
            <w:tcW w:w="1777" w:type="dxa"/>
            <w:tcBorders>
              <w:top w:val="nil"/>
              <w:left w:val="nil"/>
              <w:bottom w:val="nil"/>
              <w:right w:val="nil"/>
            </w:tcBorders>
            <w:shd w:val="clear" w:color="auto" w:fill="auto"/>
            <w:noWrap/>
            <w:vAlign w:val="bottom"/>
            <w:hideMark/>
          </w:tcPr>
          <w:p w14:paraId="6CF78EB0" w14:textId="77777777" w:rsidR="00345170" w:rsidRPr="005D40AD" w:rsidRDefault="00345170" w:rsidP="00643B7B">
            <w:pPr>
              <w:spacing w:after="0"/>
              <w:ind w:firstLineChars="200" w:firstLine="400"/>
              <w:jc w:val="left"/>
              <w:rPr>
                <w:rFonts w:eastAsia="Times New Roman" w:cs="Times New Roman"/>
                <w:color w:val="000000"/>
                <w:sz w:val="20"/>
                <w:szCs w:val="20"/>
              </w:rPr>
            </w:pPr>
          </w:p>
        </w:tc>
        <w:tc>
          <w:tcPr>
            <w:tcW w:w="1732" w:type="dxa"/>
            <w:tcBorders>
              <w:top w:val="nil"/>
              <w:left w:val="nil"/>
              <w:bottom w:val="nil"/>
              <w:right w:val="nil"/>
            </w:tcBorders>
            <w:shd w:val="clear" w:color="auto" w:fill="auto"/>
            <w:noWrap/>
            <w:vAlign w:val="bottom"/>
            <w:hideMark/>
          </w:tcPr>
          <w:p w14:paraId="7029E1AF" w14:textId="77777777" w:rsidR="00345170" w:rsidRPr="005D40AD" w:rsidRDefault="00345170" w:rsidP="00643B7B">
            <w:pPr>
              <w:spacing w:after="0"/>
              <w:jc w:val="left"/>
              <w:rPr>
                <w:rFonts w:eastAsia="Times New Roman" w:cs="Times New Roman"/>
                <w:sz w:val="20"/>
                <w:szCs w:val="20"/>
              </w:rPr>
            </w:pPr>
          </w:p>
        </w:tc>
        <w:tc>
          <w:tcPr>
            <w:tcW w:w="1954" w:type="dxa"/>
            <w:tcBorders>
              <w:top w:val="nil"/>
              <w:left w:val="nil"/>
              <w:bottom w:val="nil"/>
              <w:right w:val="nil"/>
            </w:tcBorders>
            <w:shd w:val="clear" w:color="auto" w:fill="auto"/>
            <w:noWrap/>
            <w:vAlign w:val="bottom"/>
            <w:hideMark/>
          </w:tcPr>
          <w:p w14:paraId="11C3D835" w14:textId="77777777" w:rsidR="00345170" w:rsidRPr="005D40AD" w:rsidRDefault="00345170" w:rsidP="00643B7B">
            <w:pPr>
              <w:spacing w:after="0"/>
              <w:jc w:val="left"/>
              <w:rPr>
                <w:rFonts w:eastAsia="Times New Roman" w:cs="Times New Roman"/>
                <w:sz w:val="20"/>
                <w:szCs w:val="20"/>
              </w:rPr>
            </w:pPr>
          </w:p>
        </w:tc>
      </w:tr>
      <w:tr w:rsidR="00345170" w:rsidRPr="005D40AD" w14:paraId="64C3FC42" w14:textId="77777777" w:rsidTr="00E71766">
        <w:trPr>
          <w:trHeight w:val="258"/>
        </w:trPr>
        <w:tc>
          <w:tcPr>
            <w:tcW w:w="1225" w:type="dxa"/>
            <w:tcBorders>
              <w:top w:val="nil"/>
              <w:left w:val="nil"/>
              <w:bottom w:val="nil"/>
              <w:right w:val="nil"/>
            </w:tcBorders>
            <w:shd w:val="clear" w:color="auto" w:fill="auto"/>
            <w:noWrap/>
            <w:vAlign w:val="center"/>
            <w:hideMark/>
          </w:tcPr>
          <w:p w14:paraId="3725569A" w14:textId="77777777" w:rsidR="00345170" w:rsidRPr="005D40AD" w:rsidRDefault="00345170" w:rsidP="00643B7B">
            <w:pPr>
              <w:spacing w:after="0"/>
              <w:jc w:val="center"/>
              <w:rPr>
                <w:rFonts w:eastAsia="Times New Roman" w:cs="Times New Roman"/>
                <w:color w:val="000000"/>
                <w:sz w:val="20"/>
                <w:szCs w:val="20"/>
              </w:rPr>
            </w:pPr>
            <w:r w:rsidRPr="005D40AD">
              <w:rPr>
                <w:rFonts w:eastAsia="Times New Roman" w:cs="Times New Roman"/>
                <w:color w:val="000000"/>
                <w:sz w:val="20"/>
                <w:szCs w:val="20"/>
              </w:rPr>
              <w:t>2.1.</w:t>
            </w:r>
          </w:p>
        </w:tc>
        <w:tc>
          <w:tcPr>
            <w:tcW w:w="8252" w:type="dxa"/>
            <w:tcBorders>
              <w:top w:val="nil"/>
              <w:left w:val="nil"/>
              <w:bottom w:val="nil"/>
              <w:right w:val="nil"/>
            </w:tcBorders>
            <w:shd w:val="clear" w:color="auto" w:fill="auto"/>
            <w:noWrap/>
            <w:vAlign w:val="center"/>
            <w:hideMark/>
          </w:tcPr>
          <w:p w14:paraId="2E781CA6" w14:textId="77777777" w:rsidR="00345170" w:rsidRPr="005D40AD" w:rsidRDefault="00345170" w:rsidP="00643B7B">
            <w:pPr>
              <w:spacing w:after="0"/>
              <w:ind w:firstLineChars="200" w:firstLine="400"/>
              <w:jc w:val="left"/>
              <w:rPr>
                <w:rFonts w:eastAsia="Times New Roman" w:cs="Times New Roman"/>
                <w:color w:val="000000"/>
                <w:sz w:val="20"/>
                <w:szCs w:val="20"/>
              </w:rPr>
            </w:pPr>
            <w:r w:rsidRPr="005D40AD">
              <w:rPr>
                <w:rFonts w:eastAsia="Times New Roman" w:cs="Times New Roman"/>
                <w:color w:val="000000"/>
                <w:sz w:val="20"/>
                <w:szCs w:val="20"/>
              </w:rPr>
              <w:t>Обща изравнителна субсидия</w:t>
            </w:r>
          </w:p>
        </w:tc>
        <w:tc>
          <w:tcPr>
            <w:tcW w:w="1777" w:type="dxa"/>
            <w:tcBorders>
              <w:top w:val="nil"/>
              <w:left w:val="nil"/>
              <w:bottom w:val="nil"/>
              <w:right w:val="nil"/>
            </w:tcBorders>
            <w:shd w:val="clear" w:color="auto" w:fill="auto"/>
            <w:noWrap/>
            <w:vAlign w:val="center"/>
            <w:hideMark/>
          </w:tcPr>
          <w:p w14:paraId="50EFE9D1"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255 658,0</w:t>
            </w:r>
          </w:p>
        </w:tc>
        <w:tc>
          <w:tcPr>
            <w:tcW w:w="1732" w:type="dxa"/>
            <w:tcBorders>
              <w:top w:val="nil"/>
              <w:left w:val="nil"/>
              <w:bottom w:val="nil"/>
              <w:right w:val="nil"/>
            </w:tcBorders>
            <w:shd w:val="clear" w:color="auto" w:fill="auto"/>
            <w:noWrap/>
            <w:vAlign w:val="center"/>
            <w:hideMark/>
          </w:tcPr>
          <w:p w14:paraId="1EE9C4C7"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255 658,0</w:t>
            </w:r>
          </w:p>
        </w:tc>
        <w:tc>
          <w:tcPr>
            <w:tcW w:w="1954" w:type="dxa"/>
            <w:tcBorders>
              <w:top w:val="nil"/>
              <w:left w:val="nil"/>
              <w:bottom w:val="nil"/>
              <w:right w:val="nil"/>
            </w:tcBorders>
            <w:shd w:val="clear" w:color="auto" w:fill="auto"/>
            <w:noWrap/>
            <w:vAlign w:val="center"/>
            <w:hideMark/>
          </w:tcPr>
          <w:p w14:paraId="092ED592"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255 658,0</w:t>
            </w:r>
          </w:p>
        </w:tc>
      </w:tr>
      <w:tr w:rsidR="00345170" w:rsidRPr="005D40AD" w14:paraId="3D50D00A" w14:textId="77777777" w:rsidTr="00E71766">
        <w:trPr>
          <w:trHeight w:val="412"/>
        </w:trPr>
        <w:tc>
          <w:tcPr>
            <w:tcW w:w="1225" w:type="dxa"/>
            <w:tcBorders>
              <w:top w:val="nil"/>
              <w:left w:val="nil"/>
              <w:bottom w:val="nil"/>
              <w:right w:val="nil"/>
            </w:tcBorders>
            <w:shd w:val="clear" w:color="auto" w:fill="auto"/>
            <w:noWrap/>
            <w:vAlign w:val="center"/>
            <w:hideMark/>
          </w:tcPr>
          <w:p w14:paraId="4DB14EFC" w14:textId="77777777" w:rsidR="00345170" w:rsidRPr="005D40AD" w:rsidRDefault="00345170" w:rsidP="00643B7B">
            <w:pPr>
              <w:spacing w:after="0"/>
              <w:jc w:val="center"/>
              <w:rPr>
                <w:rFonts w:eastAsia="Times New Roman" w:cs="Times New Roman"/>
                <w:color w:val="000000"/>
                <w:sz w:val="20"/>
                <w:szCs w:val="20"/>
              </w:rPr>
            </w:pPr>
            <w:r w:rsidRPr="005D40AD">
              <w:rPr>
                <w:rFonts w:eastAsia="Times New Roman" w:cs="Times New Roman"/>
                <w:color w:val="000000"/>
                <w:sz w:val="20"/>
                <w:szCs w:val="20"/>
              </w:rPr>
              <w:t>2.2.</w:t>
            </w:r>
          </w:p>
        </w:tc>
        <w:tc>
          <w:tcPr>
            <w:tcW w:w="8252" w:type="dxa"/>
            <w:tcBorders>
              <w:top w:val="nil"/>
              <w:left w:val="nil"/>
              <w:bottom w:val="nil"/>
              <w:right w:val="nil"/>
            </w:tcBorders>
            <w:shd w:val="clear" w:color="auto" w:fill="auto"/>
            <w:vAlign w:val="center"/>
            <w:hideMark/>
          </w:tcPr>
          <w:p w14:paraId="262FFFAD" w14:textId="77777777" w:rsidR="00345170" w:rsidRPr="005D40AD" w:rsidRDefault="00345170" w:rsidP="00643B7B">
            <w:pPr>
              <w:spacing w:after="0"/>
              <w:ind w:firstLineChars="200" w:firstLine="400"/>
              <w:jc w:val="left"/>
              <w:rPr>
                <w:rFonts w:eastAsia="Times New Roman" w:cs="Times New Roman"/>
                <w:color w:val="000000"/>
                <w:sz w:val="20"/>
                <w:szCs w:val="20"/>
              </w:rPr>
            </w:pPr>
            <w:r w:rsidRPr="005D40AD">
              <w:rPr>
                <w:rFonts w:eastAsia="Times New Roman" w:cs="Times New Roman"/>
                <w:color w:val="000000"/>
                <w:sz w:val="20"/>
                <w:szCs w:val="20"/>
              </w:rPr>
              <w:t>За зимно поддържане и снегопочистване на общински пътища</w:t>
            </w:r>
          </w:p>
        </w:tc>
        <w:tc>
          <w:tcPr>
            <w:tcW w:w="1777" w:type="dxa"/>
            <w:tcBorders>
              <w:top w:val="nil"/>
              <w:left w:val="nil"/>
              <w:bottom w:val="nil"/>
              <w:right w:val="nil"/>
            </w:tcBorders>
            <w:shd w:val="clear" w:color="auto" w:fill="auto"/>
            <w:noWrap/>
            <w:vAlign w:val="center"/>
            <w:hideMark/>
          </w:tcPr>
          <w:p w14:paraId="1A70596E"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27 000,0</w:t>
            </w:r>
          </w:p>
        </w:tc>
        <w:tc>
          <w:tcPr>
            <w:tcW w:w="1732" w:type="dxa"/>
            <w:tcBorders>
              <w:top w:val="nil"/>
              <w:left w:val="nil"/>
              <w:bottom w:val="nil"/>
              <w:right w:val="nil"/>
            </w:tcBorders>
            <w:shd w:val="clear" w:color="auto" w:fill="auto"/>
            <w:noWrap/>
            <w:vAlign w:val="center"/>
            <w:hideMark/>
          </w:tcPr>
          <w:p w14:paraId="632392AC"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27 000,0</w:t>
            </w:r>
          </w:p>
        </w:tc>
        <w:tc>
          <w:tcPr>
            <w:tcW w:w="1954" w:type="dxa"/>
            <w:tcBorders>
              <w:top w:val="nil"/>
              <w:left w:val="nil"/>
              <w:bottom w:val="nil"/>
              <w:right w:val="nil"/>
            </w:tcBorders>
            <w:shd w:val="clear" w:color="auto" w:fill="auto"/>
            <w:noWrap/>
            <w:vAlign w:val="center"/>
            <w:hideMark/>
          </w:tcPr>
          <w:p w14:paraId="66BEB5C9"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27 000,0</w:t>
            </w:r>
          </w:p>
        </w:tc>
      </w:tr>
      <w:tr w:rsidR="00345170" w:rsidRPr="005D40AD" w14:paraId="6F021C72" w14:textId="77777777" w:rsidTr="00E71766">
        <w:trPr>
          <w:trHeight w:val="258"/>
        </w:trPr>
        <w:tc>
          <w:tcPr>
            <w:tcW w:w="1225" w:type="dxa"/>
            <w:tcBorders>
              <w:top w:val="nil"/>
              <w:left w:val="nil"/>
              <w:bottom w:val="nil"/>
              <w:right w:val="nil"/>
            </w:tcBorders>
            <w:shd w:val="clear" w:color="auto" w:fill="auto"/>
            <w:noWrap/>
            <w:vAlign w:val="center"/>
            <w:hideMark/>
          </w:tcPr>
          <w:p w14:paraId="6049D850" w14:textId="77777777" w:rsidR="00345170" w:rsidRPr="005D40AD" w:rsidRDefault="00345170" w:rsidP="00643B7B">
            <w:pPr>
              <w:spacing w:after="0"/>
              <w:jc w:val="center"/>
              <w:rPr>
                <w:rFonts w:eastAsia="Times New Roman" w:cs="Times New Roman"/>
                <w:color w:val="000000"/>
                <w:sz w:val="20"/>
                <w:szCs w:val="20"/>
              </w:rPr>
            </w:pPr>
            <w:r w:rsidRPr="005D40AD">
              <w:rPr>
                <w:rFonts w:eastAsia="Times New Roman" w:cs="Times New Roman"/>
                <w:color w:val="000000"/>
                <w:sz w:val="20"/>
                <w:szCs w:val="20"/>
              </w:rPr>
              <w:t>3</w:t>
            </w:r>
          </w:p>
        </w:tc>
        <w:tc>
          <w:tcPr>
            <w:tcW w:w="8252" w:type="dxa"/>
            <w:tcBorders>
              <w:top w:val="nil"/>
              <w:left w:val="nil"/>
              <w:bottom w:val="nil"/>
              <w:right w:val="nil"/>
            </w:tcBorders>
            <w:shd w:val="clear" w:color="auto" w:fill="auto"/>
            <w:noWrap/>
            <w:vAlign w:val="center"/>
            <w:hideMark/>
          </w:tcPr>
          <w:p w14:paraId="0BFC563F" w14:textId="77777777" w:rsidR="00345170" w:rsidRPr="005D40AD" w:rsidRDefault="00345170" w:rsidP="00643B7B">
            <w:pPr>
              <w:spacing w:after="0"/>
              <w:ind w:firstLineChars="100" w:firstLine="200"/>
              <w:jc w:val="left"/>
              <w:rPr>
                <w:rFonts w:eastAsia="Times New Roman" w:cs="Times New Roman"/>
                <w:color w:val="000000"/>
                <w:sz w:val="20"/>
                <w:szCs w:val="20"/>
              </w:rPr>
            </w:pPr>
            <w:r w:rsidRPr="005D40AD">
              <w:rPr>
                <w:rFonts w:eastAsia="Times New Roman" w:cs="Times New Roman"/>
                <w:color w:val="000000"/>
                <w:sz w:val="20"/>
                <w:szCs w:val="20"/>
              </w:rPr>
              <w:t>Целева субсидия за капиталови разходи</w:t>
            </w:r>
          </w:p>
        </w:tc>
        <w:tc>
          <w:tcPr>
            <w:tcW w:w="1777" w:type="dxa"/>
            <w:tcBorders>
              <w:top w:val="nil"/>
              <w:left w:val="nil"/>
              <w:bottom w:val="nil"/>
              <w:right w:val="nil"/>
            </w:tcBorders>
            <w:shd w:val="clear" w:color="auto" w:fill="auto"/>
            <w:noWrap/>
            <w:vAlign w:val="center"/>
            <w:hideMark/>
          </w:tcPr>
          <w:p w14:paraId="6A8578EA"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255 000,0</w:t>
            </w:r>
          </w:p>
        </w:tc>
        <w:tc>
          <w:tcPr>
            <w:tcW w:w="1732" w:type="dxa"/>
            <w:tcBorders>
              <w:top w:val="nil"/>
              <w:left w:val="nil"/>
              <w:bottom w:val="nil"/>
              <w:right w:val="nil"/>
            </w:tcBorders>
            <w:shd w:val="clear" w:color="auto" w:fill="auto"/>
            <w:noWrap/>
            <w:vAlign w:val="center"/>
            <w:hideMark/>
          </w:tcPr>
          <w:p w14:paraId="1D7C9488"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255 000,0</w:t>
            </w:r>
          </w:p>
        </w:tc>
        <w:tc>
          <w:tcPr>
            <w:tcW w:w="1954" w:type="dxa"/>
            <w:tcBorders>
              <w:top w:val="nil"/>
              <w:left w:val="nil"/>
              <w:bottom w:val="nil"/>
              <w:right w:val="nil"/>
            </w:tcBorders>
            <w:shd w:val="clear" w:color="auto" w:fill="auto"/>
            <w:noWrap/>
            <w:vAlign w:val="center"/>
            <w:hideMark/>
          </w:tcPr>
          <w:p w14:paraId="4F5AF1FB"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255 000,0</w:t>
            </w:r>
          </w:p>
        </w:tc>
      </w:tr>
      <w:tr w:rsidR="00345170" w:rsidRPr="005D40AD" w14:paraId="41D4FF2F" w14:textId="77777777" w:rsidTr="00E71766">
        <w:trPr>
          <w:trHeight w:val="258"/>
        </w:trPr>
        <w:tc>
          <w:tcPr>
            <w:tcW w:w="1225" w:type="dxa"/>
            <w:tcBorders>
              <w:top w:val="nil"/>
              <w:left w:val="nil"/>
              <w:bottom w:val="nil"/>
              <w:right w:val="nil"/>
            </w:tcBorders>
            <w:shd w:val="clear" w:color="auto" w:fill="auto"/>
            <w:noWrap/>
            <w:hideMark/>
          </w:tcPr>
          <w:p w14:paraId="3F0A41B1" w14:textId="77777777" w:rsidR="00345170" w:rsidRPr="005D40AD" w:rsidRDefault="00345170" w:rsidP="00643B7B">
            <w:pPr>
              <w:spacing w:after="0"/>
              <w:jc w:val="right"/>
              <w:rPr>
                <w:rFonts w:eastAsia="Times New Roman" w:cs="Times New Roman"/>
                <w:color w:val="000000"/>
                <w:sz w:val="20"/>
                <w:szCs w:val="20"/>
              </w:rPr>
            </w:pPr>
          </w:p>
        </w:tc>
        <w:tc>
          <w:tcPr>
            <w:tcW w:w="8252" w:type="dxa"/>
            <w:tcBorders>
              <w:top w:val="nil"/>
              <w:left w:val="nil"/>
              <w:bottom w:val="nil"/>
              <w:right w:val="nil"/>
            </w:tcBorders>
            <w:shd w:val="clear" w:color="auto" w:fill="auto"/>
            <w:noWrap/>
            <w:vAlign w:val="center"/>
            <w:hideMark/>
          </w:tcPr>
          <w:p w14:paraId="0786FBF2" w14:textId="77777777" w:rsidR="00345170" w:rsidRPr="005D40AD" w:rsidRDefault="00345170" w:rsidP="00643B7B">
            <w:pPr>
              <w:spacing w:after="0"/>
              <w:ind w:firstLineChars="200" w:firstLine="400"/>
              <w:jc w:val="left"/>
              <w:rPr>
                <w:rFonts w:eastAsia="Times New Roman" w:cs="Times New Roman"/>
                <w:color w:val="000000"/>
                <w:sz w:val="20"/>
                <w:szCs w:val="20"/>
              </w:rPr>
            </w:pPr>
            <w:r w:rsidRPr="005D40AD">
              <w:rPr>
                <w:rFonts w:eastAsia="Times New Roman" w:cs="Times New Roman"/>
                <w:color w:val="000000"/>
                <w:sz w:val="20"/>
                <w:szCs w:val="20"/>
              </w:rPr>
              <w:t xml:space="preserve"> от тях:</w:t>
            </w:r>
          </w:p>
        </w:tc>
        <w:tc>
          <w:tcPr>
            <w:tcW w:w="1777" w:type="dxa"/>
            <w:tcBorders>
              <w:top w:val="nil"/>
              <w:left w:val="nil"/>
              <w:bottom w:val="nil"/>
              <w:right w:val="nil"/>
            </w:tcBorders>
            <w:shd w:val="clear" w:color="auto" w:fill="auto"/>
            <w:noWrap/>
            <w:vAlign w:val="bottom"/>
            <w:hideMark/>
          </w:tcPr>
          <w:p w14:paraId="607C21D1" w14:textId="77777777" w:rsidR="00345170" w:rsidRPr="005D40AD" w:rsidRDefault="00345170" w:rsidP="00643B7B">
            <w:pPr>
              <w:spacing w:after="0"/>
              <w:ind w:firstLineChars="200" w:firstLine="400"/>
              <w:jc w:val="left"/>
              <w:rPr>
                <w:rFonts w:eastAsia="Times New Roman" w:cs="Times New Roman"/>
                <w:color w:val="000000"/>
                <w:sz w:val="20"/>
                <w:szCs w:val="20"/>
              </w:rPr>
            </w:pPr>
          </w:p>
        </w:tc>
        <w:tc>
          <w:tcPr>
            <w:tcW w:w="1732" w:type="dxa"/>
            <w:tcBorders>
              <w:top w:val="nil"/>
              <w:left w:val="nil"/>
              <w:bottom w:val="nil"/>
              <w:right w:val="nil"/>
            </w:tcBorders>
            <w:shd w:val="clear" w:color="auto" w:fill="auto"/>
            <w:noWrap/>
            <w:vAlign w:val="bottom"/>
            <w:hideMark/>
          </w:tcPr>
          <w:p w14:paraId="152A43E4" w14:textId="77777777" w:rsidR="00345170" w:rsidRPr="005D40AD" w:rsidRDefault="00345170" w:rsidP="00643B7B">
            <w:pPr>
              <w:spacing w:after="0"/>
              <w:jc w:val="left"/>
              <w:rPr>
                <w:rFonts w:eastAsia="Times New Roman" w:cs="Times New Roman"/>
                <w:sz w:val="20"/>
                <w:szCs w:val="20"/>
              </w:rPr>
            </w:pPr>
          </w:p>
        </w:tc>
        <w:tc>
          <w:tcPr>
            <w:tcW w:w="1954" w:type="dxa"/>
            <w:tcBorders>
              <w:top w:val="nil"/>
              <w:left w:val="nil"/>
              <w:bottom w:val="nil"/>
              <w:right w:val="nil"/>
            </w:tcBorders>
            <w:shd w:val="clear" w:color="auto" w:fill="auto"/>
            <w:noWrap/>
            <w:vAlign w:val="bottom"/>
            <w:hideMark/>
          </w:tcPr>
          <w:p w14:paraId="117B4A10" w14:textId="77777777" w:rsidR="00345170" w:rsidRPr="005D40AD" w:rsidRDefault="00345170" w:rsidP="00643B7B">
            <w:pPr>
              <w:spacing w:after="0"/>
              <w:jc w:val="left"/>
              <w:rPr>
                <w:rFonts w:eastAsia="Times New Roman" w:cs="Times New Roman"/>
                <w:sz w:val="20"/>
                <w:szCs w:val="20"/>
              </w:rPr>
            </w:pPr>
          </w:p>
        </w:tc>
      </w:tr>
      <w:tr w:rsidR="00345170" w:rsidRPr="005D40AD" w14:paraId="2B74BA81" w14:textId="77777777" w:rsidTr="00E71766">
        <w:trPr>
          <w:trHeight w:val="258"/>
        </w:trPr>
        <w:tc>
          <w:tcPr>
            <w:tcW w:w="1225" w:type="dxa"/>
            <w:tcBorders>
              <w:top w:val="nil"/>
              <w:left w:val="nil"/>
              <w:bottom w:val="nil"/>
              <w:right w:val="nil"/>
            </w:tcBorders>
            <w:shd w:val="clear" w:color="auto" w:fill="auto"/>
            <w:noWrap/>
            <w:vAlign w:val="center"/>
            <w:hideMark/>
          </w:tcPr>
          <w:p w14:paraId="234E90D5" w14:textId="77777777" w:rsidR="00345170" w:rsidRPr="005D40AD" w:rsidRDefault="00345170" w:rsidP="00643B7B">
            <w:pPr>
              <w:spacing w:after="0"/>
              <w:jc w:val="center"/>
              <w:rPr>
                <w:rFonts w:eastAsia="Times New Roman" w:cs="Times New Roman"/>
                <w:color w:val="000000"/>
                <w:sz w:val="20"/>
                <w:szCs w:val="20"/>
              </w:rPr>
            </w:pPr>
            <w:r w:rsidRPr="005D40AD">
              <w:rPr>
                <w:rFonts w:eastAsia="Times New Roman" w:cs="Times New Roman"/>
                <w:color w:val="000000"/>
                <w:sz w:val="20"/>
                <w:szCs w:val="20"/>
              </w:rPr>
              <w:t>3.1.</w:t>
            </w:r>
          </w:p>
        </w:tc>
        <w:tc>
          <w:tcPr>
            <w:tcW w:w="8252" w:type="dxa"/>
            <w:tcBorders>
              <w:top w:val="nil"/>
              <w:left w:val="nil"/>
              <w:bottom w:val="nil"/>
              <w:right w:val="nil"/>
            </w:tcBorders>
            <w:shd w:val="clear" w:color="auto" w:fill="auto"/>
            <w:noWrap/>
            <w:vAlign w:val="center"/>
            <w:hideMark/>
          </w:tcPr>
          <w:p w14:paraId="1816FE4B" w14:textId="77777777" w:rsidR="00345170" w:rsidRPr="005D40AD" w:rsidRDefault="00345170" w:rsidP="00643B7B">
            <w:pPr>
              <w:spacing w:after="0"/>
              <w:ind w:firstLineChars="200" w:firstLine="400"/>
              <w:jc w:val="left"/>
              <w:rPr>
                <w:rFonts w:eastAsia="Times New Roman" w:cs="Times New Roman"/>
                <w:color w:val="000000"/>
                <w:sz w:val="20"/>
                <w:szCs w:val="20"/>
              </w:rPr>
            </w:pPr>
            <w:r w:rsidRPr="005D40AD">
              <w:rPr>
                <w:rFonts w:eastAsia="Times New Roman" w:cs="Times New Roman"/>
                <w:color w:val="000000"/>
                <w:sz w:val="20"/>
                <w:szCs w:val="20"/>
              </w:rPr>
              <w:t xml:space="preserve"> делегирани от държавата дейности</w:t>
            </w:r>
          </w:p>
        </w:tc>
        <w:tc>
          <w:tcPr>
            <w:tcW w:w="1777" w:type="dxa"/>
            <w:tcBorders>
              <w:top w:val="nil"/>
              <w:left w:val="nil"/>
              <w:bottom w:val="nil"/>
              <w:right w:val="nil"/>
            </w:tcBorders>
            <w:shd w:val="clear" w:color="auto" w:fill="auto"/>
            <w:noWrap/>
            <w:vAlign w:val="center"/>
            <w:hideMark/>
          </w:tcPr>
          <w:p w14:paraId="45263E97"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70 295,7</w:t>
            </w:r>
          </w:p>
        </w:tc>
        <w:tc>
          <w:tcPr>
            <w:tcW w:w="1732" w:type="dxa"/>
            <w:tcBorders>
              <w:top w:val="nil"/>
              <w:left w:val="nil"/>
              <w:bottom w:val="nil"/>
              <w:right w:val="nil"/>
            </w:tcBorders>
            <w:shd w:val="clear" w:color="auto" w:fill="auto"/>
            <w:noWrap/>
            <w:vAlign w:val="center"/>
            <w:hideMark/>
          </w:tcPr>
          <w:p w14:paraId="673BFB4C"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70 295,7</w:t>
            </w:r>
          </w:p>
        </w:tc>
        <w:tc>
          <w:tcPr>
            <w:tcW w:w="1954" w:type="dxa"/>
            <w:tcBorders>
              <w:top w:val="nil"/>
              <w:left w:val="nil"/>
              <w:bottom w:val="nil"/>
              <w:right w:val="nil"/>
            </w:tcBorders>
            <w:shd w:val="clear" w:color="auto" w:fill="auto"/>
            <w:noWrap/>
            <w:vAlign w:val="center"/>
            <w:hideMark/>
          </w:tcPr>
          <w:p w14:paraId="032487A7"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70 295,7</w:t>
            </w:r>
          </w:p>
        </w:tc>
      </w:tr>
      <w:tr w:rsidR="00345170" w:rsidRPr="005D40AD" w14:paraId="60010935" w14:textId="77777777" w:rsidTr="00E71766">
        <w:trPr>
          <w:trHeight w:val="377"/>
        </w:trPr>
        <w:tc>
          <w:tcPr>
            <w:tcW w:w="1225" w:type="dxa"/>
            <w:tcBorders>
              <w:top w:val="nil"/>
              <w:left w:val="nil"/>
              <w:bottom w:val="single" w:sz="8" w:space="0" w:color="auto"/>
              <w:right w:val="nil"/>
            </w:tcBorders>
            <w:shd w:val="clear" w:color="auto" w:fill="auto"/>
            <w:noWrap/>
            <w:vAlign w:val="center"/>
            <w:hideMark/>
          </w:tcPr>
          <w:p w14:paraId="3823C07B" w14:textId="77777777" w:rsidR="00345170" w:rsidRPr="005D40AD" w:rsidRDefault="00345170" w:rsidP="00643B7B">
            <w:pPr>
              <w:spacing w:after="0"/>
              <w:jc w:val="center"/>
              <w:rPr>
                <w:rFonts w:eastAsia="Times New Roman" w:cs="Times New Roman"/>
                <w:color w:val="000000"/>
                <w:sz w:val="20"/>
                <w:szCs w:val="20"/>
              </w:rPr>
            </w:pPr>
            <w:r w:rsidRPr="005D40AD">
              <w:rPr>
                <w:rFonts w:eastAsia="Times New Roman" w:cs="Times New Roman"/>
                <w:color w:val="000000"/>
                <w:sz w:val="20"/>
                <w:szCs w:val="20"/>
              </w:rPr>
              <w:t>3.2.</w:t>
            </w:r>
          </w:p>
        </w:tc>
        <w:tc>
          <w:tcPr>
            <w:tcW w:w="8252" w:type="dxa"/>
            <w:tcBorders>
              <w:top w:val="nil"/>
              <w:left w:val="nil"/>
              <w:bottom w:val="single" w:sz="8" w:space="0" w:color="auto"/>
              <w:right w:val="nil"/>
            </w:tcBorders>
            <w:shd w:val="clear" w:color="auto" w:fill="auto"/>
            <w:vAlign w:val="center"/>
            <w:hideMark/>
          </w:tcPr>
          <w:p w14:paraId="4E9C0274" w14:textId="77777777" w:rsidR="00345170" w:rsidRPr="005D40AD" w:rsidRDefault="00345170" w:rsidP="00643B7B">
            <w:pPr>
              <w:spacing w:after="0"/>
              <w:ind w:firstLineChars="200" w:firstLine="400"/>
              <w:jc w:val="left"/>
              <w:rPr>
                <w:rFonts w:eastAsia="Times New Roman" w:cs="Times New Roman"/>
                <w:color w:val="000000"/>
                <w:sz w:val="20"/>
                <w:szCs w:val="20"/>
              </w:rPr>
            </w:pPr>
            <w:r w:rsidRPr="005D40AD">
              <w:rPr>
                <w:rFonts w:eastAsia="Times New Roman" w:cs="Times New Roman"/>
                <w:color w:val="000000"/>
                <w:sz w:val="20"/>
                <w:szCs w:val="20"/>
              </w:rPr>
              <w:t xml:space="preserve"> местни дейности</w:t>
            </w:r>
          </w:p>
        </w:tc>
        <w:tc>
          <w:tcPr>
            <w:tcW w:w="1777" w:type="dxa"/>
            <w:tcBorders>
              <w:top w:val="nil"/>
              <w:left w:val="nil"/>
              <w:bottom w:val="single" w:sz="8" w:space="0" w:color="auto"/>
              <w:right w:val="nil"/>
            </w:tcBorders>
            <w:shd w:val="clear" w:color="auto" w:fill="auto"/>
            <w:noWrap/>
            <w:vAlign w:val="center"/>
            <w:hideMark/>
          </w:tcPr>
          <w:p w14:paraId="5216F8D3"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184 704,3</w:t>
            </w:r>
          </w:p>
        </w:tc>
        <w:tc>
          <w:tcPr>
            <w:tcW w:w="1732" w:type="dxa"/>
            <w:tcBorders>
              <w:top w:val="nil"/>
              <w:left w:val="nil"/>
              <w:bottom w:val="single" w:sz="8" w:space="0" w:color="auto"/>
              <w:right w:val="nil"/>
            </w:tcBorders>
            <w:shd w:val="clear" w:color="auto" w:fill="auto"/>
            <w:noWrap/>
            <w:vAlign w:val="center"/>
            <w:hideMark/>
          </w:tcPr>
          <w:p w14:paraId="5654AAF1"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184 704,3</w:t>
            </w:r>
          </w:p>
        </w:tc>
        <w:tc>
          <w:tcPr>
            <w:tcW w:w="1954" w:type="dxa"/>
            <w:tcBorders>
              <w:top w:val="nil"/>
              <w:left w:val="nil"/>
              <w:bottom w:val="single" w:sz="8" w:space="0" w:color="auto"/>
              <w:right w:val="nil"/>
            </w:tcBorders>
            <w:shd w:val="clear" w:color="auto" w:fill="auto"/>
            <w:noWrap/>
            <w:vAlign w:val="center"/>
            <w:hideMark/>
          </w:tcPr>
          <w:p w14:paraId="092EB5CC" w14:textId="77777777" w:rsidR="00345170" w:rsidRPr="005D40AD" w:rsidRDefault="00345170" w:rsidP="00643B7B">
            <w:pPr>
              <w:spacing w:after="0"/>
              <w:jc w:val="right"/>
              <w:rPr>
                <w:rFonts w:eastAsia="Times New Roman" w:cs="Times New Roman"/>
                <w:color w:val="000000"/>
                <w:sz w:val="20"/>
                <w:szCs w:val="20"/>
              </w:rPr>
            </w:pPr>
            <w:r w:rsidRPr="005D40AD">
              <w:rPr>
                <w:rFonts w:eastAsia="Times New Roman" w:cs="Times New Roman"/>
                <w:color w:val="000000"/>
                <w:sz w:val="20"/>
                <w:szCs w:val="20"/>
              </w:rPr>
              <w:t>184 704,3</w:t>
            </w:r>
          </w:p>
        </w:tc>
      </w:tr>
    </w:tbl>
    <w:p w14:paraId="22CB15A4" w14:textId="77777777" w:rsidR="006C31A3" w:rsidRDefault="006C31A3" w:rsidP="00114352">
      <w:pPr>
        <w:spacing w:after="120"/>
        <w:ind w:firstLine="11198"/>
        <w:jc w:val="center"/>
        <w:rPr>
          <w:rFonts w:eastAsia="Times New Roman" w:cs="Times New Roman"/>
          <w:b/>
          <w:bCs/>
          <w:sz w:val="20"/>
          <w:szCs w:val="20"/>
        </w:rPr>
      </w:pPr>
    </w:p>
    <w:p w14:paraId="6409F0D2" w14:textId="77777777" w:rsidR="006C31A3" w:rsidRDefault="006C31A3" w:rsidP="00114352">
      <w:pPr>
        <w:spacing w:after="120"/>
        <w:ind w:firstLine="11198"/>
        <w:jc w:val="center"/>
        <w:rPr>
          <w:rFonts w:eastAsia="Times New Roman" w:cs="Times New Roman"/>
          <w:b/>
          <w:bCs/>
          <w:sz w:val="20"/>
          <w:szCs w:val="20"/>
        </w:rPr>
      </w:pPr>
    </w:p>
    <w:p w14:paraId="6C6883A0" w14:textId="77777777" w:rsidR="006C31A3" w:rsidRDefault="006C31A3" w:rsidP="00114352">
      <w:pPr>
        <w:spacing w:after="120"/>
        <w:ind w:firstLine="11198"/>
        <w:jc w:val="center"/>
        <w:rPr>
          <w:rFonts w:eastAsia="Times New Roman" w:cs="Times New Roman"/>
          <w:b/>
          <w:bCs/>
          <w:sz w:val="20"/>
          <w:szCs w:val="20"/>
        </w:rPr>
      </w:pPr>
    </w:p>
    <w:p w14:paraId="008E7B14" w14:textId="77777777" w:rsidR="006C31A3" w:rsidRDefault="006C31A3" w:rsidP="00114352">
      <w:pPr>
        <w:spacing w:after="120"/>
        <w:ind w:firstLine="11198"/>
        <w:jc w:val="center"/>
        <w:rPr>
          <w:rFonts w:eastAsia="Times New Roman" w:cs="Times New Roman"/>
          <w:b/>
          <w:bCs/>
          <w:sz w:val="20"/>
          <w:szCs w:val="20"/>
        </w:rPr>
      </w:pPr>
    </w:p>
    <w:p w14:paraId="75145BBF" w14:textId="77777777" w:rsidR="006C31A3" w:rsidRDefault="006C31A3" w:rsidP="00114352">
      <w:pPr>
        <w:spacing w:after="120"/>
        <w:ind w:firstLine="11198"/>
        <w:jc w:val="center"/>
        <w:rPr>
          <w:rFonts w:eastAsia="Times New Roman" w:cs="Times New Roman"/>
          <w:b/>
          <w:bCs/>
          <w:sz w:val="20"/>
          <w:szCs w:val="20"/>
        </w:rPr>
      </w:pPr>
    </w:p>
    <w:p w14:paraId="2910920B" w14:textId="77777777" w:rsidR="00DB1E75" w:rsidRPr="00AA3F66" w:rsidRDefault="00DB1E75" w:rsidP="006C31A3">
      <w:pPr>
        <w:spacing w:after="0"/>
        <w:jc w:val="left"/>
        <w:rPr>
          <w:sz w:val="20"/>
          <w:szCs w:val="20"/>
        </w:rPr>
      </w:pPr>
    </w:p>
    <w:p w14:paraId="7BBF8556" w14:textId="77777777" w:rsidR="004349B9" w:rsidRPr="00AA3F66" w:rsidRDefault="004349B9" w:rsidP="00E147BA">
      <w:pPr>
        <w:spacing w:after="120"/>
        <w:jc w:val="left"/>
        <w:rPr>
          <w:sz w:val="20"/>
          <w:szCs w:val="20"/>
        </w:rPr>
      </w:pPr>
    </w:p>
    <w:p w14:paraId="7D6B302C" w14:textId="77777777" w:rsidR="00876743" w:rsidRPr="00AA3F66" w:rsidRDefault="00876743" w:rsidP="00D504BE">
      <w:pPr>
        <w:suppressAutoHyphens/>
        <w:autoSpaceDE w:val="0"/>
        <w:autoSpaceDN w:val="0"/>
        <w:adjustRightInd w:val="0"/>
        <w:spacing w:after="120" w:line="276" w:lineRule="auto"/>
        <w:rPr>
          <w:b/>
        </w:rPr>
        <w:sectPr w:rsidR="00876743" w:rsidRPr="00AA3F66" w:rsidSect="00022B44">
          <w:pgSz w:w="16838" w:h="11906" w:orient="landscape" w:code="9"/>
          <w:pgMar w:top="1134" w:right="1134" w:bottom="284" w:left="709" w:header="709" w:footer="709" w:gutter="0"/>
          <w:cols w:space="708"/>
          <w:titlePg/>
          <w:docGrid w:linePitch="360"/>
        </w:sectPr>
      </w:pPr>
    </w:p>
    <w:p w14:paraId="1423F29C" w14:textId="77777777" w:rsidR="00C037C4" w:rsidRPr="00AA3F66" w:rsidRDefault="00C037C4" w:rsidP="00DE6798">
      <w:pPr>
        <w:pStyle w:val="Heading2"/>
      </w:pPr>
      <w:bookmarkStart w:id="657" w:name="_Toc216029384"/>
      <w:r w:rsidRPr="00AA3F66">
        <w:lastRenderedPageBreak/>
        <w:t xml:space="preserve">Приложение № 10: </w:t>
      </w:r>
      <w:r w:rsidRPr="00AA3F66">
        <w:br/>
      </w:r>
      <w:r w:rsidR="0098294A" w:rsidRPr="00AA3F66">
        <w:t xml:space="preserve">Данъчни разходи </w:t>
      </w:r>
      <w:r w:rsidR="0098294A" w:rsidRPr="00C07C25">
        <w:t xml:space="preserve">за </w:t>
      </w:r>
      <w:r w:rsidR="00EC7E15">
        <w:t xml:space="preserve">2024 </w:t>
      </w:r>
      <w:r w:rsidR="00643F4D">
        <w:t xml:space="preserve">г. </w:t>
      </w:r>
      <w:r w:rsidR="00EC7E15">
        <w:t>и 2026</w:t>
      </w:r>
      <w:r w:rsidR="00F60E52" w:rsidRPr="00C07C25">
        <w:t xml:space="preserve"> г.</w:t>
      </w:r>
      <w:bookmarkEnd w:id="657"/>
    </w:p>
    <w:p w14:paraId="421F106E" w14:textId="77777777" w:rsidR="00D64E9A" w:rsidRPr="00D64E9A" w:rsidRDefault="00D64E9A" w:rsidP="00D64E9A">
      <w:pPr>
        <w:suppressAutoHyphens/>
        <w:autoSpaceDE w:val="0"/>
        <w:autoSpaceDN w:val="0"/>
        <w:adjustRightInd w:val="0"/>
        <w:spacing w:after="120"/>
        <w:rPr>
          <w:sz w:val="20"/>
          <w:szCs w:val="20"/>
        </w:rPr>
      </w:pPr>
      <w:r w:rsidRPr="00D64E9A">
        <w:rPr>
          <w:sz w:val="20"/>
          <w:szCs w:val="20"/>
        </w:rPr>
        <w:t xml:space="preserve">Изготвената прогноза за данъчните разходи за 2026 г. представлява предварителна оценка на данъчните разходи по данъчни преференции и облекчения, регламентирани в Закона за данък върху добавената стойност, Закона за акцизите и данъчните складове, Закона за корпоративното подоходно облагане и Закона за данъците върху доходите на физическите лица за съответната година. </w:t>
      </w:r>
    </w:p>
    <w:p w14:paraId="3CC629EC" w14:textId="77777777" w:rsidR="00D64E9A" w:rsidRPr="00D64E9A" w:rsidRDefault="00D64E9A" w:rsidP="00D64E9A">
      <w:pPr>
        <w:suppressAutoHyphens/>
        <w:autoSpaceDE w:val="0"/>
        <w:autoSpaceDN w:val="0"/>
        <w:adjustRightInd w:val="0"/>
        <w:spacing w:after="120"/>
        <w:rPr>
          <w:sz w:val="20"/>
          <w:szCs w:val="20"/>
        </w:rPr>
      </w:pPr>
      <w:r w:rsidRPr="00D64E9A">
        <w:rPr>
          <w:sz w:val="20"/>
          <w:szCs w:val="20"/>
        </w:rPr>
        <w:t xml:space="preserve">За целите на прогнозата е използван методът на преотстъпените приходи. Това е най-често използваният метод за оценка на стойността на данъчните разходи, който се свежда до оценка на суми, които не са платени в бюджета в резултат на съществуването на определен данъчен разход. </w:t>
      </w:r>
    </w:p>
    <w:p w14:paraId="19431409" w14:textId="77777777" w:rsidR="00D64E9A" w:rsidRPr="00D64E9A" w:rsidRDefault="00D64E9A" w:rsidP="00D64E9A">
      <w:pPr>
        <w:suppressAutoHyphens/>
        <w:autoSpaceDE w:val="0"/>
        <w:autoSpaceDN w:val="0"/>
        <w:adjustRightInd w:val="0"/>
        <w:spacing w:after="120"/>
        <w:rPr>
          <w:sz w:val="20"/>
          <w:szCs w:val="20"/>
        </w:rPr>
      </w:pPr>
      <w:r w:rsidRPr="00D64E9A">
        <w:rPr>
          <w:sz w:val="20"/>
          <w:szCs w:val="20"/>
        </w:rPr>
        <w:t>При остойностяване на данъчните разходи по различните видове данъци е използвана информацията от есенната макроикономическа прогноза на Министерството на финансите за периода 202</w:t>
      </w:r>
      <w:r w:rsidR="00F22DA8">
        <w:rPr>
          <w:sz w:val="20"/>
          <w:szCs w:val="20"/>
        </w:rPr>
        <w:t>5</w:t>
      </w:r>
      <w:r w:rsidRPr="00D64E9A">
        <w:rPr>
          <w:sz w:val="20"/>
          <w:szCs w:val="20"/>
        </w:rPr>
        <w:t>-2028 г., действащата нормативна уредба, предложените промени в данъчните закони, основните допускания в актуализираната средносрочна бюджетна прогноза, разпоредбите от проекта на ЗДБРБ за 2026 г., както и отчетна информация, предоставена от Националната агенция за приходите, Агенция „Митници“, Националния статистически институт, Българска народна банка и др.</w:t>
      </w:r>
    </w:p>
    <w:p w14:paraId="3D6453D1" w14:textId="77777777" w:rsidR="00D64E9A" w:rsidRDefault="00D64E9A" w:rsidP="00D64E9A">
      <w:pPr>
        <w:suppressAutoHyphens/>
        <w:autoSpaceDE w:val="0"/>
        <w:autoSpaceDN w:val="0"/>
        <w:adjustRightInd w:val="0"/>
        <w:spacing w:after="120"/>
        <w:rPr>
          <w:sz w:val="20"/>
          <w:szCs w:val="20"/>
        </w:rPr>
      </w:pPr>
      <w:r w:rsidRPr="00D64E9A">
        <w:rPr>
          <w:sz w:val="20"/>
          <w:szCs w:val="20"/>
        </w:rPr>
        <w:t xml:space="preserve">Предвидено е </w:t>
      </w:r>
      <w:r>
        <w:rPr>
          <w:sz w:val="20"/>
          <w:szCs w:val="20"/>
        </w:rPr>
        <w:t>през 2026 г.</w:t>
      </w:r>
      <w:r w:rsidRPr="00D64E9A">
        <w:rPr>
          <w:sz w:val="20"/>
          <w:szCs w:val="20"/>
        </w:rPr>
        <w:t xml:space="preserve"> да се запази размера на общата годишна квота за предоставяне на ваучери за храна и общия размер на сумата, подлежаща за възстановяване на земеделските стопани от акциза за газьола, както и повишения размер на данъчните облекчения за деца.</w:t>
      </w:r>
    </w:p>
    <w:p w14:paraId="4CF05BC1" w14:textId="77777777" w:rsidR="00D64E9A" w:rsidRDefault="00D64E9A" w:rsidP="00D64E9A">
      <w:pPr>
        <w:suppressAutoHyphens/>
        <w:autoSpaceDE w:val="0"/>
        <w:autoSpaceDN w:val="0"/>
        <w:adjustRightInd w:val="0"/>
        <w:spacing w:after="120"/>
        <w:rPr>
          <w:sz w:val="20"/>
          <w:szCs w:val="20"/>
        </w:rPr>
      </w:pPr>
    </w:p>
    <w:tbl>
      <w:tblPr>
        <w:tblW w:w="5000" w:type="pct"/>
        <w:jc w:val="center"/>
        <w:tblCellMar>
          <w:left w:w="70" w:type="dxa"/>
          <w:right w:w="70" w:type="dxa"/>
        </w:tblCellMar>
        <w:tblLook w:val="04A0" w:firstRow="1" w:lastRow="0" w:firstColumn="1" w:lastColumn="0" w:noHBand="0" w:noVBand="1"/>
      </w:tblPr>
      <w:tblGrid>
        <w:gridCol w:w="8937"/>
        <w:gridCol w:w="2139"/>
        <w:gridCol w:w="1023"/>
        <w:gridCol w:w="2471"/>
      </w:tblGrid>
      <w:tr w:rsidR="00D64E9A" w:rsidRPr="007E0B34" w14:paraId="09C7E13C" w14:textId="77777777" w:rsidTr="00C518AF">
        <w:trPr>
          <w:trHeight w:val="315"/>
          <w:jc w:val="center"/>
        </w:trPr>
        <w:tc>
          <w:tcPr>
            <w:tcW w:w="3067" w:type="pct"/>
            <w:tcBorders>
              <w:top w:val="nil"/>
              <w:left w:val="nil"/>
              <w:bottom w:val="single" w:sz="4" w:space="0" w:color="auto"/>
              <w:right w:val="nil"/>
            </w:tcBorders>
            <w:shd w:val="clear" w:color="auto" w:fill="auto"/>
            <w:noWrap/>
            <w:vAlign w:val="bottom"/>
            <w:hideMark/>
          </w:tcPr>
          <w:p w14:paraId="3BFCEB5B" w14:textId="77777777" w:rsidR="00D64E9A" w:rsidRPr="007E0B34" w:rsidRDefault="00D64E9A" w:rsidP="00C518AF">
            <w:pPr>
              <w:spacing w:after="0"/>
              <w:jc w:val="left"/>
              <w:rPr>
                <w:rFonts w:eastAsia="Times New Roman"/>
                <w:sz w:val="20"/>
                <w:szCs w:val="20"/>
              </w:rPr>
            </w:pPr>
          </w:p>
        </w:tc>
        <w:tc>
          <w:tcPr>
            <w:tcW w:w="734" w:type="pct"/>
            <w:tcBorders>
              <w:top w:val="nil"/>
              <w:left w:val="nil"/>
              <w:bottom w:val="single" w:sz="4" w:space="0" w:color="auto"/>
              <w:right w:val="nil"/>
            </w:tcBorders>
            <w:shd w:val="clear" w:color="auto" w:fill="auto"/>
            <w:noWrap/>
            <w:vAlign w:val="bottom"/>
            <w:hideMark/>
          </w:tcPr>
          <w:p w14:paraId="70DDDFA4" w14:textId="77777777" w:rsidR="00D64E9A" w:rsidRPr="007E0B34" w:rsidRDefault="00D64E9A" w:rsidP="00C518AF">
            <w:pPr>
              <w:spacing w:after="0"/>
              <w:jc w:val="left"/>
              <w:rPr>
                <w:rFonts w:eastAsia="Times New Roman"/>
                <w:sz w:val="20"/>
                <w:szCs w:val="20"/>
              </w:rPr>
            </w:pPr>
          </w:p>
        </w:tc>
        <w:tc>
          <w:tcPr>
            <w:tcW w:w="351" w:type="pct"/>
            <w:tcBorders>
              <w:top w:val="nil"/>
              <w:left w:val="nil"/>
              <w:bottom w:val="single" w:sz="4" w:space="0" w:color="auto"/>
              <w:right w:val="nil"/>
            </w:tcBorders>
            <w:shd w:val="clear" w:color="auto" w:fill="auto"/>
            <w:noWrap/>
            <w:vAlign w:val="bottom"/>
            <w:hideMark/>
          </w:tcPr>
          <w:p w14:paraId="0AD991C4" w14:textId="77777777" w:rsidR="00D64E9A" w:rsidRPr="007E0B34" w:rsidRDefault="00D64E9A" w:rsidP="00C518AF">
            <w:pPr>
              <w:spacing w:after="0"/>
              <w:jc w:val="left"/>
              <w:rPr>
                <w:rFonts w:eastAsia="Times New Roman"/>
                <w:sz w:val="20"/>
                <w:szCs w:val="20"/>
              </w:rPr>
            </w:pPr>
          </w:p>
        </w:tc>
        <w:tc>
          <w:tcPr>
            <w:tcW w:w="848" w:type="pct"/>
            <w:tcBorders>
              <w:top w:val="nil"/>
              <w:left w:val="nil"/>
              <w:bottom w:val="single" w:sz="4" w:space="0" w:color="auto"/>
              <w:right w:val="nil"/>
            </w:tcBorders>
            <w:shd w:val="clear" w:color="auto" w:fill="auto"/>
            <w:noWrap/>
            <w:vAlign w:val="bottom"/>
            <w:hideMark/>
          </w:tcPr>
          <w:p w14:paraId="57B9B0FE" w14:textId="77777777" w:rsidR="00D64E9A" w:rsidRPr="007E0B34" w:rsidRDefault="00114352" w:rsidP="00C518AF">
            <w:pPr>
              <w:spacing w:after="0"/>
              <w:jc w:val="right"/>
              <w:rPr>
                <w:rFonts w:eastAsia="Times New Roman"/>
                <w:sz w:val="20"/>
                <w:szCs w:val="20"/>
              </w:rPr>
            </w:pPr>
            <w:r w:rsidRPr="00844EF7">
              <w:rPr>
                <w:rFonts w:eastAsia="Times New Roman" w:cs="Times New Roman"/>
                <w:b/>
                <w:bCs/>
                <w:sz w:val="20"/>
                <w:szCs w:val="20"/>
              </w:rPr>
              <w:t>(в хил. евро)</w:t>
            </w:r>
          </w:p>
        </w:tc>
      </w:tr>
      <w:tr w:rsidR="00D64E9A" w:rsidRPr="007E0B34" w14:paraId="61F5307A" w14:textId="77777777" w:rsidTr="00C518AF">
        <w:trPr>
          <w:trHeight w:val="377"/>
          <w:jc w:val="center"/>
        </w:trPr>
        <w:tc>
          <w:tcPr>
            <w:tcW w:w="3067" w:type="pct"/>
            <w:tcBorders>
              <w:top w:val="single" w:sz="4" w:space="0" w:color="auto"/>
              <w:bottom w:val="single" w:sz="4" w:space="0" w:color="auto"/>
            </w:tcBorders>
            <w:shd w:val="clear" w:color="auto" w:fill="auto"/>
            <w:vAlign w:val="center"/>
            <w:hideMark/>
          </w:tcPr>
          <w:p w14:paraId="54186FEC" w14:textId="77777777" w:rsidR="00D64E9A" w:rsidRPr="007E0B34" w:rsidRDefault="00D64E9A" w:rsidP="00C518AF">
            <w:pPr>
              <w:spacing w:after="0"/>
              <w:jc w:val="center"/>
              <w:rPr>
                <w:rFonts w:eastAsia="Times New Roman"/>
                <w:b/>
                <w:bCs/>
                <w:color w:val="000000"/>
                <w:sz w:val="20"/>
                <w:szCs w:val="20"/>
              </w:rPr>
            </w:pPr>
            <w:r w:rsidRPr="007E0B34">
              <w:rPr>
                <w:rFonts w:eastAsia="Times New Roman"/>
                <w:b/>
                <w:bCs/>
                <w:color w:val="000000"/>
                <w:sz w:val="20"/>
                <w:szCs w:val="20"/>
              </w:rPr>
              <w:t>Данъчни разходи по видове данъци, в т.ч.</w:t>
            </w:r>
          </w:p>
        </w:tc>
        <w:tc>
          <w:tcPr>
            <w:tcW w:w="734" w:type="pct"/>
            <w:tcBorders>
              <w:top w:val="single" w:sz="4" w:space="0" w:color="auto"/>
              <w:bottom w:val="single" w:sz="4" w:space="0" w:color="auto"/>
            </w:tcBorders>
            <w:shd w:val="clear" w:color="auto" w:fill="auto"/>
            <w:vAlign w:val="center"/>
            <w:hideMark/>
          </w:tcPr>
          <w:p w14:paraId="488A8242" w14:textId="77777777" w:rsidR="00D64E9A" w:rsidRPr="007E0B34" w:rsidRDefault="00D64E9A" w:rsidP="00C518AF">
            <w:pPr>
              <w:spacing w:after="0"/>
              <w:ind w:left="213"/>
              <w:jc w:val="center"/>
              <w:rPr>
                <w:rFonts w:eastAsia="Times New Roman"/>
                <w:b/>
                <w:bCs/>
                <w:color w:val="000000"/>
                <w:sz w:val="20"/>
                <w:szCs w:val="20"/>
              </w:rPr>
            </w:pPr>
            <w:r w:rsidRPr="007E0B34">
              <w:rPr>
                <w:rFonts w:eastAsia="Times New Roman"/>
                <w:b/>
                <w:bCs/>
                <w:color w:val="000000"/>
                <w:sz w:val="20"/>
                <w:szCs w:val="20"/>
              </w:rPr>
              <w:t xml:space="preserve">   2024 г.</w:t>
            </w:r>
          </w:p>
          <w:p w14:paraId="04B3E96F" w14:textId="77777777" w:rsidR="00D64E9A" w:rsidRPr="007E0B34" w:rsidRDefault="00D64E9A" w:rsidP="00C518AF">
            <w:pPr>
              <w:spacing w:after="0"/>
              <w:ind w:left="213"/>
              <w:jc w:val="center"/>
              <w:rPr>
                <w:rFonts w:eastAsia="Times New Roman"/>
                <w:b/>
                <w:bCs/>
                <w:color w:val="000000"/>
                <w:sz w:val="20"/>
                <w:szCs w:val="20"/>
              </w:rPr>
            </w:pPr>
            <w:r w:rsidRPr="007E0B34">
              <w:rPr>
                <w:rFonts w:eastAsia="Times New Roman"/>
                <w:b/>
                <w:bCs/>
                <w:color w:val="000000"/>
                <w:sz w:val="20"/>
                <w:szCs w:val="20"/>
              </w:rPr>
              <w:t>Отчет</w:t>
            </w:r>
          </w:p>
        </w:tc>
        <w:tc>
          <w:tcPr>
            <w:tcW w:w="351" w:type="pct"/>
            <w:tcBorders>
              <w:top w:val="single" w:sz="4" w:space="0" w:color="auto"/>
              <w:bottom w:val="single" w:sz="4" w:space="0" w:color="auto"/>
            </w:tcBorders>
            <w:shd w:val="clear" w:color="auto" w:fill="auto"/>
            <w:vAlign w:val="center"/>
            <w:hideMark/>
          </w:tcPr>
          <w:p w14:paraId="050EF76F" w14:textId="77777777" w:rsidR="00D64E9A" w:rsidRPr="007E0B34" w:rsidRDefault="00D64E9A" w:rsidP="00C518AF">
            <w:pPr>
              <w:spacing w:after="0"/>
              <w:jc w:val="center"/>
              <w:rPr>
                <w:rFonts w:eastAsia="Times New Roman"/>
                <w:b/>
                <w:bCs/>
                <w:color w:val="000000"/>
                <w:sz w:val="20"/>
                <w:szCs w:val="20"/>
              </w:rPr>
            </w:pPr>
          </w:p>
        </w:tc>
        <w:tc>
          <w:tcPr>
            <w:tcW w:w="848" w:type="pct"/>
            <w:tcBorders>
              <w:top w:val="single" w:sz="4" w:space="0" w:color="auto"/>
              <w:bottom w:val="single" w:sz="4" w:space="0" w:color="auto"/>
            </w:tcBorders>
            <w:shd w:val="clear" w:color="auto" w:fill="auto"/>
            <w:vAlign w:val="center"/>
            <w:hideMark/>
          </w:tcPr>
          <w:p w14:paraId="2A3701F7" w14:textId="77777777" w:rsidR="00D64E9A" w:rsidRPr="007E0B34" w:rsidRDefault="00D64E9A" w:rsidP="00C518AF">
            <w:pPr>
              <w:spacing w:after="0"/>
              <w:jc w:val="center"/>
              <w:rPr>
                <w:rFonts w:eastAsia="Times New Roman"/>
                <w:b/>
                <w:bCs/>
                <w:color w:val="000000"/>
                <w:sz w:val="20"/>
                <w:szCs w:val="20"/>
              </w:rPr>
            </w:pPr>
            <w:r w:rsidRPr="007E0B34">
              <w:rPr>
                <w:rFonts w:eastAsia="Times New Roman"/>
                <w:b/>
                <w:bCs/>
                <w:color w:val="000000"/>
                <w:sz w:val="20"/>
                <w:szCs w:val="20"/>
              </w:rPr>
              <w:t xml:space="preserve"> 2026 г.</w:t>
            </w:r>
          </w:p>
          <w:p w14:paraId="1B5333C1" w14:textId="77777777" w:rsidR="00D64E9A" w:rsidRPr="007E0B34" w:rsidRDefault="00D64E9A" w:rsidP="00C518AF">
            <w:pPr>
              <w:spacing w:after="0"/>
              <w:jc w:val="center"/>
              <w:rPr>
                <w:rFonts w:eastAsia="Times New Roman"/>
                <w:b/>
                <w:bCs/>
                <w:color w:val="000000"/>
                <w:sz w:val="20"/>
                <w:szCs w:val="20"/>
              </w:rPr>
            </w:pPr>
            <w:r w:rsidRPr="007E0B34">
              <w:rPr>
                <w:rFonts w:eastAsia="Times New Roman"/>
                <w:b/>
                <w:bCs/>
                <w:color w:val="000000"/>
                <w:sz w:val="20"/>
                <w:szCs w:val="20"/>
              </w:rPr>
              <w:t>Проект</w:t>
            </w:r>
          </w:p>
        </w:tc>
      </w:tr>
      <w:tr w:rsidR="00D64E9A" w:rsidRPr="007E0B34" w14:paraId="7C041272" w14:textId="77777777" w:rsidTr="00C518AF">
        <w:trPr>
          <w:trHeight w:val="60"/>
          <w:jc w:val="center"/>
        </w:trPr>
        <w:tc>
          <w:tcPr>
            <w:tcW w:w="3067" w:type="pct"/>
            <w:tcBorders>
              <w:top w:val="single" w:sz="4" w:space="0" w:color="auto"/>
            </w:tcBorders>
            <w:shd w:val="clear" w:color="000000" w:fill="FFFFFF"/>
            <w:noWrap/>
            <w:vAlign w:val="bottom"/>
            <w:hideMark/>
          </w:tcPr>
          <w:p w14:paraId="1651AF76"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ДДС</w:t>
            </w:r>
          </w:p>
        </w:tc>
        <w:tc>
          <w:tcPr>
            <w:tcW w:w="734" w:type="pct"/>
            <w:tcBorders>
              <w:top w:val="single" w:sz="4" w:space="0" w:color="auto"/>
            </w:tcBorders>
            <w:shd w:val="clear" w:color="auto" w:fill="auto"/>
            <w:noWrap/>
            <w:hideMark/>
          </w:tcPr>
          <w:p w14:paraId="56C4EE00" w14:textId="77777777" w:rsidR="00D64E9A" w:rsidRPr="007E0B34" w:rsidRDefault="00D64E9A" w:rsidP="00C518AF">
            <w:pPr>
              <w:spacing w:after="0"/>
              <w:jc w:val="center"/>
              <w:rPr>
                <w:sz w:val="20"/>
                <w:szCs w:val="20"/>
              </w:rPr>
            </w:pPr>
            <w:r w:rsidRPr="007E0B34">
              <w:rPr>
                <w:sz w:val="20"/>
                <w:szCs w:val="20"/>
              </w:rPr>
              <w:t>212 819</w:t>
            </w:r>
          </w:p>
        </w:tc>
        <w:tc>
          <w:tcPr>
            <w:tcW w:w="351" w:type="pct"/>
            <w:tcBorders>
              <w:top w:val="single" w:sz="4" w:space="0" w:color="auto"/>
            </w:tcBorders>
            <w:shd w:val="clear" w:color="auto" w:fill="auto"/>
            <w:noWrap/>
            <w:vAlign w:val="bottom"/>
            <w:hideMark/>
          </w:tcPr>
          <w:p w14:paraId="5BEB4F50" w14:textId="77777777" w:rsidR="00D64E9A" w:rsidRPr="007E0B34" w:rsidRDefault="00D64E9A" w:rsidP="00C518AF">
            <w:pPr>
              <w:spacing w:after="0"/>
              <w:jc w:val="center"/>
              <w:rPr>
                <w:rFonts w:eastAsia="Times New Roman"/>
                <w:sz w:val="20"/>
                <w:szCs w:val="20"/>
              </w:rPr>
            </w:pPr>
          </w:p>
        </w:tc>
        <w:tc>
          <w:tcPr>
            <w:tcW w:w="848" w:type="pct"/>
            <w:tcBorders>
              <w:top w:val="single" w:sz="4" w:space="0" w:color="auto"/>
            </w:tcBorders>
            <w:shd w:val="clear" w:color="auto" w:fill="auto"/>
            <w:noWrap/>
            <w:hideMark/>
          </w:tcPr>
          <w:p w14:paraId="6D4E9DAE" w14:textId="77777777" w:rsidR="00D64E9A" w:rsidRPr="007E0B34" w:rsidRDefault="00D64E9A" w:rsidP="00C518AF">
            <w:pPr>
              <w:spacing w:after="0"/>
              <w:jc w:val="center"/>
              <w:rPr>
                <w:sz w:val="20"/>
                <w:szCs w:val="20"/>
              </w:rPr>
            </w:pPr>
            <w:r w:rsidRPr="007E0B34">
              <w:rPr>
                <w:sz w:val="20"/>
                <w:szCs w:val="20"/>
              </w:rPr>
              <w:t>244 100</w:t>
            </w:r>
          </w:p>
        </w:tc>
      </w:tr>
      <w:tr w:rsidR="00D64E9A" w:rsidRPr="007E0B34" w14:paraId="5F815786" w14:textId="77777777" w:rsidTr="00C518AF">
        <w:trPr>
          <w:trHeight w:val="116"/>
          <w:jc w:val="center"/>
        </w:trPr>
        <w:tc>
          <w:tcPr>
            <w:tcW w:w="3067" w:type="pct"/>
            <w:tcBorders>
              <w:top w:val="nil"/>
            </w:tcBorders>
            <w:shd w:val="clear" w:color="000000" w:fill="FFFFFF"/>
            <w:noWrap/>
            <w:vAlign w:val="bottom"/>
            <w:hideMark/>
          </w:tcPr>
          <w:p w14:paraId="43449188"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Акцизи</w:t>
            </w:r>
          </w:p>
        </w:tc>
        <w:tc>
          <w:tcPr>
            <w:tcW w:w="734" w:type="pct"/>
            <w:tcBorders>
              <w:top w:val="nil"/>
            </w:tcBorders>
            <w:shd w:val="clear" w:color="auto" w:fill="auto"/>
            <w:noWrap/>
            <w:hideMark/>
          </w:tcPr>
          <w:p w14:paraId="388FDA76" w14:textId="77777777" w:rsidR="00D64E9A" w:rsidRPr="007E0B34" w:rsidRDefault="002179DE" w:rsidP="00C518AF">
            <w:pPr>
              <w:spacing w:after="0"/>
              <w:jc w:val="center"/>
              <w:rPr>
                <w:sz w:val="20"/>
                <w:szCs w:val="20"/>
              </w:rPr>
            </w:pPr>
            <w:r w:rsidRPr="002179DE">
              <w:rPr>
                <w:sz w:val="20"/>
                <w:szCs w:val="20"/>
              </w:rPr>
              <w:t>85 425</w:t>
            </w:r>
          </w:p>
        </w:tc>
        <w:tc>
          <w:tcPr>
            <w:tcW w:w="351" w:type="pct"/>
            <w:tcBorders>
              <w:top w:val="nil"/>
            </w:tcBorders>
            <w:shd w:val="clear" w:color="auto" w:fill="auto"/>
            <w:noWrap/>
            <w:vAlign w:val="bottom"/>
            <w:hideMark/>
          </w:tcPr>
          <w:p w14:paraId="01BCA25C"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auto" w:fill="auto"/>
            <w:noWrap/>
            <w:hideMark/>
          </w:tcPr>
          <w:p w14:paraId="3CAD4D75" w14:textId="77777777" w:rsidR="00D64E9A" w:rsidRPr="007E0B34" w:rsidRDefault="002179DE" w:rsidP="00C518AF">
            <w:pPr>
              <w:spacing w:after="0"/>
              <w:jc w:val="center"/>
              <w:rPr>
                <w:sz w:val="20"/>
                <w:szCs w:val="20"/>
              </w:rPr>
            </w:pPr>
            <w:r w:rsidRPr="002179DE">
              <w:rPr>
                <w:sz w:val="20"/>
                <w:szCs w:val="20"/>
              </w:rPr>
              <w:t>97 812</w:t>
            </w:r>
          </w:p>
        </w:tc>
      </w:tr>
      <w:tr w:rsidR="00D64E9A" w:rsidRPr="007E0B34" w14:paraId="3D903FFD" w14:textId="77777777" w:rsidTr="00C518AF">
        <w:trPr>
          <w:trHeight w:val="70"/>
          <w:jc w:val="center"/>
        </w:trPr>
        <w:tc>
          <w:tcPr>
            <w:tcW w:w="3067" w:type="pct"/>
            <w:tcBorders>
              <w:top w:val="nil"/>
            </w:tcBorders>
            <w:shd w:val="clear" w:color="000000" w:fill="FFFFFF"/>
            <w:noWrap/>
            <w:vAlign w:val="bottom"/>
            <w:hideMark/>
          </w:tcPr>
          <w:p w14:paraId="00078E3E"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Корпоративни данъци</w:t>
            </w:r>
          </w:p>
        </w:tc>
        <w:tc>
          <w:tcPr>
            <w:tcW w:w="734" w:type="pct"/>
            <w:tcBorders>
              <w:top w:val="nil"/>
            </w:tcBorders>
            <w:shd w:val="clear" w:color="auto" w:fill="auto"/>
            <w:noWrap/>
            <w:hideMark/>
          </w:tcPr>
          <w:p w14:paraId="3CE89CD7" w14:textId="77777777" w:rsidR="00D64E9A" w:rsidRPr="007E0B34" w:rsidRDefault="00D64E9A" w:rsidP="00C518AF">
            <w:pPr>
              <w:spacing w:after="0"/>
              <w:jc w:val="center"/>
              <w:rPr>
                <w:sz w:val="20"/>
                <w:szCs w:val="20"/>
              </w:rPr>
            </w:pPr>
            <w:r w:rsidRPr="007E0B34">
              <w:rPr>
                <w:sz w:val="20"/>
                <w:szCs w:val="20"/>
              </w:rPr>
              <w:t>220 555</w:t>
            </w:r>
          </w:p>
        </w:tc>
        <w:tc>
          <w:tcPr>
            <w:tcW w:w="351" w:type="pct"/>
            <w:tcBorders>
              <w:top w:val="nil"/>
            </w:tcBorders>
            <w:shd w:val="clear" w:color="auto" w:fill="auto"/>
            <w:noWrap/>
            <w:vAlign w:val="bottom"/>
            <w:hideMark/>
          </w:tcPr>
          <w:p w14:paraId="42D5C66A"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auto" w:fill="auto"/>
            <w:noWrap/>
            <w:hideMark/>
          </w:tcPr>
          <w:p w14:paraId="1E299D9D" w14:textId="77777777" w:rsidR="00D64E9A" w:rsidRPr="007E0B34" w:rsidRDefault="00D64E9A" w:rsidP="00C518AF">
            <w:pPr>
              <w:spacing w:after="0"/>
              <w:jc w:val="center"/>
              <w:rPr>
                <w:sz w:val="20"/>
                <w:szCs w:val="20"/>
              </w:rPr>
            </w:pPr>
            <w:r w:rsidRPr="007E0B34">
              <w:rPr>
                <w:sz w:val="20"/>
                <w:szCs w:val="20"/>
              </w:rPr>
              <w:t>252 980</w:t>
            </w:r>
          </w:p>
        </w:tc>
      </w:tr>
      <w:tr w:rsidR="00D64E9A" w:rsidRPr="007E0B34" w14:paraId="28C260AE" w14:textId="77777777" w:rsidTr="00C518AF">
        <w:trPr>
          <w:trHeight w:val="70"/>
          <w:jc w:val="center"/>
        </w:trPr>
        <w:tc>
          <w:tcPr>
            <w:tcW w:w="3067" w:type="pct"/>
            <w:tcBorders>
              <w:top w:val="nil"/>
            </w:tcBorders>
            <w:shd w:val="clear" w:color="000000" w:fill="FFFFFF"/>
            <w:noWrap/>
            <w:vAlign w:val="bottom"/>
            <w:hideMark/>
          </w:tcPr>
          <w:p w14:paraId="61F3B057"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Данъци върху доходите на физическите лица</w:t>
            </w:r>
          </w:p>
        </w:tc>
        <w:tc>
          <w:tcPr>
            <w:tcW w:w="734" w:type="pct"/>
            <w:tcBorders>
              <w:top w:val="nil"/>
            </w:tcBorders>
            <w:shd w:val="clear" w:color="auto" w:fill="auto"/>
            <w:noWrap/>
            <w:hideMark/>
          </w:tcPr>
          <w:p w14:paraId="5CC0D4DE" w14:textId="77777777" w:rsidR="00D64E9A" w:rsidRPr="007E0B34" w:rsidRDefault="00D64E9A" w:rsidP="00C518AF">
            <w:pPr>
              <w:spacing w:after="0"/>
              <w:jc w:val="center"/>
              <w:rPr>
                <w:sz w:val="20"/>
                <w:szCs w:val="20"/>
              </w:rPr>
            </w:pPr>
            <w:r w:rsidRPr="007E0B34">
              <w:rPr>
                <w:sz w:val="20"/>
                <w:szCs w:val="20"/>
              </w:rPr>
              <w:t>310 262</w:t>
            </w:r>
          </w:p>
        </w:tc>
        <w:tc>
          <w:tcPr>
            <w:tcW w:w="351" w:type="pct"/>
            <w:tcBorders>
              <w:top w:val="nil"/>
            </w:tcBorders>
            <w:shd w:val="clear" w:color="auto" w:fill="auto"/>
            <w:noWrap/>
            <w:vAlign w:val="bottom"/>
            <w:hideMark/>
          </w:tcPr>
          <w:p w14:paraId="6CB32BA0"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auto" w:fill="auto"/>
            <w:noWrap/>
            <w:hideMark/>
          </w:tcPr>
          <w:p w14:paraId="309D974E" w14:textId="77777777" w:rsidR="00D64E9A" w:rsidRPr="007E0B34" w:rsidRDefault="00D64E9A" w:rsidP="00C518AF">
            <w:pPr>
              <w:spacing w:after="0"/>
              <w:jc w:val="center"/>
              <w:rPr>
                <w:sz w:val="20"/>
                <w:szCs w:val="20"/>
              </w:rPr>
            </w:pPr>
            <w:r w:rsidRPr="007E0B34">
              <w:rPr>
                <w:sz w:val="20"/>
                <w:szCs w:val="20"/>
              </w:rPr>
              <w:t>355 870</w:t>
            </w:r>
          </w:p>
        </w:tc>
      </w:tr>
      <w:tr w:rsidR="00D64E9A" w:rsidRPr="007E0B34" w14:paraId="2C877060" w14:textId="77777777" w:rsidTr="00C518AF">
        <w:trPr>
          <w:trHeight w:val="172"/>
          <w:jc w:val="center"/>
        </w:trPr>
        <w:tc>
          <w:tcPr>
            <w:tcW w:w="3067" w:type="pct"/>
            <w:tcBorders>
              <w:top w:val="nil"/>
            </w:tcBorders>
            <w:shd w:val="clear" w:color="000000" w:fill="FFFFFF"/>
            <w:noWrap/>
            <w:vAlign w:val="bottom"/>
            <w:hideMark/>
          </w:tcPr>
          <w:p w14:paraId="4403C8C7" w14:textId="77777777" w:rsidR="00D64E9A" w:rsidRPr="007E0B34" w:rsidRDefault="00D64E9A" w:rsidP="00C518AF">
            <w:pPr>
              <w:spacing w:after="0"/>
              <w:jc w:val="left"/>
              <w:rPr>
                <w:rFonts w:eastAsia="Times New Roman"/>
                <w:b/>
                <w:bCs/>
                <w:sz w:val="20"/>
                <w:szCs w:val="20"/>
              </w:rPr>
            </w:pPr>
            <w:r w:rsidRPr="007E0B34">
              <w:rPr>
                <w:rFonts w:eastAsia="Times New Roman"/>
                <w:b/>
                <w:bCs/>
                <w:sz w:val="20"/>
                <w:szCs w:val="20"/>
              </w:rPr>
              <w:t>Общо данъчни разходи</w:t>
            </w:r>
          </w:p>
        </w:tc>
        <w:tc>
          <w:tcPr>
            <w:tcW w:w="734" w:type="pct"/>
            <w:tcBorders>
              <w:top w:val="nil"/>
            </w:tcBorders>
            <w:shd w:val="clear" w:color="auto" w:fill="auto"/>
            <w:noWrap/>
            <w:vAlign w:val="bottom"/>
            <w:hideMark/>
          </w:tcPr>
          <w:p w14:paraId="603A64C4" w14:textId="77777777" w:rsidR="00D64E9A" w:rsidRPr="007E0B34" w:rsidRDefault="002179DE" w:rsidP="00C518AF">
            <w:pPr>
              <w:spacing w:after="0"/>
              <w:jc w:val="center"/>
              <w:rPr>
                <w:b/>
                <w:sz w:val="20"/>
                <w:szCs w:val="20"/>
              </w:rPr>
            </w:pPr>
            <w:r w:rsidRPr="002179DE">
              <w:rPr>
                <w:b/>
                <w:sz w:val="20"/>
                <w:szCs w:val="20"/>
              </w:rPr>
              <w:t>829 061</w:t>
            </w:r>
          </w:p>
        </w:tc>
        <w:tc>
          <w:tcPr>
            <w:tcW w:w="351" w:type="pct"/>
            <w:tcBorders>
              <w:top w:val="nil"/>
            </w:tcBorders>
            <w:shd w:val="clear" w:color="auto" w:fill="auto"/>
            <w:noWrap/>
            <w:vAlign w:val="bottom"/>
            <w:hideMark/>
          </w:tcPr>
          <w:p w14:paraId="3B389150" w14:textId="77777777" w:rsidR="00D64E9A" w:rsidRPr="007E0B34" w:rsidRDefault="00D64E9A" w:rsidP="00C518AF">
            <w:pPr>
              <w:spacing w:after="0"/>
              <w:jc w:val="center"/>
              <w:rPr>
                <w:rFonts w:eastAsia="Times New Roman"/>
                <w:b/>
                <w:bCs/>
                <w:sz w:val="20"/>
                <w:szCs w:val="20"/>
              </w:rPr>
            </w:pPr>
          </w:p>
        </w:tc>
        <w:tc>
          <w:tcPr>
            <w:tcW w:w="848" w:type="pct"/>
            <w:tcBorders>
              <w:top w:val="nil"/>
            </w:tcBorders>
            <w:shd w:val="clear" w:color="auto" w:fill="auto"/>
            <w:noWrap/>
            <w:hideMark/>
          </w:tcPr>
          <w:p w14:paraId="042B894D" w14:textId="77777777" w:rsidR="00D64E9A" w:rsidRPr="007E0B34" w:rsidRDefault="00D64E9A" w:rsidP="00C518AF">
            <w:pPr>
              <w:spacing w:after="0"/>
              <w:rPr>
                <w:b/>
                <w:sz w:val="20"/>
                <w:szCs w:val="20"/>
              </w:rPr>
            </w:pPr>
          </w:p>
          <w:p w14:paraId="153EFD48" w14:textId="77777777" w:rsidR="00D64E9A" w:rsidRPr="007E0B34" w:rsidRDefault="002179DE" w:rsidP="00C518AF">
            <w:pPr>
              <w:spacing w:after="0"/>
              <w:jc w:val="center"/>
              <w:rPr>
                <w:sz w:val="20"/>
                <w:szCs w:val="20"/>
              </w:rPr>
            </w:pPr>
            <w:r w:rsidRPr="002179DE">
              <w:rPr>
                <w:b/>
                <w:sz w:val="20"/>
                <w:szCs w:val="20"/>
              </w:rPr>
              <w:t>950 762</w:t>
            </w:r>
          </w:p>
        </w:tc>
      </w:tr>
      <w:tr w:rsidR="00D64E9A" w:rsidRPr="007E0B34" w14:paraId="2E24AA90" w14:textId="77777777" w:rsidTr="00C518AF">
        <w:trPr>
          <w:trHeight w:val="315"/>
          <w:jc w:val="center"/>
        </w:trPr>
        <w:tc>
          <w:tcPr>
            <w:tcW w:w="3067" w:type="pct"/>
            <w:tcBorders>
              <w:top w:val="nil"/>
            </w:tcBorders>
            <w:shd w:val="clear" w:color="000000" w:fill="FFFFFF"/>
            <w:noWrap/>
            <w:vAlign w:val="center"/>
            <w:hideMark/>
          </w:tcPr>
          <w:p w14:paraId="62EED5B6" w14:textId="77777777" w:rsidR="00D64E9A" w:rsidRPr="007E0B34" w:rsidRDefault="00D64E9A" w:rsidP="00C518AF">
            <w:pPr>
              <w:spacing w:after="0"/>
              <w:jc w:val="left"/>
              <w:rPr>
                <w:rFonts w:eastAsia="Times New Roman"/>
                <w:sz w:val="20"/>
                <w:szCs w:val="20"/>
              </w:rPr>
            </w:pPr>
            <w:r w:rsidRPr="007E0B34">
              <w:rPr>
                <w:rFonts w:eastAsia="Times New Roman"/>
                <w:sz w:val="20"/>
                <w:szCs w:val="20"/>
              </w:rPr>
              <w:t>БВП</w:t>
            </w:r>
          </w:p>
        </w:tc>
        <w:tc>
          <w:tcPr>
            <w:tcW w:w="734" w:type="pct"/>
            <w:tcBorders>
              <w:top w:val="nil"/>
            </w:tcBorders>
            <w:shd w:val="clear" w:color="000000" w:fill="FFFFFF"/>
            <w:noWrap/>
            <w:vAlign w:val="center"/>
            <w:hideMark/>
          </w:tcPr>
          <w:p w14:paraId="7F8981DA" w14:textId="77777777" w:rsidR="00D64E9A" w:rsidRPr="007E0B34" w:rsidRDefault="00D64E9A" w:rsidP="00C518AF">
            <w:pPr>
              <w:spacing w:after="0"/>
              <w:jc w:val="center"/>
              <w:rPr>
                <w:rFonts w:eastAsia="Times New Roman"/>
                <w:sz w:val="20"/>
                <w:szCs w:val="20"/>
              </w:rPr>
            </w:pPr>
            <w:r w:rsidRPr="007E0B34">
              <w:rPr>
                <w:sz w:val="20"/>
                <w:szCs w:val="20"/>
              </w:rPr>
              <w:t>104 767 224</w:t>
            </w:r>
          </w:p>
        </w:tc>
        <w:tc>
          <w:tcPr>
            <w:tcW w:w="351" w:type="pct"/>
            <w:tcBorders>
              <w:top w:val="nil"/>
            </w:tcBorders>
            <w:shd w:val="clear" w:color="000000" w:fill="FFFFFF"/>
            <w:noWrap/>
            <w:vAlign w:val="center"/>
            <w:hideMark/>
          </w:tcPr>
          <w:p w14:paraId="5947871F" w14:textId="77777777" w:rsidR="00D64E9A" w:rsidRPr="007E0B34" w:rsidRDefault="00D64E9A" w:rsidP="00C518AF">
            <w:pPr>
              <w:spacing w:after="0"/>
              <w:jc w:val="center"/>
              <w:rPr>
                <w:rFonts w:eastAsia="Times New Roman"/>
                <w:sz w:val="20"/>
                <w:szCs w:val="20"/>
              </w:rPr>
            </w:pPr>
          </w:p>
        </w:tc>
        <w:tc>
          <w:tcPr>
            <w:tcW w:w="848" w:type="pct"/>
            <w:tcBorders>
              <w:top w:val="nil"/>
            </w:tcBorders>
            <w:shd w:val="clear" w:color="000000" w:fill="FFFFFF"/>
            <w:noWrap/>
            <w:hideMark/>
          </w:tcPr>
          <w:p w14:paraId="2817A514" w14:textId="77777777" w:rsidR="00D64E9A" w:rsidRPr="007E0B34" w:rsidRDefault="00D64E9A" w:rsidP="00C518AF">
            <w:pPr>
              <w:spacing w:after="0"/>
              <w:jc w:val="center"/>
              <w:rPr>
                <w:sz w:val="20"/>
                <w:szCs w:val="20"/>
              </w:rPr>
            </w:pPr>
            <w:r w:rsidRPr="007E0B34">
              <w:rPr>
                <w:sz w:val="20"/>
                <w:szCs w:val="20"/>
              </w:rPr>
              <w:t>120 163 278</w:t>
            </w:r>
          </w:p>
        </w:tc>
      </w:tr>
      <w:tr w:rsidR="00D64E9A" w:rsidRPr="007E0B34" w14:paraId="4304DC64" w14:textId="77777777" w:rsidTr="00C518AF">
        <w:trPr>
          <w:trHeight w:val="99"/>
          <w:jc w:val="center"/>
        </w:trPr>
        <w:tc>
          <w:tcPr>
            <w:tcW w:w="3067" w:type="pct"/>
            <w:tcBorders>
              <w:top w:val="nil"/>
              <w:bottom w:val="single" w:sz="4" w:space="0" w:color="auto"/>
            </w:tcBorders>
            <w:shd w:val="clear" w:color="000000" w:fill="FFFFFF"/>
            <w:noWrap/>
            <w:vAlign w:val="center"/>
            <w:hideMark/>
          </w:tcPr>
          <w:p w14:paraId="4FB015ED" w14:textId="77777777" w:rsidR="00D64E9A" w:rsidRPr="007E0B34" w:rsidRDefault="00D64E9A" w:rsidP="00C518AF">
            <w:pPr>
              <w:spacing w:after="0"/>
              <w:jc w:val="left"/>
              <w:rPr>
                <w:rFonts w:eastAsia="Times New Roman"/>
                <w:b/>
                <w:sz w:val="20"/>
                <w:szCs w:val="20"/>
              </w:rPr>
            </w:pPr>
            <w:r w:rsidRPr="007E0B34">
              <w:rPr>
                <w:rFonts w:eastAsia="Times New Roman"/>
                <w:b/>
                <w:sz w:val="20"/>
                <w:szCs w:val="20"/>
              </w:rPr>
              <w:t>% от БВП</w:t>
            </w:r>
          </w:p>
        </w:tc>
        <w:tc>
          <w:tcPr>
            <w:tcW w:w="734" w:type="pct"/>
            <w:tcBorders>
              <w:top w:val="nil"/>
              <w:bottom w:val="single" w:sz="4" w:space="0" w:color="auto"/>
            </w:tcBorders>
            <w:shd w:val="clear" w:color="000000" w:fill="FFFFFF"/>
            <w:noWrap/>
            <w:vAlign w:val="center"/>
            <w:hideMark/>
          </w:tcPr>
          <w:p w14:paraId="3146071B" w14:textId="77777777" w:rsidR="00D64E9A" w:rsidRPr="007E0B34" w:rsidRDefault="00D64E9A" w:rsidP="00C518AF">
            <w:pPr>
              <w:spacing w:after="0"/>
              <w:jc w:val="center"/>
              <w:rPr>
                <w:rFonts w:eastAsia="Times New Roman"/>
                <w:b/>
                <w:sz w:val="20"/>
                <w:szCs w:val="20"/>
              </w:rPr>
            </w:pPr>
            <w:r w:rsidRPr="007E0B34">
              <w:rPr>
                <w:b/>
                <w:sz w:val="20"/>
                <w:szCs w:val="20"/>
              </w:rPr>
              <w:t>0,</w:t>
            </w:r>
            <w:r w:rsidR="002179DE">
              <w:rPr>
                <w:b/>
                <w:sz w:val="20"/>
                <w:szCs w:val="20"/>
              </w:rPr>
              <w:t>79</w:t>
            </w:r>
            <w:r w:rsidRPr="007E0B34">
              <w:rPr>
                <w:b/>
                <w:sz w:val="20"/>
                <w:szCs w:val="20"/>
              </w:rPr>
              <w:t>%</w:t>
            </w:r>
          </w:p>
        </w:tc>
        <w:tc>
          <w:tcPr>
            <w:tcW w:w="351" w:type="pct"/>
            <w:tcBorders>
              <w:top w:val="nil"/>
              <w:bottom w:val="single" w:sz="4" w:space="0" w:color="auto"/>
            </w:tcBorders>
            <w:shd w:val="clear" w:color="000000" w:fill="FFFFFF"/>
            <w:noWrap/>
            <w:vAlign w:val="center"/>
            <w:hideMark/>
          </w:tcPr>
          <w:p w14:paraId="668B60C3" w14:textId="77777777" w:rsidR="00D64E9A" w:rsidRPr="007E0B34" w:rsidRDefault="00D64E9A" w:rsidP="00C518AF">
            <w:pPr>
              <w:spacing w:after="0"/>
              <w:jc w:val="center"/>
              <w:rPr>
                <w:rFonts w:eastAsia="Times New Roman"/>
                <w:b/>
                <w:sz w:val="20"/>
                <w:szCs w:val="20"/>
              </w:rPr>
            </w:pPr>
          </w:p>
        </w:tc>
        <w:tc>
          <w:tcPr>
            <w:tcW w:w="848" w:type="pct"/>
            <w:tcBorders>
              <w:top w:val="nil"/>
              <w:bottom w:val="single" w:sz="4" w:space="0" w:color="auto"/>
            </w:tcBorders>
            <w:shd w:val="clear" w:color="000000" w:fill="FFFFFF"/>
            <w:noWrap/>
            <w:vAlign w:val="center"/>
            <w:hideMark/>
          </w:tcPr>
          <w:p w14:paraId="0C0BFD66" w14:textId="77777777" w:rsidR="00D64E9A" w:rsidRPr="007E0B34" w:rsidRDefault="00D64E9A" w:rsidP="00C518AF">
            <w:pPr>
              <w:spacing w:after="0"/>
              <w:jc w:val="center"/>
              <w:rPr>
                <w:rFonts w:eastAsia="Times New Roman"/>
                <w:b/>
                <w:sz w:val="20"/>
                <w:szCs w:val="20"/>
              </w:rPr>
            </w:pPr>
            <w:r w:rsidRPr="007E0B34">
              <w:rPr>
                <w:b/>
                <w:sz w:val="20"/>
                <w:szCs w:val="20"/>
              </w:rPr>
              <w:t>0,</w:t>
            </w:r>
            <w:r w:rsidR="002179DE">
              <w:rPr>
                <w:b/>
                <w:sz w:val="20"/>
                <w:szCs w:val="20"/>
              </w:rPr>
              <w:t>79</w:t>
            </w:r>
            <w:r w:rsidRPr="007E0B34">
              <w:rPr>
                <w:b/>
                <w:sz w:val="20"/>
                <w:szCs w:val="20"/>
              </w:rPr>
              <w:t>%</w:t>
            </w:r>
          </w:p>
        </w:tc>
      </w:tr>
    </w:tbl>
    <w:p w14:paraId="2C87B3DB" w14:textId="77777777" w:rsidR="00D64E9A" w:rsidRDefault="00D64E9A" w:rsidP="00D64E9A">
      <w:pPr>
        <w:suppressAutoHyphens/>
        <w:autoSpaceDE w:val="0"/>
        <w:autoSpaceDN w:val="0"/>
        <w:adjustRightInd w:val="0"/>
        <w:spacing w:after="120"/>
        <w:rPr>
          <w:sz w:val="20"/>
          <w:szCs w:val="20"/>
        </w:rPr>
      </w:pPr>
    </w:p>
    <w:p w14:paraId="6D0BB5FE" w14:textId="77777777" w:rsidR="00D64E9A" w:rsidRPr="00D64E9A" w:rsidRDefault="00D64E9A" w:rsidP="00D64E9A">
      <w:pPr>
        <w:suppressAutoHyphens/>
        <w:autoSpaceDE w:val="0"/>
        <w:autoSpaceDN w:val="0"/>
        <w:adjustRightInd w:val="0"/>
        <w:spacing w:after="120"/>
        <w:rPr>
          <w:sz w:val="20"/>
          <w:szCs w:val="20"/>
        </w:rPr>
      </w:pPr>
    </w:p>
    <w:p w14:paraId="7551BE84" w14:textId="77777777" w:rsidR="00C000DB" w:rsidRPr="00FF31E1" w:rsidRDefault="00C000DB" w:rsidP="006D56C9">
      <w:pPr>
        <w:suppressAutoHyphens/>
        <w:autoSpaceDE w:val="0"/>
        <w:autoSpaceDN w:val="0"/>
        <w:adjustRightInd w:val="0"/>
        <w:spacing w:after="120"/>
        <w:rPr>
          <w:sz w:val="20"/>
          <w:szCs w:val="20"/>
        </w:rPr>
      </w:pPr>
    </w:p>
    <w:sectPr w:rsidR="00C000DB" w:rsidRPr="00FF31E1" w:rsidSect="002D7CED">
      <w:pgSz w:w="16838" w:h="11906" w:orient="landscape" w:code="9"/>
      <w:pgMar w:top="1134" w:right="1134" w:bottom="28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98570" w14:textId="77777777" w:rsidR="00EE5FEB" w:rsidRDefault="00EE5FEB" w:rsidP="0072684A">
      <w:pPr>
        <w:spacing w:after="0"/>
      </w:pPr>
      <w:r>
        <w:separator/>
      </w:r>
    </w:p>
  </w:endnote>
  <w:endnote w:type="continuationSeparator" w:id="0">
    <w:p w14:paraId="02CDBB9D" w14:textId="77777777" w:rsidR="00EE5FEB" w:rsidRDefault="00EE5FEB" w:rsidP="0072684A">
      <w:pPr>
        <w:spacing w:after="0"/>
      </w:pPr>
      <w:r>
        <w:continuationSeparator/>
      </w:r>
    </w:p>
  </w:endnote>
  <w:endnote w:type="continuationNotice" w:id="1">
    <w:p w14:paraId="71519139" w14:textId="77777777" w:rsidR="00EE5FEB" w:rsidRDefault="00EE5F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564552"/>
      <w:docPartObj>
        <w:docPartGallery w:val="Page Numbers (Bottom of Page)"/>
        <w:docPartUnique/>
      </w:docPartObj>
    </w:sdtPr>
    <w:sdtEndPr>
      <w:rPr>
        <w:noProof/>
      </w:rPr>
    </w:sdtEndPr>
    <w:sdtContent>
      <w:p w14:paraId="4CE95CE0" w14:textId="77777777" w:rsidR="00553764" w:rsidRDefault="00553764">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2F9CD7F7" w14:textId="77777777" w:rsidR="00553764" w:rsidRPr="00F10E07" w:rsidRDefault="00553764" w:rsidP="00F10E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95799"/>
      <w:docPartObj>
        <w:docPartGallery w:val="Page Numbers (Bottom of Page)"/>
        <w:docPartUnique/>
      </w:docPartObj>
    </w:sdtPr>
    <w:sdtEndPr>
      <w:rPr>
        <w:noProof/>
        <w:sz w:val="20"/>
        <w:szCs w:val="20"/>
      </w:rPr>
    </w:sdtEndPr>
    <w:sdtContent>
      <w:p w14:paraId="76A644F6" w14:textId="77777777" w:rsidR="00553764" w:rsidRPr="00F10E07" w:rsidRDefault="00553764">
        <w:pPr>
          <w:pStyle w:val="Footer"/>
          <w:jc w:val="center"/>
          <w:rPr>
            <w:sz w:val="20"/>
            <w:szCs w:val="20"/>
          </w:rPr>
        </w:pPr>
        <w:r w:rsidRPr="00F10E07">
          <w:rPr>
            <w:sz w:val="20"/>
            <w:szCs w:val="20"/>
          </w:rPr>
          <w:fldChar w:fldCharType="begin"/>
        </w:r>
        <w:r w:rsidRPr="00F10E07">
          <w:rPr>
            <w:sz w:val="20"/>
            <w:szCs w:val="20"/>
          </w:rPr>
          <w:instrText xml:space="preserve"> PAGE   \* MERGEFORMAT </w:instrText>
        </w:r>
        <w:r w:rsidRPr="00F10E07">
          <w:rPr>
            <w:sz w:val="20"/>
            <w:szCs w:val="20"/>
          </w:rPr>
          <w:fldChar w:fldCharType="separate"/>
        </w:r>
        <w:r w:rsidR="00764729">
          <w:rPr>
            <w:noProof/>
            <w:sz w:val="20"/>
            <w:szCs w:val="20"/>
          </w:rPr>
          <w:t>154</w:t>
        </w:r>
        <w:r w:rsidRPr="00F10E07">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706828"/>
      <w:docPartObj>
        <w:docPartGallery w:val="Page Numbers (Bottom of Page)"/>
        <w:docPartUnique/>
      </w:docPartObj>
    </w:sdtPr>
    <w:sdtEndPr>
      <w:rPr>
        <w:noProof/>
        <w:sz w:val="20"/>
        <w:szCs w:val="20"/>
      </w:rPr>
    </w:sdtEndPr>
    <w:sdtContent>
      <w:p w14:paraId="069F8D72" w14:textId="77777777" w:rsidR="00553764" w:rsidRPr="00830AE6" w:rsidRDefault="00553764" w:rsidP="00F10E07">
        <w:pPr>
          <w:pStyle w:val="Footer"/>
          <w:jc w:val="center"/>
          <w:rPr>
            <w:sz w:val="20"/>
            <w:szCs w:val="20"/>
          </w:rPr>
        </w:pPr>
        <w:r w:rsidRPr="00830AE6">
          <w:rPr>
            <w:sz w:val="20"/>
            <w:szCs w:val="20"/>
          </w:rPr>
          <w:fldChar w:fldCharType="begin"/>
        </w:r>
        <w:r w:rsidRPr="00830AE6">
          <w:rPr>
            <w:sz w:val="20"/>
            <w:szCs w:val="20"/>
          </w:rPr>
          <w:instrText xml:space="preserve"> PAGE   \* MERGEFORMAT </w:instrText>
        </w:r>
        <w:r w:rsidRPr="00830AE6">
          <w:rPr>
            <w:sz w:val="20"/>
            <w:szCs w:val="20"/>
          </w:rPr>
          <w:fldChar w:fldCharType="separate"/>
        </w:r>
        <w:r w:rsidR="00764729">
          <w:rPr>
            <w:noProof/>
            <w:sz w:val="20"/>
            <w:szCs w:val="20"/>
          </w:rPr>
          <w:t>145</w:t>
        </w:r>
        <w:r w:rsidRPr="00830AE6">
          <w:rPr>
            <w:noProof/>
            <w:sz w:val="20"/>
            <w:szCs w:val="20"/>
          </w:rPr>
          <w:fldChar w:fldCharType="end"/>
        </w:r>
      </w:p>
    </w:sdtContent>
  </w:sdt>
  <w:p w14:paraId="3201F3BB" w14:textId="77777777" w:rsidR="00553764" w:rsidRPr="007F256C" w:rsidRDefault="00553764" w:rsidP="00343412">
    <w:pPr>
      <w:pStyle w:val="Footer"/>
      <w:spacing w:before="200" w:after="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16EA" w14:textId="77777777" w:rsidR="00553764" w:rsidRPr="007F256C" w:rsidRDefault="00553764" w:rsidP="00F24404">
    <w:pPr>
      <w:pStyle w:val="Footer"/>
      <w:spacing w:before="200" w:after="0"/>
      <w:jc w:val="left"/>
      <w:rPr>
        <w:noProof/>
        <w:sz w:val="20"/>
      </w:rPr>
    </w:pPr>
    <w:r w:rsidRPr="007F256C">
      <w:rPr>
        <w:noProof/>
        <w:sz w:val="20"/>
      </w:rPr>
      <w:fldChar w:fldCharType="begin"/>
    </w:r>
    <w:r w:rsidRPr="007F256C">
      <w:rPr>
        <w:noProof/>
        <w:sz w:val="20"/>
      </w:rPr>
      <w:instrText xml:space="preserve"> PAGE   \* MERGEFORMAT </w:instrText>
    </w:r>
    <w:r w:rsidRPr="007F256C">
      <w:rPr>
        <w:noProof/>
        <w:sz w:val="20"/>
      </w:rPr>
      <w:fldChar w:fldCharType="separate"/>
    </w:r>
    <w:r>
      <w:rPr>
        <w:noProof/>
        <w:sz w:val="20"/>
      </w:rPr>
      <w:t>246</w:t>
    </w:r>
    <w:r w:rsidRPr="007F256C">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1636" w14:textId="77777777" w:rsidR="00553764" w:rsidRPr="007F256C" w:rsidRDefault="00553764" w:rsidP="00F24404">
    <w:pPr>
      <w:pStyle w:val="Footer"/>
      <w:spacing w:before="200" w:after="0"/>
      <w:jc w:val="left"/>
      <w:rPr>
        <w:noProof/>
        <w:sz w:val="20"/>
      </w:rPr>
    </w:pPr>
    <w:r w:rsidRPr="007F256C">
      <w:rPr>
        <w:noProof/>
        <w:sz w:val="20"/>
      </w:rPr>
      <w:fldChar w:fldCharType="begin"/>
    </w:r>
    <w:r w:rsidRPr="007F256C">
      <w:rPr>
        <w:noProof/>
        <w:sz w:val="20"/>
      </w:rPr>
      <w:instrText xml:space="preserve"> PAGE   \* MERGEFORMAT </w:instrText>
    </w:r>
    <w:r w:rsidRPr="007F256C">
      <w:rPr>
        <w:noProof/>
        <w:sz w:val="20"/>
      </w:rPr>
      <w:fldChar w:fldCharType="separate"/>
    </w:r>
    <w:r>
      <w:rPr>
        <w:noProof/>
        <w:sz w:val="20"/>
      </w:rPr>
      <w:t>274</w:t>
    </w:r>
    <w:r w:rsidRPr="007F256C">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585851"/>
      <w:docPartObj>
        <w:docPartGallery w:val="Page Numbers (Bottom of Page)"/>
        <w:docPartUnique/>
      </w:docPartObj>
    </w:sdtPr>
    <w:sdtEndPr>
      <w:rPr>
        <w:noProof/>
      </w:rPr>
    </w:sdtEndPr>
    <w:sdtContent>
      <w:p w14:paraId="10751B07" w14:textId="77777777" w:rsidR="00553764" w:rsidRDefault="00553764">
        <w:pPr>
          <w:pStyle w:val="Footer"/>
        </w:pPr>
        <w:r>
          <w:fldChar w:fldCharType="begin"/>
        </w:r>
        <w:r>
          <w:instrText xml:space="preserve"> PAGE   \* MERGEFORMAT </w:instrText>
        </w:r>
        <w:r>
          <w:fldChar w:fldCharType="separate"/>
        </w:r>
        <w:r>
          <w:rPr>
            <w:noProof/>
          </w:rPr>
          <w:t>237</w:t>
        </w:r>
        <w:r>
          <w:rPr>
            <w:noProof/>
          </w:rPr>
          <w:fldChar w:fldCharType="end"/>
        </w:r>
      </w:p>
    </w:sdtContent>
  </w:sdt>
  <w:p w14:paraId="779A9CE1" w14:textId="77777777" w:rsidR="00553764" w:rsidRPr="007F256C" w:rsidRDefault="00553764" w:rsidP="00343412">
    <w:pPr>
      <w:pStyle w:val="Footer"/>
      <w:spacing w:before="200" w:after="0"/>
      <w:jc w:val="lef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390661"/>
      <w:docPartObj>
        <w:docPartGallery w:val="Page Numbers (Bottom of Page)"/>
        <w:docPartUnique/>
      </w:docPartObj>
    </w:sdtPr>
    <w:sdtEndPr>
      <w:rPr>
        <w:noProof/>
      </w:rPr>
    </w:sdtEndPr>
    <w:sdtContent>
      <w:p w14:paraId="7598172E" w14:textId="77777777" w:rsidR="00553764" w:rsidRDefault="00553764" w:rsidP="00A57F17">
        <w:pPr>
          <w:pStyle w:val="Footer"/>
          <w:jc w:val="right"/>
        </w:pPr>
        <w:r>
          <w:fldChar w:fldCharType="begin"/>
        </w:r>
        <w:r>
          <w:instrText xml:space="preserve"> PAGE   \* MERGEFORMAT </w:instrText>
        </w:r>
        <w:r>
          <w:fldChar w:fldCharType="separate"/>
        </w:r>
        <w:r w:rsidR="00764729">
          <w:rPr>
            <w:noProof/>
          </w:rPr>
          <w:t>151</w:t>
        </w:r>
        <w:r>
          <w:rPr>
            <w:noProof/>
          </w:rPr>
          <w:fldChar w:fldCharType="end"/>
        </w:r>
      </w:p>
    </w:sdtContent>
  </w:sdt>
  <w:p w14:paraId="66BE3E6A" w14:textId="77777777" w:rsidR="00553764" w:rsidRPr="007F256C" w:rsidRDefault="00553764" w:rsidP="00343412">
    <w:pPr>
      <w:pStyle w:val="Footer"/>
      <w:spacing w:before="200" w:after="0"/>
      <w:jc w:val="left"/>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434648"/>
      <w:docPartObj>
        <w:docPartGallery w:val="Page Numbers (Bottom of Page)"/>
        <w:docPartUnique/>
      </w:docPartObj>
    </w:sdtPr>
    <w:sdtEndPr>
      <w:rPr>
        <w:noProof/>
        <w:sz w:val="20"/>
        <w:szCs w:val="20"/>
      </w:rPr>
    </w:sdtEndPr>
    <w:sdtContent>
      <w:p w14:paraId="1A7D17A9" w14:textId="77777777" w:rsidR="00553764" w:rsidRPr="00A57F17" w:rsidRDefault="00553764" w:rsidP="002E39DE">
        <w:pPr>
          <w:pStyle w:val="Footer"/>
          <w:jc w:val="center"/>
          <w:rPr>
            <w:sz w:val="20"/>
            <w:szCs w:val="20"/>
          </w:rPr>
        </w:pPr>
        <w:r w:rsidRPr="00A57F17">
          <w:rPr>
            <w:sz w:val="20"/>
            <w:szCs w:val="20"/>
          </w:rPr>
          <w:fldChar w:fldCharType="begin"/>
        </w:r>
        <w:r w:rsidRPr="00A57F17">
          <w:rPr>
            <w:sz w:val="20"/>
            <w:szCs w:val="20"/>
          </w:rPr>
          <w:instrText xml:space="preserve"> PAGE   \* MERGEFORMAT </w:instrText>
        </w:r>
        <w:r w:rsidRPr="00A57F17">
          <w:rPr>
            <w:sz w:val="20"/>
            <w:szCs w:val="20"/>
          </w:rPr>
          <w:fldChar w:fldCharType="separate"/>
        </w:r>
        <w:r w:rsidR="00764729">
          <w:rPr>
            <w:noProof/>
            <w:sz w:val="20"/>
            <w:szCs w:val="20"/>
          </w:rPr>
          <w:t>176</w:t>
        </w:r>
        <w:r w:rsidRPr="00A57F17">
          <w:rPr>
            <w:noProof/>
            <w:sz w:val="20"/>
            <w:szCs w:val="20"/>
          </w:rPr>
          <w:fldChar w:fldCharType="end"/>
        </w:r>
      </w:p>
    </w:sdtContent>
  </w:sdt>
  <w:p w14:paraId="4C017101" w14:textId="77777777" w:rsidR="00553764" w:rsidRPr="007F256C" w:rsidRDefault="00553764" w:rsidP="00343412">
    <w:pPr>
      <w:pStyle w:val="Footer"/>
      <w:spacing w:before="200" w:after="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08B35" w14:textId="77777777" w:rsidR="00EE5FEB" w:rsidRDefault="00EE5FEB" w:rsidP="0072684A">
      <w:pPr>
        <w:spacing w:after="0"/>
      </w:pPr>
      <w:r>
        <w:separator/>
      </w:r>
    </w:p>
  </w:footnote>
  <w:footnote w:type="continuationSeparator" w:id="0">
    <w:p w14:paraId="47F09D25" w14:textId="77777777" w:rsidR="00EE5FEB" w:rsidRDefault="00EE5FEB" w:rsidP="0072684A">
      <w:pPr>
        <w:spacing w:after="0"/>
      </w:pPr>
      <w:r>
        <w:continuationSeparator/>
      </w:r>
    </w:p>
  </w:footnote>
  <w:footnote w:type="continuationNotice" w:id="1">
    <w:p w14:paraId="716451A0" w14:textId="77777777" w:rsidR="00EE5FEB" w:rsidRDefault="00EE5FEB">
      <w:pPr>
        <w:spacing w:after="0"/>
      </w:pPr>
    </w:p>
  </w:footnote>
  <w:footnote w:id="2">
    <w:p w14:paraId="720F6950" w14:textId="77777777" w:rsidR="00553764" w:rsidRPr="00BE523A" w:rsidRDefault="00553764" w:rsidP="00076F42">
      <w:pPr>
        <w:pStyle w:val="FootnoteText"/>
        <w:spacing w:after="60"/>
      </w:pPr>
      <w:r w:rsidRPr="001C67CC">
        <w:rPr>
          <w:rStyle w:val="FootnoteReference"/>
        </w:rPr>
        <w:footnoteRef/>
      </w:r>
      <w:r w:rsidRPr="001C67CC">
        <w:t xml:space="preserve"> Базисната инфлация включва услуги и неенергийни промишлени стоки.</w:t>
      </w:r>
    </w:p>
  </w:footnote>
  <w:footnote w:id="3">
    <w:p w14:paraId="54482051" w14:textId="77777777" w:rsidR="00553764" w:rsidRPr="00054E01" w:rsidRDefault="00553764" w:rsidP="005F7F80">
      <w:pPr>
        <w:pStyle w:val="FootnoteText"/>
        <w:ind w:left="90" w:hanging="104"/>
      </w:pPr>
      <w:r>
        <w:rPr>
          <w:rStyle w:val="FootnoteReference"/>
        </w:rPr>
        <w:footnoteRef/>
      </w:r>
      <w:r>
        <w:t xml:space="preserve"> Изчислява се</w:t>
      </w:r>
      <w:r w:rsidRPr="00853168">
        <w:t xml:space="preserve"> сред</w:t>
      </w:r>
      <w:r>
        <w:t>е</w:t>
      </w:r>
      <w:r w:rsidRPr="00853168">
        <w:t>н</w:t>
      </w:r>
      <w:r>
        <w:t xml:space="preserve"> курс USD/EUR </w:t>
      </w:r>
      <w:r w:rsidRPr="00853168">
        <w:t>с дневни данни за последните десет работни дни към датата на изготвяне на допусканията</w:t>
      </w:r>
      <w:r>
        <w:t>, който се</w:t>
      </w:r>
      <w:r w:rsidRPr="00853168">
        <w:t xml:space="preserve"> фиксира за дните до края на прогнозния хоризонт.</w:t>
      </w:r>
    </w:p>
  </w:footnote>
  <w:footnote w:id="4">
    <w:p w14:paraId="6E0C9FCF" w14:textId="77777777" w:rsidR="00553764" w:rsidRDefault="00553764">
      <w:pPr>
        <w:pStyle w:val="FootnoteText"/>
      </w:pPr>
      <w:r>
        <w:rPr>
          <w:rStyle w:val="FootnoteReference"/>
        </w:rPr>
        <w:footnoteRef/>
      </w:r>
      <w:r>
        <w:t xml:space="preserve"> Международен валутен фонд.</w:t>
      </w:r>
    </w:p>
  </w:footnote>
  <w:footnote w:id="5">
    <w:p w14:paraId="755BC6FA" w14:textId="77777777" w:rsidR="00553764" w:rsidRDefault="00553764">
      <w:pPr>
        <w:pStyle w:val="FootnoteText"/>
      </w:pPr>
      <w:r>
        <w:rPr>
          <w:rStyle w:val="FootnoteReference"/>
        </w:rPr>
        <w:footnoteRef/>
      </w:r>
      <w:r>
        <w:t xml:space="preserve"> Световна банка.</w:t>
      </w:r>
    </w:p>
  </w:footnote>
  <w:footnote w:id="6">
    <w:p w14:paraId="5CED4B8C" w14:textId="77777777" w:rsidR="00553764" w:rsidRDefault="00553764">
      <w:pPr>
        <w:pStyle w:val="FootnoteText"/>
      </w:pPr>
      <w:r>
        <w:rPr>
          <w:rStyle w:val="FootnoteReference"/>
        </w:rPr>
        <w:footnoteRef/>
      </w:r>
      <w:r>
        <w:t xml:space="preserve"> Европейска комисия.</w:t>
      </w:r>
    </w:p>
  </w:footnote>
  <w:footnote w:id="7">
    <w:p w14:paraId="167814E6" w14:textId="77777777" w:rsidR="00553764" w:rsidRDefault="00553764">
      <w:pPr>
        <w:pStyle w:val="FootnoteText"/>
      </w:pPr>
      <w:r>
        <w:rPr>
          <w:rStyle w:val="FootnoteReference"/>
        </w:rPr>
        <w:footnoteRef/>
      </w:r>
      <w:r>
        <w:t xml:space="preserve"> </w:t>
      </w:r>
      <w:r w:rsidRPr="00AA2630">
        <w:t>Статистическа служба към Европейската комисия</w:t>
      </w:r>
      <w:r>
        <w:t>.</w:t>
      </w:r>
    </w:p>
  </w:footnote>
  <w:footnote w:id="8">
    <w:p w14:paraId="17C689A2" w14:textId="77777777" w:rsidR="00553764" w:rsidRDefault="00553764">
      <w:pPr>
        <w:pStyle w:val="FootnoteText"/>
      </w:pPr>
      <w:r>
        <w:rPr>
          <w:rStyle w:val="FootnoteReference"/>
        </w:rPr>
        <w:footnoteRef/>
      </w:r>
      <w:r>
        <w:t xml:space="preserve"> Европейска централна банка.</w:t>
      </w:r>
    </w:p>
  </w:footnote>
  <w:footnote w:id="9">
    <w:p w14:paraId="369AC9AB" w14:textId="77777777" w:rsidR="00553764" w:rsidRDefault="00553764">
      <w:pPr>
        <w:pStyle w:val="FootnoteText"/>
      </w:pPr>
      <w:r>
        <w:rPr>
          <w:rStyle w:val="FootnoteReference"/>
        </w:rPr>
        <w:footnoteRef/>
      </w:r>
      <w:r>
        <w:t xml:space="preserve"> Министерство на финансите.</w:t>
      </w:r>
    </w:p>
  </w:footnote>
  <w:footnote w:id="10">
    <w:p w14:paraId="6B377957" w14:textId="77777777" w:rsidR="00553764" w:rsidRDefault="00553764">
      <w:pPr>
        <w:pStyle w:val="FootnoteText"/>
      </w:pPr>
      <w:r>
        <w:rPr>
          <w:rStyle w:val="FootnoteReference"/>
        </w:rPr>
        <w:footnoteRef/>
      </w:r>
      <w:r>
        <w:t xml:space="preserve"> </w:t>
      </w:r>
      <w:r w:rsidRPr="00CE45AD">
        <w:t>Система на националните сметки.</w:t>
      </w:r>
    </w:p>
  </w:footnote>
  <w:footnote w:id="11">
    <w:p w14:paraId="4A36DEBD" w14:textId="77777777" w:rsidR="00553764" w:rsidRDefault="00553764">
      <w:pPr>
        <w:pStyle w:val="FootnoteText"/>
      </w:pPr>
      <w:r>
        <w:rPr>
          <w:rStyle w:val="FootnoteReference"/>
        </w:rPr>
        <w:footnoteRef/>
      </w:r>
      <w:r>
        <w:t xml:space="preserve"> Национален статистически институт.</w:t>
      </w:r>
    </w:p>
  </w:footnote>
  <w:footnote w:id="12">
    <w:p w14:paraId="360BD44C" w14:textId="77777777" w:rsidR="00553764" w:rsidRDefault="00553764">
      <w:pPr>
        <w:pStyle w:val="FootnoteText"/>
      </w:pPr>
      <w:r>
        <w:rPr>
          <w:rStyle w:val="FootnoteReference"/>
        </w:rPr>
        <w:footnoteRef/>
      </w:r>
      <w:r>
        <w:t xml:space="preserve"> Българска народна банка.</w:t>
      </w:r>
    </w:p>
  </w:footnote>
  <w:footnote w:id="13">
    <w:p w14:paraId="7EDC4711" w14:textId="77777777" w:rsidR="00553764" w:rsidRDefault="00553764" w:rsidP="00A1581C">
      <w:pPr>
        <w:pStyle w:val="FootnoteText"/>
      </w:pPr>
      <w:r>
        <w:rPr>
          <w:rStyle w:val="FootnoteReference"/>
        </w:rPr>
        <w:footnoteRef/>
      </w:r>
      <w:r>
        <w:t xml:space="preserve">  В прогнозния период се очаква реализирането на инвестиции във военно оборудване. Доставката на военна техника ще се отрази пряко в еквивалентно нарастване на вноса. Съответно, в годините на реализиране на военните инвестиции (2025 г. и 2027 г.)  се очаква ускорено нарастване на вноса на стоки, а през 2026 г. и 2028 г. ще има забавени темпове, повлияни както от липсата на доставки, така и от ефекта на по-високата база в предходната година.</w:t>
      </w:r>
    </w:p>
  </w:footnote>
  <w:footnote w:id="14">
    <w:p w14:paraId="639F40BF" w14:textId="77777777" w:rsidR="00553764" w:rsidRDefault="00553764" w:rsidP="00EF5785">
      <w:pPr>
        <w:pStyle w:val="FootnoteText"/>
      </w:pPr>
      <w:r>
        <w:rPr>
          <w:rStyle w:val="FootnoteReference"/>
        </w:rPr>
        <w:footnoteRef/>
      </w:r>
      <w:r>
        <w:t xml:space="preserve">  </w:t>
      </w:r>
      <w:r w:rsidRPr="00091B55">
        <w:rPr>
          <w:sz w:val="18"/>
          <w:szCs w:val="18"/>
        </w:rPr>
        <w:t>Havik, K., &amp; Kieran Mc Morrow, K., &amp; Fabrice Orlandi, F., Christophe Planas, C., Rafal Raciborski, R., Werner Roeger, W., Alessandro Rossi, A., Anna Thum-Thysen, A. &amp; Valerie Vandermeulen, V.,"The Production Function Methodology for Calculating Potential Growth Rates &amp; Output Gaps," European Economy – Economic Papers 535, 2014.</w:t>
      </w:r>
    </w:p>
  </w:footnote>
  <w:footnote w:id="15">
    <w:p w14:paraId="6F83DD0A" w14:textId="77777777" w:rsidR="00553764" w:rsidRPr="00B74041" w:rsidRDefault="00553764" w:rsidP="00B74041">
      <w:pPr>
        <w:pStyle w:val="FootnoteText"/>
        <w:rPr>
          <w:iCs/>
        </w:rPr>
      </w:pPr>
      <w:r w:rsidRPr="00C33CBF">
        <w:rPr>
          <w:rStyle w:val="FootnoteReference"/>
          <w:sz w:val="20"/>
        </w:rPr>
        <w:footnoteRef/>
      </w:r>
      <w:r w:rsidRPr="00C33CBF">
        <w:t xml:space="preserve"> </w:t>
      </w:r>
      <w:r>
        <w:tab/>
      </w:r>
      <w:r w:rsidRPr="00E47606">
        <w:rPr>
          <w:iCs/>
        </w:rPr>
        <w:t xml:space="preserve">Поради закръгление </w:t>
      </w:r>
      <w:r w:rsidRPr="00D8768E">
        <w:rPr>
          <w:iCs/>
          <w:lang w:val="ru-RU"/>
        </w:rPr>
        <w:t>(</w:t>
      </w:r>
      <w:r w:rsidRPr="00E47606">
        <w:rPr>
          <w:iCs/>
        </w:rPr>
        <w:t xml:space="preserve">в млн. </w:t>
      </w:r>
      <w:r>
        <w:rPr>
          <w:iCs/>
        </w:rPr>
        <w:t>евро</w:t>
      </w:r>
      <w:r w:rsidRPr="00D8768E">
        <w:rPr>
          <w:iCs/>
          <w:lang w:val="ru-RU"/>
        </w:rPr>
        <w:t xml:space="preserve"> </w:t>
      </w:r>
      <w:r>
        <w:rPr>
          <w:iCs/>
        </w:rPr>
        <w:t>и като процент от БВП</w:t>
      </w:r>
      <w:r w:rsidRPr="00D8768E">
        <w:rPr>
          <w:iCs/>
          <w:lang w:val="ru-RU"/>
        </w:rPr>
        <w:t>)</w:t>
      </w:r>
      <w:r w:rsidRPr="00E47606">
        <w:rPr>
          <w:iCs/>
        </w:rPr>
        <w:t xml:space="preserve"> някои сумарни позиции в таблиците и графиките в актуализираната бюджетна прогноза </w:t>
      </w:r>
      <w:r>
        <w:rPr>
          <w:iCs/>
        </w:rPr>
        <w:t xml:space="preserve">за периода </w:t>
      </w:r>
      <w:r w:rsidRPr="00E47606">
        <w:rPr>
          <w:iCs/>
        </w:rPr>
        <w:t>20</w:t>
      </w:r>
      <w:r>
        <w:rPr>
          <w:iCs/>
        </w:rPr>
        <w:t xml:space="preserve">26-2028 г. </w:t>
      </w:r>
      <w:r w:rsidRPr="00E47606">
        <w:rPr>
          <w:iCs/>
        </w:rPr>
        <w:t>и приложенията към нея не се изчерпват от съставните им числа.</w:t>
      </w:r>
    </w:p>
  </w:footnote>
  <w:footnote w:id="16">
    <w:p w14:paraId="30C3B9ED" w14:textId="77777777" w:rsidR="00553764" w:rsidRPr="00327A98" w:rsidRDefault="00553764" w:rsidP="002F4777">
      <w:pPr>
        <w:pStyle w:val="FootnoteText"/>
        <w:spacing w:before="60" w:after="0"/>
        <w:ind w:left="288" w:hanging="288"/>
      </w:pPr>
      <w:r w:rsidRPr="00327A98">
        <w:rPr>
          <w:rStyle w:val="FootnoteReference"/>
          <w:sz w:val="20"/>
        </w:rPr>
        <w:footnoteRef/>
      </w:r>
      <w:r w:rsidRPr="00327A98">
        <w:t xml:space="preserve"> </w:t>
      </w:r>
      <w:r w:rsidRPr="00BB78F4">
        <w:t xml:space="preserve"> </w:t>
      </w:r>
      <w:r w:rsidRPr="00327A98">
        <w:t xml:space="preserve"> </w:t>
      </w:r>
      <w:r w:rsidRPr="00327A98">
        <w:rPr>
          <w:iCs/>
        </w:rPr>
        <w:t xml:space="preserve">В таблицата са включени сметки за средства от ЕС на: </w:t>
      </w:r>
      <w:r>
        <w:rPr>
          <w:iCs/>
        </w:rPr>
        <w:t>ДФ „Земеделие“; Национален фонд</w:t>
      </w:r>
      <w:r w:rsidRPr="00327A98">
        <w:rPr>
          <w:iCs/>
        </w:rPr>
        <w:t xml:space="preserve"> и </w:t>
      </w:r>
      <w:r>
        <w:rPr>
          <w:iCs/>
        </w:rPr>
        <w:t>д</w:t>
      </w:r>
      <w:r w:rsidRPr="00327A98">
        <w:rPr>
          <w:iCs/>
        </w:rPr>
        <w:t xml:space="preserve">ругите сметки за средства от ЕС и средства по други международни програми и договори, за които се прилага режимът на сметките за средства от ЕС. </w:t>
      </w:r>
    </w:p>
  </w:footnote>
  <w:footnote w:id="17">
    <w:p w14:paraId="5FC08526" w14:textId="77777777" w:rsidR="00553764" w:rsidRPr="00327A98" w:rsidRDefault="00553764" w:rsidP="004A42BF">
      <w:pPr>
        <w:pStyle w:val="FootnoteText"/>
        <w:spacing w:before="60" w:after="0"/>
        <w:ind w:left="180" w:hanging="180"/>
      </w:pPr>
      <w:r w:rsidRPr="00327A98">
        <w:rPr>
          <w:rStyle w:val="FootnoteReference"/>
          <w:sz w:val="20"/>
        </w:rPr>
        <w:footnoteRef/>
      </w:r>
      <w:r w:rsidRPr="00327A98">
        <w:t xml:space="preserve"> </w:t>
      </w:r>
      <w:r>
        <w:t xml:space="preserve">КОФОГ - </w:t>
      </w:r>
      <w:r w:rsidRPr="00FF29EA">
        <w:t>класификация на функциите на държавно управление</w:t>
      </w:r>
      <w:r>
        <w:t xml:space="preserve"> (</w:t>
      </w:r>
      <w:r w:rsidRPr="00FF29EA">
        <w:rPr>
          <w:iCs/>
        </w:rPr>
        <w:t>Classification of the Functions of Government</w:t>
      </w:r>
      <w:r>
        <w:rPr>
          <w:iCs/>
        </w:rPr>
        <w:t>).</w:t>
      </w:r>
    </w:p>
  </w:footnote>
  <w:footnote w:id="18">
    <w:p w14:paraId="77C0EAA7" w14:textId="77777777" w:rsidR="00553764" w:rsidRPr="00AE71CA" w:rsidRDefault="00553764" w:rsidP="00BC1E8C">
      <w:pPr>
        <w:pStyle w:val="FootnoteText"/>
        <w:rPr>
          <w:iCs/>
        </w:rPr>
      </w:pPr>
      <w:r w:rsidRPr="00AE71CA">
        <w:rPr>
          <w:rStyle w:val="FootnoteReference"/>
          <w:sz w:val="20"/>
        </w:rPr>
        <w:footnoteRef/>
      </w:r>
      <w:r w:rsidRPr="00AE71CA">
        <w:t xml:space="preserve"> </w:t>
      </w:r>
      <w:r w:rsidRPr="00AE71CA">
        <w:tab/>
      </w:r>
      <w:r w:rsidRPr="00AE71CA">
        <w:rPr>
          <w:iCs/>
        </w:rPr>
        <w:t xml:space="preserve">Поради закръгление </w:t>
      </w:r>
      <w:r w:rsidRPr="00AE71CA">
        <w:rPr>
          <w:iCs/>
          <w:lang w:val="ru-RU"/>
        </w:rPr>
        <w:t>(</w:t>
      </w:r>
      <w:r w:rsidRPr="00AE71CA">
        <w:rPr>
          <w:iCs/>
        </w:rPr>
        <w:t xml:space="preserve">в млн. </w:t>
      </w:r>
      <w:r>
        <w:rPr>
          <w:iCs/>
        </w:rPr>
        <w:t>евро</w:t>
      </w:r>
      <w:r w:rsidRPr="00AE71CA">
        <w:rPr>
          <w:iCs/>
          <w:lang w:val="ru-RU"/>
        </w:rPr>
        <w:t xml:space="preserve"> </w:t>
      </w:r>
      <w:r w:rsidRPr="00AE71CA">
        <w:rPr>
          <w:iCs/>
        </w:rPr>
        <w:t>и като процент от БВП</w:t>
      </w:r>
      <w:r w:rsidRPr="00AE71CA">
        <w:rPr>
          <w:iCs/>
          <w:lang w:val="ru-RU"/>
        </w:rPr>
        <w:t>)</w:t>
      </w:r>
      <w:r w:rsidRPr="00AE71CA">
        <w:rPr>
          <w:iCs/>
        </w:rPr>
        <w:t xml:space="preserve"> някои сумарни позиции в таблиците и графиките в актуализираната б</w:t>
      </w:r>
      <w:r>
        <w:rPr>
          <w:iCs/>
        </w:rPr>
        <w:t>юджетна прогноза за периода 2026-2028</w:t>
      </w:r>
      <w:r w:rsidRPr="00AE71CA">
        <w:rPr>
          <w:iCs/>
        </w:rPr>
        <w:t xml:space="preserve"> г. и приложенията към нея не се изчерпват от съставните им числа.</w:t>
      </w:r>
    </w:p>
  </w:footnote>
  <w:footnote w:id="19">
    <w:p w14:paraId="3EF6FF6E" w14:textId="77777777" w:rsidR="00553764" w:rsidRDefault="00553764">
      <w:pPr>
        <w:pStyle w:val="FootnoteText"/>
      </w:pPr>
      <w:r>
        <w:rPr>
          <w:rStyle w:val="FootnoteReference"/>
        </w:rPr>
        <w:footnoteRef/>
      </w:r>
      <w:r>
        <w:t xml:space="preserve"> Въглероден диоксид.</w:t>
      </w:r>
    </w:p>
  </w:footnote>
  <w:footnote w:id="20">
    <w:p w14:paraId="24B1F50E" w14:textId="77777777" w:rsidR="00553764" w:rsidRPr="00AE71CA" w:rsidRDefault="00553764" w:rsidP="00F55E61">
      <w:pPr>
        <w:pStyle w:val="FootnoteText"/>
        <w:ind w:left="90" w:hanging="90"/>
      </w:pPr>
      <w:r>
        <w:rPr>
          <w:rStyle w:val="FootnoteReference"/>
        </w:rPr>
        <w:footnoteRef/>
      </w:r>
      <w:r>
        <w:t xml:space="preserve">   </w:t>
      </w:r>
      <w:r w:rsidRPr="00AE71CA">
        <w:t xml:space="preserve">Директива </w:t>
      </w:r>
      <w:r w:rsidRPr="00085933">
        <w:t xml:space="preserve">(ЕС) 2024/1265 на Съвета от 29 април 2024 година за изменение на Директива </w:t>
      </w:r>
      <w:r w:rsidRPr="00AE71CA">
        <w:t>2011/85/ЕС на Съвета от 8 ноември 2011 г. относно изискванията за бюджетните рамки на държавите членки (</w:t>
      </w:r>
      <w:hyperlink r:id="rId1" w:history="1">
        <w:r w:rsidRPr="00402B2E">
          <w:rPr>
            <w:rStyle w:val="Hyperlink"/>
          </w:rPr>
          <w:t>https://eur-lex.europa.eu/legal-content/BG/TXT/PDF/?uri=OJ:L_202401265</w:t>
        </w:r>
      </w:hyperlink>
      <w:hyperlink w:history="1"/>
      <w:r w:rsidRPr="00AE71CA">
        <w:rPr>
          <w:lang w:val="ru-RU"/>
        </w:rPr>
        <w:t>).</w:t>
      </w:r>
      <w:r w:rsidRPr="00AE71CA">
        <w:t xml:space="preserve"> Съгласно член 14, параграф 3 от тази директива: </w:t>
      </w:r>
      <w:r w:rsidRPr="00AE71CA">
        <w:rPr>
          <w:i/>
        </w:rPr>
        <w:t xml:space="preserve">„За всички подсектори на сектор „Държавно управление“ държавите членки публикуват съответна информация за условните задължения с потенциално значително въздействие върху публичните бюджети, включително държавни гаранции, необслужвани кредити и задължения, произтичащи от дейността на публични дружества, както и техния размер. </w:t>
      </w:r>
      <w:r w:rsidRPr="005F01E5">
        <w:rPr>
          <w:i/>
        </w:rPr>
        <w:t>Държавите членки публикуват също, доколкото е възможно, информация за условните задължения, свързани с бедствия и климата. В публикуваната информация се взема предвид информацията за фискалните разходи, възникнали вследствие на бедствия и сътресения, свързани с климата. Държавите членки публикуват информация за дяловете на сектор „Държавно управление“ в капитала на частни и публични дружества, които възлизат на значими в икономически план суми.“</w:t>
      </w:r>
      <w:r w:rsidRPr="00AE71CA">
        <w:rPr>
          <w:i/>
          <w:iCs/>
        </w:rPr>
        <w:t>.</w:t>
      </w:r>
      <w:r>
        <w:t xml:space="preserve"> </w:t>
      </w:r>
    </w:p>
    <w:p w14:paraId="5A12E89C" w14:textId="77777777" w:rsidR="00553764" w:rsidRDefault="00553764" w:rsidP="00F55E61">
      <w:pPr>
        <w:pStyle w:val="FootnoteText"/>
      </w:pPr>
    </w:p>
  </w:footnote>
  <w:footnote w:id="21">
    <w:p w14:paraId="2272904D" w14:textId="77777777" w:rsidR="00553764" w:rsidRDefault="00553764" w:rsidP="00F55E61">
      <w:pPr>
        <w:pStyle w:val="FootnoteText"/>
        <w:jc w:val="left"/>
        <w:rPr>
          <w:rStyle w:val="Hyperlink"/>
        </w:rPr>
      </w:pPr>
      <w:r>
        <w:rPr>
          <w:rStyle w:val="FootnoteReference"/>
        </w:rPr>
        <w:footnoteRef/>
      </w:r>
      <w:r>
        <w:t xml:space="preserve">   </w:t>
      </w:r>
      <w:r w:rsidRPr="00FC36AE">
        <w:t xml:space="preserve">Съгласно </w:t>
      </w:r>
      <w:r>
        <w:t>данни от Евростат,</w:t>
      </w:r>
      <w:r w:rsidRPr="00202877">
        <w:t xml:space="preserve"> </w:t>
      </w:r>
      <w:hyperlink r:id="rId2" w:history="1">
        <w:r w:rsidRPr="00537514">
          <w:rPr>
            <w:rStyle w:val="Hyperlink"/>
            <w:lang w:val="en-US"/>
          </w:rPr>
          <w:t>https</w:t>
        </w:r>
        <w:r w:rsidRPr="00202877">
          <w:rPr>
            <w:rStyle w:val="Hyperlink"/>
          </w:rPr>
          <w:t>://</w:t>
        </w:r>
        <w:r w:rsidRPr="00537514">
          <w:rPr>
            <w:rStyle w:val="Hyperlink"/>
            <w:lang w:val="en-US"/>
          </w:rPr>
          <w:t>ec</w:t>
        </w:r>
        <w:r w:rsidRPr="00202877">
          <w:rPr>
            <w:rStyle w:val="Hyperlink"/>
          </w:rPr>
          <w:t>.</w:t>
        </w:r>
        <w:r w:rsidRPr="00537514">
          <w:rPr>
            <w:rStyle w:val="Hyperlink"/>
            <w:lang w:val="en-US"/>
          </w:rPr>
          <w:t>europa</w:t>
        </w:r>
        <w:r w:rsidRPr="00202877">
          <w:rPr>
            <w:rStyle w:val="Hyperlink"/>
          </w:rPr>
          <w:t>.</w:t>
        </w:r>
        <w:r w:rsidRPr="00537514">
          <w:rPr>
            <w:rStyle w:val="Hyperlink"/>
            <w:lang w:val="en-US"/>
          </w:rPr>
          <w:t>eu</w:t>
        </w:r>
        <w:r w:rsidRPr="00202877">
          <w:rPr>
            <w:rStyle w:val="Hyperlink"/>
          </w:rPr>
          <w:t>/</w:t>
        </w:r>
        <w:r w:rsidRPr="00537514">
          <w:rPr>
            <w:rStyle w:val="Hyperlink"/>
            <w:lang w:val="en-US"/>
          </w:rPr>
          <w:t>eurostat</w:t>
        </w:r>
        <w:r w:rsidRPr="00202877">
          <w:rPr>
            <w:rStyle w:val="Hyperlink"/>
          </w:rPr>
          <w:t>/</w:t>
        </w:r>
        <w:r w:rsidRPr="00537514">
          <w:rPr>
            <w:rStyle w:val="Hyperlink"/>
            <w:lang w:val="en-US"/>
          </w:rPr>
          <w:t>databrowser</w:t>
        </w:r>
        <w:r w:rsidRPr="00202877">
          <w:rPr>
            <w:rStyle w:val="Hyperlink"/>
          </w:rPr>
          <w:t>/</w:t>
        </w:r>
        <w:r w:rsidRPr="00537514">
          <w:rPr>
            <w:rStyle w:val="Hyperlink"/>
            <w:lang w:val="en-US"/>
          </w:rPr>
          <w:t>view</w:t>
        </w:r>
        <w:r w:rsidRPr="00202877">
          <w:rPr>
            <w:rStyle w:val="Hyperlink"/>
          </w:rPr>
          <w:t>/</w:t>
        </w:r>
        <w:r w:rsidRPr="00537514">
          <w:rPr>
            <w:rStyle w:val="Hyperlink"/>
            <w:lang w:val="en-US"/>
          </w:rPr>
          <w:t>gov</w:t>
        </w:r>
        <w:r w:rsidRPr="00202877">
          <w:rPr>
            <w:rStyle w:val="Hyperlink"/>
          </w:rPr>
          <w:t>_</w:t>
        </w:r>
        <w:r w:rsidRPr="00537514">
          <w:rPr>
            <w:rStyle w:val="Hyperlink"/>
            <w:lang w:val="en-US"/>
          </w:rPr>
          <w:t>cl</w:t>
        </w:r>
        <w:r w:rsidRPr="00202877">
          <w:rPr>
            <w:rStyle w:val="Hyperlink"/>
          </w:rPr>
          <w:t>_</w:t>
        </w:r>
        <w:r w:rsidRPr="00537514">
          <w:rPr>
            <w:rStyle w:val="Hyperlink"/>
            <w:lang w:val="en-US"/>
          </w:rPr>
          <w:t>liab</w:t>
        </w:r>
        <w:r w:rsidRPr="00202877">
          <w:rPr>
            <w:rStyle w:val="Hyperlink"/>
          </w:rPr>
          <w:t>__</w:t>
        </w:r>
        <w:r w:rsidRPr="00537514">
          <w:rPr>
            <w:rStyle w:val="Hyperlink"/>
            <w:lang w:val="en-US"/>
          </w:rPr>
          <w:t>custom</w:t>
        </w:r>
        <w:r w:rsidRPr="00202877">
          <w:rPr>
            <w:rStyle w:val="Hyperlink"/>
          </w:rPr>
          <w:t>_18387252/</w:t>
        </w:r>
        <w:r w:rsidRPr="00537514">
          <w:rPr>
            <w:rStyle w:val="Hyperlink"/>
            <w:lang w:val="en-US"/>
          </w:rPr>
          <w:t>default</w:t>
        </w:r>
        <w:r w:rsidRPr="00202877">
          <w:rPr>
            <w:rStyle w:val="Hyperlink"/>
          </w:rPr>
          <w:t>/</w:t>
        </w:r>
        <w:r w:rsidRPr="00537514">
          <w:rPr>
            <w:rStyle w:val="Hyperlink"/>
            <w:lang w:val="en-US"/>
          </w:rPr>
          <w:t>table</w:t>
        </w:r>
      </w:hyperlink>
      <w:r w:rsidRPr="00202877">
        <w:t>.</w:t>
      </w:r>
    </w:p>
    <w:p w14:paraId="20169578" w14:textId="77777777" w:rsidR="00553764" w:rsidRDefault="00553764" w:rsidP="00F55E61">
      <w:pPr>
        <w:pStyle w:val="FootnoteText"/>
        <w:ind w:left="0" w:firstLine="0"/>
      </w:pPr>
    </w:p>
  </w:footnote>
  <w:footnote w:id="22">
    <w:p w14:paraId="1D70D89D" w14:textId="77777777" w:rsidR="00553764" w:rsidRDefault="00553764" w:rsidP="00523C36">
      <w:pPr>
        <w:pStyle w:val="FootnoteText"/>
      </w:pPr>
      <w:r>
        <w:rPr>
          <w:rStyle w:val="FootnoteReference"/>
        </w:rPr>
        <w:footnoteRef/>
      </w:r>
      <w:r>
        <w:t xml:space="preserve"> Организация за икономическо сътрудничество и развитие.</w:t>
      </w:r>
    </w:p>
  </w:footnote>
  <w:footnote w:id="23">
    <w:p w14:paraId="0D32C579" w14:textId="77777777" w:rsidR="00553764" w:rsidRDefault="00553764" w:rsidP="000135AF">
      <w:pPr>
        <w:pStyle w:val="FootnoteText"/>
      </w:pPr>
      <w:r>
        <w:rPr>
          <w:rStyle w:val="FootnoteReference"/>
        </w:rPr>
        <w:footnoteRef/>
      </w:r>
      <w:r>
        <w:t xml:space="preserve"> Закон за данъците върху доходите на физическите лица.</w:t>
      </w:r>
    </w:p>
  </w:footnote>
  <w:footnote w:id="24">
    <w:p w14:paraId="6FCE5C8A" w14:textId="77777777" w:rsidR="00553764" w:rsidRDefault="00553764" w:rsidP="00E02968">
      <w:pPr>
        <w:pStyle w:val="FootnoteText"/>
      </w:pPr>
      <w:r>
        <w:rPr>
          <w:rStyle w:val="FootnoteReference"/>
        </w:rPr>
        <w:footnoteRef/>
      </w:r>
      <w:r>
        <w:t xml:space="preserve"> Закон за корпоративното подоходно облагане.</w:t>
      </w:r>
    </w:p>
  </w:footnote>
  <w:footnote w:id="25">
    <w:p w14:paraId="5AC11311" w14:textId="77777777" w:rsidR="00553764" w:rsidRDefault="00553764">
      <w:pPr>
        <w:pStyle w:val="FootnoteText"/>
      </w:pPr>
      <w:r>
        <w:rPr>
          <w:rStyle w:val="FootnoteReference"/>
        </w:rPr>
        <w:footnoteRef/>
      </w:r>
      <w:r>
        <w:t xml:space="preserve"> </w:t>
      </w:r>
      <w:r w:rsidRPr="00B96920">
        <w:t>Данък върху доходите на физическите лица.</w:t>
      </w:r>
    </w:p>
  </w:footnote>
  <w:footnote w:id="26">
    <w:p w14:paraId="3C05539C" w14:textId="77777777" w:rsidR="00553764" w:rsidRDefault="00553764" w:rsidP="00217060">
      <w:pPr>
        <w:pStyle w:val="FootnoteText"/>
      </w:pPr>
      <w:r>
        <w:rPr>
          <w:rStyle w:val="FootnoteReference"/>
        </w:rPr>
        <w:footnoteRef/>
      </w:r>
      <w:r>
        <w:t xml:space="preserve"> Закон за гарантираните вземания за работниците и служителите при несъстоятелност на работодателя.</w:t>
      </w:r>
    </w:p>
  </w:footnote>
  <w:footnote w:id="27">
    <w:p w14:paraId="336558BF" w14:textId="77777777" w:rsidR="00553764" w:rsidRDefault="00553764" w:rsidP="000279A5">
      <w:pPr>
        <w:pStyle w:val="FootnoteText"/>
      </w:pPr>
      <w:r>
        <w:rPr>
          <w:rStyle w:val="FootnoteReference"/>
        </w:rPr>
        <w:footnoteRef/>
      </w:r>
      <w:r>
        <w:t xml:space="preserve"> Минимална работна заплата.</w:t>
      </w:r>
    </w:p>
  </w:footnote>
  <w:footnote w:id="28">
    <w:p w14:paraId="520A5F64" w14:textId="77777777" w:rsidR="00553764" w:rsidRDefault="00553764" w:rsidP="000279A5">
      <w:pPr>
        <w:pStyle w:val="FootnoteText"/>
      </w:pPr>
      <w:r>
        <w:rPr>
          <w:rStyle w:val="FootnoteReference"/>
        </w:rPr>
        <w:footnoteRef/>
      </w:r>
      <w:r>
        <w:t xml:space="preserve"> Европейско икономическо пространство.</w:t>
      </w:r>
    </w:p>
  </w:footnote>
  <w:footnote w:id="29">
    <w:p w14:paraId="72FA6E85" w14:textId="77777777" w:rsidR="00553764" w:rsidRDefault="00553764" w:rsidP="0067435D">
      <w:pPr>
        <w:pStyle w:val="FootnoteText"/>
      </w:pPr>
      <w:r>
        <w:rPr>
          <w:rStyle w:val="FootnoteReference"/>
        </w:rPr>
        <w:footnoteRef/>
      </w:r>
      <w:r>
        <w:t xml:space="preserve"> Министерство на отбраната.</w:t>
      </w:r>
    </w:p>
  </w:footnote>
  <w:footnote w:id="30">
    <w:p w14:paraId="0C6ED370" w14:textId="77777777" w:rsidR="00553764" w:rsidRDefault="00553764" w:rsidP="0067435D">
      <w:pPr>
        <w:pStyle w:val="FootnoteText"/>
      </w:pPr>
      <w:r>
        <w:rPr>
          <w:rStyle w:val="FootnoteReference"/>
        </w:rPr>
        <w:footnoteRef/>
      </w:r>
      <w:r>
        <w:t xml:space="preserve"> Държавни висши военни училища.</w:t>
      </w:r>
    </w:p>
  </w:footnote>
  <w:footnote w:id="31">
    <w:p w14:paraId="12B2318D" w14:textId="77777777" w:rsidR="00553764" w:rsidRPr="00E90A26" w:rsidRDefault="00553764">
      <w:pPr>
        <w:pStyle w:val="FootnoteText"/>
      </w:pPr>
      <w:r>
        <w:rPr>
          <w:rStyle w:val="FootnoteReference"/>
        </w:rPr>
        <w:footnoteRef/>
      </w:r>
      <w:r>
        <w:t xml:space="preserve"> Европейска мултидисциплинарна платформа срещу престъпни заплахи.</w:t>
      </w:r>
    </w:p>
  </w:footnote>
  <w:footnote w:id="32">
    <w:p w14:paraId="5923BB19" w14:textId="77777777" w:rsidR="00553764" w:rsidRDefault="00553764" w:rsidP="007732C5">
      <w:pPr>
        <w:pStyle w:val="FootnoteText"/>
      </w:pPr>
      <w:r>
        <w:rPr>
          <w:rStyle w:val="FootnoteReference"/>
        </w:rPr>
        <w:footnoteRef/>
      </w:r>
      <w:r>
        <w:t xml:space="preserve"> Организация на Северноатлантическия договор.</w:t>
      </w:r>
    </w:p>
  </w:footnote>
  <w:footnote w:id="33">
    <w:p w14:paraId="4ACD95DB" w14:textId="77777777" w:rsidR="00553764" w:rsidRDefault="00553764" w:rsidP="007732C5">
      <w:pPr>
        <w:pStyle w:val="FootnoteText"/>
      </w:pPr>
      <w:r>
        <w:rPr>
          <w:rStyle w:val="FootnoteReference"/>
        </w:rPr>
        <w:footnoteRef/>
      </w:r>
      <w:r>
        <w:t xml:space="preserve"> Организация на обединените нации.</w:t>
      </w:r>
    </w:p>
  </w:footnote>
  <w:footnote w:id="34">
    <w:p w14:paraId="4BFAE25A" w14:textId="77777777" w:rsidR="00553764" w:rsidRDefault="00553764" w:rsidP="007732C5">
      <w:pPr>
        <w:pStyle w:val="FootnoteText"/>
      </w:pPr>
      <w:r>
        <w:rPr>
          <w:rStyle w:val="FootnoteReference"/>
        </w:rPr>
        <w:footnoteRef/>
      </w:r>
      <w:r>
        <w:t xml:space="preserve"> Организация за сигурност и сътрудничество в Европа.</w:t>
      </w:r>
    </w:p>
  </w:footnote>
  <w:footnote w:id="35">
    <w:p w14:paraId="72CA70D5" w14:textId="77777777" w:rsidR="00553764" w:rsidRDefault="00553764" w:rsidP="008E7499">
      <w:pPr>
        <w:pStyle w:val="FootnoteText"/>
      </w:pPr>
      <w:r>
        <w:rPr>
          <w:rStyle w:val="FootnoteReference"/>
        </w:rPr>
        <w:footnoteRef/>
      </w:r>
      <w:r>
        <w:t xml:space="preserve"> Европейски фонд за морско дело и рибарство.</w:t>
      </w:r>
    </w:p>
  </w:footnote>
  <w:footnote w:id="36">
    <w:p w14:paraId="5B5788EC" w14:textId="77777777" w:rsidR="00553764" w:rsidRDefault="00553764" w:rsidP="008E7499">
      <w:pPr>
        <w:pStyle w:val="FootnoteText"/>
      </w:pPr>
      <w:r>
        <w:rPr>
          <w:rStyle w:val="FootnoteReference"/>
        </w:rPr>
        <w:footnoteRef/>
      </w:r>
      <w:r>
        <w:t xml:space="preserve"> Европейски фонд за морско дело, рибарство и аквакултури.</w:t>
      </w:r>
    </w:p>
  </w:footnote>
  <w:footnote w:id="37">
    <w:p w14:paraId="482CB527" w14:textId="77777777" w:rsidR="00553764" w:rsidRDefault="00553764">
      <w:pPr>
        <w:pStyle w:val="FootnoteText"/>
      </w:pPr>
      <w:r>
        <w:rPr>
          <w:rStyle w:val="FootnoteReference"/>
        </w:rPr>
        <w:footnoteRef/>
      </w:r>
      <w:r>
        <w:t xml:space="preserve"> Вътреобщностни придобивания в ЕС.</w:t>
      </w:r>
    </w:p>
  </w:footnote>
  <w:footnote w:id="38">
    <w:p w14:paraId="762E76D3" w14:textId="77777777" w:rsidR="00553764" w:rsidRDefault="00553764">
      <w:pPr>
        <w:pStyle w:val="FootnoteText"/>
      </w:pPr>
      <w:r>
        <w:rPr>
          <w:rStyle w:val="FootnoteReference"/>
        </w:rPr>
        <w:footnoteRef/>
      </w:r>
      <w:r>
        <w:t xml:space="preserve"> Закон за местните данци и такси.</w:t>
      </w:r>
    </w:p>
  </w:footnote>
  <w:footnote w:id="39">
    <w:p w14:paraId="6F917ECD" w14:textId="77777777" w:rsidR="00553764" w:rsidRDefault="00553764" w:rsidP="0060382E">
      <w:pPr>
        <w:pStyle w:val="FootnoteText"/>
      </w:pPr>
      <w:r>
        <w:rPr>
          <w:rStyle w:val="FootnoteReference"/>
        </w:rPr>
        <w:footnoteRef/>
      </w:r>
      <w:r>
        <w:t xml:space="preserve"> </w:t>
      </w:r>
      <w:r w:rsidRPr="0060382E">
        <w:t>Решение (ЕС, Евратом) 2020/2053 на Съвета oт 14 декември 2020 година относно системата на собствените ресурси на ЕС и за отмяна на Решение 2014/335/ЕС, Евратом; Регламент (ЕС, Евратом), както и Регламент 2024/765 на Съвета от 29 февруари 2024 година за изменение на Регламент (EC, Евратом) 2020/2093 за определяне на многогодишната финансова рамка (МФР) за годините 2021-2027</w:t>
      </w:r>
      <w:r>
        <w:t>.</w:t>
      </w:r>
    </w:p>
  </w:footnote>
  <w:footnote w:id="40">
    <w:p w14:paraId="3BBA6BF2" w14:textId="77777777" w:rsidR="00553764" w:rsidRPr="0060382E" w:rsidRDefault="00553764" w:rsidP="0060382E">
      <w:pPr>
        <w:pStyle w:val="FootnoteText"/>
      </w:pPr>
      <w:r>
        <w:rPr>
          <w:rStyle w:val="FootnoteReference"/>
        </w:rPr>
        <w:footnoteRef/>
      </w:r>
      <w:r>
        <w:t xml:space="preserve">  </w:t>
      </w:r>
      <w:r w:rsidRPr="0060382E">
        <w:t>Традиционни собствени ресурси (мита) и собствени ресурси на база брутния национален доход (БНД), данъка върху добавената стойност (ДДС), нерециклираните отпадъци от опаковки от пластмаса и участието на България във финансирането на брутното намаление за Австрия, Дания, Германия, Нидерландия и Швеция и за вноска за корекция за неучастие на съответни държави членки в някои политики за свобода, сигурност и правосъдие, вкл. съответните суми за т.нар. „ДДС- и БНД-баланси“ и очаквания размер за доплащане по баланса за нерециклираните отпадъци от опаковки от пластмаса, които следва да се платят през 2026 г. съгласно Регламент (ЕС, Евратом) № 609/2014.</w:t>
      </w:r>
    </w:p>
    <w:p w14:paraId="79CBE4EC" w14:textId="77777777" w:rsidR="00553764" w:rsidRDefault="00553764">
      <w:pPr>
        <w:pStyle w:val="FootnoteText"/>
      </w:pPr>
    </w:p>
  </w:footnote>
  <w:footnote w:id="41">
    <w:p w14:paraId="1E1A32EA" w14:textId="77777777" w:rsidR="00553764" w:rsidRDefault="00553764">
      <w:pPr>
        <w:pStyle w:val="FootnoteText"/>
      </w:pPr>
      <w:r>
        <w:rPr>
          <w:rStyle w:val="FootnoteReference"/>
        </w:rPr>
        <w:footnoteRef/>
      </w:r>
      <w:r>
        <w:t xml:space="preserve"> Държавни ценни книжа.</w:t>
      </w:r>
    </w:p>
  </w:footnote>
  <w:footnote w:id="42">
    <w:p w14:paraId="6E1FF42D" w14:textId="77777777" w:rsidR="00553764" w:rsidRDefault="00553764">
      <w:pPr>
        <w:pStyle w:val="FootnoteText"/>
      </w:pPr>
      <w:r>
        <w:rPr>
          <w:rStyle w:val="FootnoteReference"/>
        </w:rPr>
        <w:footnoteRef/>
      </w:r>
      <w:r>
        <w:t xml:space="preserve"> Международни капиталови пазари.</w:t>
      </w:r>
    </w:p>
  </w:footnote>
  <w:footnote w:id="43">
    <w:p w14:paraId="5AE752E3" w14:textId="77777777" w:rsidR="00553764" w:rsidRDefault="00553764" w:rsidP="00FF132B">
      <w:pPr>
        <w:pStyle w:val="FootnoteText"/>
      </w:pPr>
      <w:r>
        <w:rPr>
          <w:rStyle w:val="FootnoteReference"/>
        </w:rPr>
        <w:footnoteRef/>
      </w:r>
      <w:r>
        <w:t xml:space="preserve"> </w:t>
      </w:r>
      <w:r w:rsidRPr="00856280">
        <w:t>Европейска инвестиционна банка</w:t>
      </w:r>
      <w:r>
        <w:t>.</w:t>
      </w:r>
    </w:p>
  </w:footnote>
  <w:footnote w:id="44">
    <w:p w14:paraId="7763C812" w14:textId="77777777" w:rsidR="00553764" w:rsidRDefault="00553764" w:rsidP="00FF132B">
      <w:pPr>
        <w:pStyle w:val="FootnoteText"/>
      </w:pPr>
      <w:r>
        <w:rPr>
          <w:rStyle w:val="FootnoteReference"/>
        </w:rPr>
        <w:footnoteRef/>
      </w:r>
      <w:r>
        <w:t xml:space="preserve"> </w:t>
      </w:r>
      <w:r w:rsidRPr="00856280">
        <w:t>Банка за развитие на Съвета на Европа.</w:t>
      </w:r>
    </w:p>
  </w:footnote>
  <w:footnote w:id="45">
    <w:p w14:paraId="49FF532C" w14:textId="77777777" w:rsidR="00553764" w:rsidRDefault="00553764" w:rsidP="0083153B">
      <w:pPr>
        <w:pStyle w:val="FootnoteText"/>
      </w:pPr>
      <w:r>
        <w:rPr>
          <w:rStyle w:val="FootnoteReference"/>
        </w:rPr>
        <w:footnoteRef/>
      </w:r>
      <w:r>
        <w:t xml:space="preserve"> Ратифициран със закон,</w:t>
      </w:r>
      <w:r w:rsidRPr="00AD6EFF">
        <w:t xml:space="preserve"> </w:t>
      </w:r>
      <w:r>
        <w:t>о</w:t>
      </w:r>
      <w:r w:rsidRPr="00AD6EFF">
        <w:t>бн., ДВ, бр. 7 от 24.01.2025 г.</w:t>
      </w:r>
    </w:p>
  </w:footnote>
  <w:footnote w:id="46">
    <w:p w14:paraId="6326A9E8" w14:textId="77777777" w:rsidR="00553764" w:rsidRDefault="00553764" w:rsidP="00333D34">
      <w:pPr>
        <w:pStyle w:val="FootnoteText"/>
      </w:pPr>
      <w:r>
        <w:rPr>
          <w:rStyle w:val="FootnoteReference"/>
        </w:rPr>
        <w:footnoteRef/>
      </w:r>
      <w:r>
        <w:t xml:space="preserve"> </w:t>
      </w:r>
      <w:r w:rsidRPr="00333D34">
        <w:t>Международна банка за възстановяване и развитие</w:t>
      </w:r>
      <w:r>
        <w:t>.</w:t>
      </w:r>
    </w:p>
  </w:footnote>
  <w:footnote w:id="47">
    <w:p w14:paraId="5D510AD6" w14:textId="77777777" w:rsidR="00553764" w:rsidRDefault="00553764" w:rsidP="00035BD3">
      <w:pPr>
        <w:pStyle w:val="FootnoteText"/>
      </w:pPr>
      <w:r>
        <w:rPr>
          <w:rStyle w:val="FootnoteReference"/>
        </w:rPr>
        <w:footnoteRef/>
      </w:r>
      <w:r>
        <w:t xml:space="preserve"> </w:t>
      </w:r>
      <w:r w:rsidRPr="000F2489">
        <w:t>Подземно газохранилище</w:t>
      </w:r>
      <w:r>
        <w:t>.</w:t>
      </w:r>
    </w:p>
  </w:footnote>
  <w:footnote w:id="48">
    <w:p w14:paraId="0919A09E" w14:textId="77777777" w:rsidR="00553764" w:rsidRDefault="00553764" w:rsidP="00035BD3">
      <w:pPr>
        <w:pStyle w:val="FootnoteText"/>
      </w:pPr>
      <w:r>
        <w:rPr>
          <w:rStyle w:val="FootnoteReference"/>
        </w:rPr>
        <w:footnoteRef/>
      </w:r>
      <w:r>
        <w:t xml:space="preserve"> Помпено-акумулираща водноелектрическа централа.</w:t>
      </w:r>
    </w:p>
  </w:footnote>
  <w:footnote w:id="49">
    <w:p w14:paraId="37337DF4" w14:textId="77777777" w:rsidR="00553764" w:rsidRPr="00C00D9A" w:rsidRDefault="00553764" w:rsidP="00C6272B">
      <w:pPr>
        <w:pStyle w:val="FootnoteText"/>
        <w:rPr>
          <w:lang w:val="en-US"/>
        </w:rPr>
      </w:pPr>
      <w:r>
        <w:rPr>
          <w:rStyle w:val="FootnoteReference"/>
        </w:rPr>
        <w:footnoteRef/>
      </w:r>
      <w:r>
        <w:t xml:space="preserve"> </w:t>
      </w:r>
      <w:r w:rsidRPr="00C479AD">
        <w:rPr>
          <w:sz w:val="18"/>
          <w:szCs w:val="18"/>
        </w:rPr>
        <w:t>European Commission (202</w:t>
      </w:r>
      <w:r>
        <w:rPr>
          <w:sz w:val="18"/>
          <w:szCs w:val="18"/>
          <w:lang w:val="en-US"/>
        </w:rPr>
        <w:t>5</w:t>
      </w:r>
      <w:r w:rsidRPr="00C479AD">
        <w:rPr>
          <w:sz w:val="18"/>
          <w:szCs w:val="18"/>
        </w:rPr>
        <w:t>). “Debt Sustainability Monitor 202</w:t>
      </w:r>
      <w:r>
        <w:rPr>
          <w:sz w:val="18"/>
          <w:szCs w:val="18"/>
          <w:lang w:val="en-US"/>
        </w:rPr>
        <w:t>4</w:t>
      </w:r>
      <w:r w:rsidRPr="00C479AD">
        <w:rPr>
          <w:sz w:val="18"/>
          <w:szCs w:val="18"/>
        </w:rPr>
        <w:t xml:space="preserve">”. Institutional Paper </w:t>
      </w:r>
      <w:r>
        <w:rPr>
          <w:sz w:val="18"/>
          <w:szCs w:val="18"/>
          <w:lang w:val="en-US"/>
        </w:rPr>
        <w:t>306</w:t>
      </w:r>
    </w:p>
  </w:footnote>
  <w:footnote w:id="50">
    <w:p w14:paraId="4D73C817" w14:textId="77777777" w:rsidR="00553764" w:rsidRPr="00166FEE" w:rsidRDefault="00553764" w:rsidP="00A05985">
      <w:pPr>
        <w:pStyle w:val="FootnoteText"/>
        <w:rPr>
          <w:sz w:val="18"/>
          <w:szCs w:val="18"/>
        </w:rPr>
      </w:pPr>
      <w:r>
        <w:rPr>
          <w:rStyle w:val="FootnoteReference"/>
        </w:rPr>
        <w:footnoteRef/>
      </w:r>
      <w:r>
        <w:t xml:space="preserve"> </w:t>
      </w:r>
      <w:r w:rsidRPr="00166FEE">
        <w:rPr>
          <w:sz w:val="18"/>
          <w:szCs w:val="18"/>
        </w:rPr>
        <w:t>S1&lt;</w:t>
      </w:r>
      <w:r>
        <w:rPr>
          <w:sz w:val="18"/>
          <w:szCs w:val="18"/>
          <w:lang w:val="en-US"/>
        </w:rPr>
        <w:t>2</w:t>
      </w:r>
      <w:r w:rsidRPr="00166FEE">
        <w:rPr>
          <w:sz w:val="18"/>
          <w:szCs w:val="18"/>
        </w:rPr>
        <w:t xml:space="preserve">  – нисък риск; </w:t>
      </w:r>
      <w:r>
        <w:rPr>
          <w:sz w:val="18"/>
          <w:szCs w:val="18"/>
          <w:lang w:val="en-US"/>
        </w:rPr>
        <w:t>2</w:t>
      </w:r>
      <w:r w:rsidRPr="00166FEE">
        <w:rPr>
          <w:sz w:val="18"/>
          <w:szCs w:val="18"/>
        </w:rPr>
        <w:t>&lt;S1&lt;</w:t>
      </w:r>
      <w:r>
        <w:rPr>
          <w:sz w:val="18"/>
          <w:szCs w:val="18"/>
          <w:lang w:val="en-US"/>
        </w:rPr>
        <w:t>6</w:t>
      </w:r>
      <w:r w:rsidRPr="00166FEE">
        <w:rPr>
          <w:sz w:val="18"/>
          <w:szCs w:val="18"/>
        </w:rPr>
        <w:t xml:space="preserve"> – умерен риск; S1&gt;</w:t>
      </w:r>
      <w:r>
        <w:rPr>
          <w:sz w:val="18"/>
          <w:szCs w:val="18"/>
          <w:lang w:val="en-US"/>
        </w:rPr>
        <w:t>6</w:t>
      </w:r>
      <w:r w:rsidRPr="00166FEE">
        <w:rPr>
          <w:sz w:val="18"/>
          <w:szCs w:val="18"/>
        </w:rPr>
        <w:t xml:space="preserve"> – висок риск;</w:t>
      </w:r>
    </w:p>
    <w:p w14:paraId="6DCFFB03" w14:textId="77777777" w:rsidR="00553764" w:rsidRPr="00166FEE" w:rsidRDefault="00553764" w:rsidP="00A05985">
      <w:pPr>
        <w:pStyle w:val="FootnoteText"/>
        <w:rPr>
          <w:sz w:val="18"/>
          <w:szCs w:val="18"/>
        </w:rPr>
      </w:pPr>
      <w:r w:rsidRPr="00166FEE">
        <w:rPr>
          <w:sz w:val="18"/>
          <w:szCs w:val="18"/>
        </w:rPr>
        <w:t xml:space="preserve">  S2&lt;2 – нисък риск; 2&lt;S2&lt;6 – умерен риск; S2&gt;6 – висок риск.</w:t>
      </w:r>
    </w:p>
    <w:p w14:paraId="5EDD8811" w14:textId="77777777" w:rsidR="00553764" w:rsidRDefault="00553764" w:rsidP="00A05985">
      <w:pPr>
        <w:pStyle w:val="FootnoteText"/>
      </w:pPr>
    </w:p>
  </w:footnote>
  <w:footnote w:id="51">
    <w:p w14:paraId="73B9D641" w14:textId="77777777" w:rsidR="00553764" w:rsidRDefault="00553764" w:rsidP="001C4E14">
      <w:pPr>
        <w:pStyle w:val="FootnoteText"/>
      </w:pPr>
      <w:r>
        <w:rPr>
          <w:rStyle w:val="FootnoteReference"/>
        </w:rPr>
        <w:footnoteRef/>
      </w:r>
      <w:r>
        <w:t xml:space="preserve">  BEAM (Bulgarian Enterprise Accelerator Market) е пазар на растеж за малки и средни предприятия. Пазарът е организиран от Българска фондова борса АД (БФБ).</w:t>
      </w:r>
    </w:p>
  </w:footnote>
  <w:footnote w:id="52">
    <w:p w14:paraId="3B5D72E6" w14:textId="77777777" w:rsidR="00553764" w:rsidRPr="00365864" w:rsidRDefault="00553764" w:rsidP="00F53D6C">
      <w:pPr>
        <w:pStyle w:val="FootnoteText"/>
        <w:rPr>
          <w:sz w:val="16"/>
          <w:szCs w:val="16"/>
        </w:rPr>
      </w:pPr>
      <w:r w:rsidRPr="00365864">
        <w:rPr>
          <w:rStyle w:val="FootnoteReference"/>
          <w:sz w:val="16"/>
          <w:szCs w:val="16"/>
        </w:rPr>
        <w:footnoteRef/>
      </w:r>
      <w:r w:rsidRPr="00365864">
        <w:rPr>
          <w:sz w:val="16"/>
          <w:szCs w:val="16"/>
        </w:rPr>
        <w:t xml:space="preserve"> За съпоставимост с данните в АСБП 2026-2028 г. отчетните данни за 2024 г. и към септември 2025 г. са представени в млн. евро.</w:t>
      </w:r>
    </w:p>
  </w:footnote>
  <w:footnote w:id="53">
    <w:p w14:paraId="0B0DC1FE" w14:textId="77777777" w:rsidR="00553764" w:rsidRPr="00365864" w:rsidRDefault="00553764" w:rsidP="0006604F">
      <w:pPr>
        <w:pStyle w:val="FootnoteText"/>
        <w:rPr>
          <w:rFonts w:cs="Times New Roman"/>
          <w:sz w:val="16"/>
          <w:szCs w:val="16"/>
        </w:rPr>
      </w:pPr>
      <w:r w:rsidRPr="00365864">
        <w:rPr>
          <w:rStyle w:val="FootnoteReference"/>
          <w:sz w:val="16"/>
          <w:szCs w:val="16"/>
        </w:rPr>
        <w:footnoteRef/>
      </w:r>
      <w:r w:rsidRPr="00365864">
        <w:rPr>
          <w:rFonts w:cs="Times New Roman"/>
          <w:sz w:val="16"/>
          <w:szCs w:val="16"/>
        </w:rPr>
        <w:t xml:space="preserve"> Разчети към ЗДБРБ за 2024 г. (oбн., ДВ., бр. 108 от 30.12.2023 г.),</w:t>
      </w:r>
    </w:p>
  </w:footnote>
  <w:footnote w:id="54">
    <w:p w14:paraId="29D7D7FC" w14:textId="77777777" w:rsidR="00553764" w:rsidRPr="00365864" w:rsidRDefault="00553764" w:rsidP="0006604F">
      <w:pPr>
        <w:pStyle w:val="FootnoteText"/>
        <w:ind w:left="180" w:hanging="180"/>
        <w:rPr>
          <w:rFonts w:cs="Times New Roman"/>
          <w:sz w:val="16"/>
          <w:szCs w:val="16"/>
        </w:rPr>
      </w:pPr>
      <w:r w:rsidRPr="00365864">
        <w:rPr>
          <w:rStyle w:val="FootnoteReference"/>
          <w:sz w:val="16"/>
          <w:szCs w:val="16"/>
        </w:rPr>
        <w:footnoteRef/>
      </w:r>
      <w:r w:rsidRPr="00365864">
        <w:rPr>
          <w:sz w:val="16"/>
          <w:szCs w:val="16"/>
        </w:rPr>
        <w:t xml:space="preserve"> </w:t>
      </w:r>
      <w:r w:rsidRPr="00365864">
        <w:rPr>
          <w:rFonts w:cs="Times New Roman"/>
          <w:sz w:val="16"/>
          <w:szCs w:val="16"/>
        </w:rPr>
        <w:t>Европейски средства - включват средствата по предприсъединителни инструменти на ЕС и по оперативни програми от Кохезионния и Структурните фондове на ЕС (управлявани от Националния фонд към МФ),</w:t>
      </w:r>
      <w:r w:rsidRPr="00365864">
        <w:rPr>
          <w:sz w:val="16"/>
          <w:szCs w:val="16"/>
        </w:rPr>
        <w:t xml:space="preserve"> </w:t>
      </w:r>
      <w:r w:rsidRPr="00365864">
        <w:rPr>
          <w:rFonts w:cs="Times New Roman"/>
          <w:sz w:val="16"/>
          <w:szCs w:val="16"/>
        </w:rPr>
        <w:t>Механизма за възстановяване и устойчивост, Европейския земеделски фонд за развитие на селските райони</w:t>
      </w:r>
      <w:r w:rsidRPr="00365864">
        <w:rPr>
          <w:rFonts w:cs="Times New Roman"/>
          <w:sz w:val="16"/>
          <w:szCs w:val="16"/>
          <w:lang w:val="ru-RU"/>
        </w:rPr>
        <w:t xml:space="preserve">, </w:t>
      </w:r>
      <w:r w:rsidRPr="00365864">
        <w:rPr>
          <w:rFonts w:cs="Times New Roman"/>
          <w:sz w:val="16"/>
          <w:szCs w:val="16"/>
        </w:rPr>
        <w:t xml:space="preserve">Европейския фонд за гарантиране на земеделието, и Европейския фонд за рибарство (управлявани от Разплащателната агенция към ДФ „Земеделие“), както и други програми и проекти, финансирани от фондове и институции на ЕС. В европейските средства участват и средствата от национално съфинансиране. </w:t>
      </w:r>
    </w:p>
  </w:footnote>
  <w:footnote w:id="55">
    <w:p w14:paraId="5885A68D" w14:textId="77777777" w:rsidR="00553764" w:rsidRPr="00FC127B" w:rsidRDefault="00553764" w:rsidP="009B41DE">
      <w:pPr>
        <w:pStyle w:val="FootnoteText"/>
        <w:rPr>
          <w:rFonts w:cs="Times New Roman"/>
          <w:sz w:val="16"/>
          <w:szCs w:val="16"/>
        </w:rPr>
      </w:pPr>
      <w:r w:rsidRPr="00FC127B">
        <w:rPr>
          <w:rStyle w:val="FootnoteReference"/>
          <w:sz w:val="16"/>
          <w:szCs w:val="16"/>
        </w:rPr>
        <w:footnoteRef/>
      </w:r>
      <w:r w:rsidRPr="00FC127B">
        <w:rPr>
          <w:rFonts w:cs="Times New Roman"/>
          <w:sz w:val="16"/>
          <w:szCs w:val="16"/>
        </w:rPr>
        <w:t xml:space="preserve"> Разчети към ЗДБРБ за 202</w:t>
      </w:r>
      <w:r w:rsidRPr="00FC127B">
        <w:rPr>
          <w:rFonts w:cs="Times New Roman"/>
          <w:sz w:val="16"/>
          <w:szCs w:val="16"/>
          <w:lang w:val="ru-RU"/>
        </w:rPr>
        <w:t>5</w:t>
      </w:r>
      <w:r w:rsidRPr="00FC127B">
        <w:rPr>
          <w:rFonts w:cs="Times New Roman"/>
          <w:sz w:val="16"/>
          <w:szCs w:val="16"/>
        </w:rPr>
        <w:t xml:space="preserve"> г. (oбн., ДВ., бр. </w:t>
      </w:r>
      <w:r w:rsidRPr="00FC127B">
        <w:rPr>
          <w:rFonts w:cs="Times New Roman"/>
          <w:sz w:val="16"/>
          <w:szCs w:val="16"/>
          <w:lang w:val="ru-RU"/>
        </w:rPr>
        <w:t>2</w:t>
      </w:r>
      <w:r w:rsidRPr="00FC127B">
        <w:rPr>
          <w:rFonts w:cs="Times New Roman"/>
          <w:sz w:val="16"/>
          <w:szCs w:val="16"/>
        </w:rPr>
        <w:t xml:space="preserve">6 от </w:t>
      </w:r>
      <w:r w:rsidRPr="00FC127B">
        <w:rPr>
          <w:rFonts w:cs="Times New Roman"/>
          <w:sz w:val="16"/>
          <w:szCs w:val="16"/>
          <w:lang w:val="ru-RU"/>
        </w:rPr>
        <w:t>27</w:t>
      </w:r>
      <w:r w:rsidRPr="00FC127B">
        <w:rPr>
          <w:rFonts w:cs="Times New Roman"/>
          <w:sz w:val="16"/>
          <w:szCs w:val="16"/>
        </w:rPr>
        <w:t>.</w:t>
      </w:r>
      <w:r w:rsidRPr="00FC127B">
        <w:rPr>
          <w:rFonts w:cs="Times New Roman"/>
          <w:sz w:val="16"/>
          <w:szCs w:val="16"/>
          <w:lang w:val="ru-RU"/>
        </w:rPr>
        <w:t>03</w:t>
      </w:r>
      <w:r w:rsidRPr="00FC127B">
        <w:rPr>
          <w:rFonts w:cs="Times New Roman"/>
          <w:sz w:val="16"/>
          <w:szCs w:val="16"/>
        </w:rPr>
        <w:t>.202</w:t>
      </w:r>
      <w:r w:rsidRPr="00FC127B">
        <w:rPr>
          <w:rFonts w:cs="Times New Roman"/>
          <w:sz w:val="16"/>
          <w:szCs w:val="16"/>
          <w:lang w:val="ru-RU"/>
        </w:rPr>
        <w:t>5</w:t>
      </w:r>
      <w:r w:rsidRPr="00FC127B">
        <w:rPr>
          <w:rFonts w:cs="Times New Roman"/>
          <w:sz w:val="16"/>
          <w:szCs w:val="16"/>
        </w:rPr>
        <w:t xml:space="preserve"> г.).</w:t>
      </w:r>
    </w:p>
  </w:footnote>
  <w:footnote w:id="56">
    <w:p w14:paraId="1A535E6B" w14:textId="77777777" w:rsidR="00553764" w:rsidRPr="00FC127B" w:rsidRDefault="00553764" w:rsidP="009B41DE">
      <w:pPr>
        <w:pStyle w:val="FootnoteText"/>
        <w:ind w:left="180" w:hanging="180"/>
        <w:rPr>
          <w:rFonts w:cs="Times New Roman"/>
          <w:sz w:val="16"/>
          <w:szCs w:val="16"/>
        </w:rPr>
      </w:pPr>
      <w:r w:rsidRPr="00FC127B">
        <w:rPr>
          <w:rStyle w:val="FootnoteReference"/>
          <w:sz w:val="16"/>
          <w:szCs w:val="16"/>
        </w:rPr>
        <w:footnoteRef/>
      </w:r>
      <w:r w:rsidRPr="00FC127B">
        <w:rPr>
          <w:sz w:val="16"/>
          <w:szCs w:val="16"/>
        </w:rPr>
        <w:t xml:space="preserve"> </w:t>
      </w:r>
      <w:r w:rsidRPr="00FC127B">
        <w:rPr>
          <w:rFonts w:cs="Times New Roman"/>
          <w:sz w:val="16"/>
          <w:szCs w:val="16"/>
        </w:rPr>
        <w:t>Европейски средства - включват средствата по предприсъединителни инструменти на ЕС и по ОП от Кохезионния и Структурните фондове на ЕС (управлявани от НФ към МФ),</w:t>
      </w:r>
      <w:r w:rsidRPr="00FC127B">
        <w:rPr>
          <w:sz w:val="16"/>
          <w:szCs w:val="16"/>
        </w:rPr>
        <w:t xml:space="preserve"> </w:t>
      </w:r>
      <w:r w:rsidRPr="00FC127B">
        <w:rPr>
          <w:rFonts w:cs="Times New Roman"/>
          <w:sz w:val="16"/>
          <w:szCs w:val="16"/>
        </w:rPr>
        <w:t>Механизма за възстановяване и устойчивост, Европейския земеделски фонд за развитие на селските райони</w:t>
      </w:r>
      <w:r w:rsidRPr="00FC127B">
        <w:rPr>
          <w:rFonts w:cs="Times New Roman"/>
          <w:sz w:val="16"/>
          <w:szCs w:val="16"/>
          <w:lang w:val="ru-RU"/>
        </w:rPr>
        <w:t xml:space="preserve">, </w:t>
      </w:r>
      <w:r w:rsidRPr="00FC127B">
        <w:rPr>
          <w:rFonts w:cs="Times New Roman"/>
          <w:sz w:val="16"/>
          <w:szCs w:val="16"/>
        </w:rPr>
        <w:t xml:space="preserve">Европейския фонд за гарантиране на земеделието, и Европейския фонд за рибарство (управлявани от РА към ДФ „Земеделие“), както и други програми и проекти, финансирани от фондове и институции на ЕС. В европейските средства участват и средствата от национално съфинансиране. </w:t>
      </w:r>
    </w:p>
  </w:footnote>
  <w:footnote w:id="57">
    <w:p w14:paraId="0B59F7A1" w14:textId="77777777" w:rsidR="00553764" w:rsidRPr="008F7254" w:rsidRDefault="00553764" w:rsidP="00E47511">
      <w:pPr>
        <w:pStyle w:val="FootnoteText"/>
        <w:rPr>
          <w:rFonts w:cs="Times New Roman"/>
        </w:rPr>
      </w:pPr>
      <w:r w:rsidRPr="008F7254">
        <w:rPr>
          <w:rStyle w:val="FootnoteReference"/>
          <w:sz w:val="20"/>
        </w:rPr>
        <w:footnoteRef/>
      </w:r>
      <w:r w:rsidRPr="008F7254">
        <w:rPr>
          <w:rFonts w:cs="Times New Roman"/>
        </w:rPr>
        <w:t xml:space="preserve"> </w:t>
      </w:r>
      <w:r>
        <w:rPr>
          <w:rFonts w:cs="Times New Roman"/>
        </w:rPr>
        <w:t xml:space="preserve"> </w:t>
      </w:r>
      <w:r w:rsidRPr="008F7254">
        <w:rPr>
          <w:rFonts w:cs="Times New Roman"/>
        </w:rPr>
        <w:t>Обхватът на показателя фискален резерв е в съответствие с §1, т. 41 от Допълнителните разпоредби на Закона за публичните финанси.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OLE_LINK15"/>
  <w:bookmarkStart w:id="5" w:name="OLE_LINK16"/>
  <w:bookmarkStart w:id="6" w:name="_Hlk464223980"/>
  <w:p w14:paraId="6DEC8F5D" w14:textId="77777777" w:rsidR="00553764" w:rsidRDefault="00553764" w:rsidP="00E42591">
    <w:pPr>
      <w:pStyle w:val="Header"/>
    </w:pPr>
    <w:r>
      <w:rPr>
        <w:lang w:val="bg-BG" w:eastAsia="bg-BG"/>
      </w:rPr>
      <mc:AlternateContent>
        <mc:Choice Requires="wps">
          <w:drawing>
            <wp:anchor distT="4294967295" distB="4294967295" distL="114300" distR="114300" simplePos="0" relativeHeight="251646976" behindDoc="0" locked="0" layoutInCell="1" allowOverlap="1" wp14:anchorId="1FAEA5FE" wp14:editId="0A22BF3E">
              <wp:simplePos x="0" y="0"/>
              <wp:positionH relativeFrom="column">
                <wp:posOffset>-958215</wp:posOffset>
              </wp:positionH>
              <wp:positionV relativeFrom="paragraph">
                <wp:posOffset>312419</wp:posOffset>
              </wp:positionV>
              <wp:extent cx="7623175" cy="0"/>
              <wp:effectExtent l="0" t="0" r="15875"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3175" cy="0"/>
                      </a:xfrm>
                      <a:prstGeom prst="line">
                        <a:avLst/>
                      </a:prstGeom>
                      <a:noFill/>
                      <a:ln w="6350" cap="flat" cmpd="sng" algn="ctr">
                        <a:solidFill>
                          <a:srgbClr val="B32C16">
                            <a:lumMod val="75000"/>
                          </a:srgb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B54BEB0" id="Straight Connector 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45pt,24.6pt" to="524.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" strokecolor="#862110" strokeweight=".5pt">
              <v:stroke joinstyle="miter"/>
              <o:lock v:ext="edit" shapetype="f"/>
            </v:line>
          </w:pict>
        </mc:Fallback>
      </mc:AlternateContent>
    </w:r>
    <w:r>
      <w:t>Въведение</w:t>
    </w:r>
    <w:bookmarkEnd w:id="4"/>
    <w:bookmarkEnd w:id="5"/>
    <w:bookmarkEnd w:id="6"/>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0EA5" w14:textId="77777777" w:rsidR="00553764" w:rsidRPr="006E0CA8" w:rsidRDefault="00553764" w:rsidP="006E0CA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2D67" w14:textId="77777777" w:rsidR="00553764" w:rsidRDefault="00553764" w:rsidP="00E4259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CCB1" w14:textId="77777777" w:rsidR="00553764" w:rsidRPr="006E0CA8" w:rsidRDefault="00553764" w:rsidP="006E0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2993" w14:textId="77777777" w:rsidR="00553764" w:rsidRPr="006E0CA8" w:rsidRDefault="00553764" w:rsidP="006E0C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7D35" w14:textId="77777777" w:rsidR="00553764" w:rsidRPr="006E0CA8" w:rsidRDefault="00553764" w:rsidP="006E0C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2F8F" w14:textId="77777777" w:rsidR="00553764" w:rsidRPr="00E22A97" w:rsidRDefault="00553764" w:rsidP="00D671EF">
    <w:pPr>
      <w:pStyle w:val="Header"/>
      <w:rPr>
        <w:lang w:val="ru-RU"/>
      </w:rPr>
    </w:pPr>
  </w:p>
  <w:p w14:paraId="31462EBB" w14:textId="77777777" w:rsidR="00553764" w:rsidRPr="00E42591" w:rsidRDefault="00553764" w:rsidP="00D671EF">
    <w:pPr>
      <w:pStyle w:val="Header"/>
      <w:jc w:val="center"/>
      <w:rPr>
        <w:color w:val="FFFFFF" w:themeColor="background1"/>
      </w:rPr>
    </w:pPr>
    <w:r>
      <w:rPr>
        <w:color w:val="FFFFFF" w:themeColor="background1"/>
      </w:rPr>
      <w:t>III</w:t>
    </w:r>
    <w:r w:rsidRPr="00E42591">
      <w:rPr>
        <w:color w:val="FFFFFF" w:themeColor="background1"/>
      </w:rPr>
      <w:t>.</w:t>
    </w:r>
  </w:p>
  <w:p w14:paraId="6C7B9519" w14:textId="77777777" w:rsidR="00553764" w:rsidRPr="00D671EF" w:rsidRDefault="00553764" w:rsidP="00D671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9A64" w14:textId="77777777" w:rsidR="00553764" w:rsidRPr="006E0CA8" w:rsidRDefault="00553764" w:rsidP="006E0C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9E8F" w14:textId="77777777" w:rsidR="00553764" w:rsidRPr="00F74A3C" w:rsidRDefault="00553764" w:rsidP="00F74A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B1ED" w14:textId="77777777" w:rsidR="00553764" w:rsidRPr="00B0159F" w:rsidRDefault="00553764" w:rsidP="00B015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6FCA" w14:textId="77777777" w:rsidR="00553764" w:rsidRPr="006E0CA8" w:rsidRDefault="00553764" w:rsidP="006E0C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80E" w14:textId="77777777" w:rsidR="00553764" w:rsidRPr="006E0CA8" w:rsidRDefault="00553764" w:rsidP="006E0C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2"/>
      <w:numFmt w:val="bullet"/>
      <w:lvlText w:val="-"/>
      <w:lvlJc w:val="left"/>
      <w:pPr>
        <w:tabs>
          <w:tab w:val="num" w:pos="0"/>
        </w:tabs>
        <w:ind w:left="1080" w:hanging="360"/>
      </w:pPr>
      <w:rPr>
        <w:rFonts w:ascii="Times New Roman" w:hAnsi="Times New Roman" w:cs="Times New Roman"/>
      </w:rPr>
    </w:lvl>
  </w:abstractNum>
  <w:abstractNum w:abstractNumId="1" w15:restartNumberingAfterBreak="0">
    <w:nsid w:val="00000004"/>
    <w:multiLevelType w:val="singleLevel"/>
    <w:tmpl w:val="00000004"/>
    <w:name w:val="WW8Num6"/>
    <w:lvl w:ilvl="0">
      <w:start w:val="1"/>
      <w:numFmt w:val="decimal"/>
      <w:lvlText w:val="%1."/>
      <w:lvlJc w:val="left"/>
      <w:pPr>
        <w:tabs>
          <w:tab w:val="num" w:pos="0"/>
        </w:tabs>
        <w:ind w:left="1080" w:hanging="360"/>
      </w:pPr>
    </w:lvl>
  </w:abstractNum>
  <w:abstractNum w:abstractNumId="2" w15:restartNumberingAfterBreak="0">
    <w:nsid w:val="00000006"/>
    <w:multiLevelType w:val="multilevel"/>
    <w:tmpl w:val="00000006"/>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00000007"/>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E8316B"/>
    <w:multiLevelType w:val="hybridMultilevel"/>
    <w:tmpl w:val="AA82D676"/>
    <w:lvl w:ilvl="0" w:tplc="1DE07EA8">
      <w:start w:val="1"/>
      <w:numFmt w:val="bullet"/>
      <w:lvlText w:val=""/>
      <w:lvlJc w:val="left"/>
      <w:pPr>
        <w:ind w:left="927" w:hanging="360"/>
      </w:pPr>
      <w:rPr>
        <w:rFonts w:ascii="Symbol" w:hAnsi="Symbol" w:hint="default"/>
        <w:b/>
        <w:i w:val="0"/>
        <w:color w:val="auto"/>
        <w:position w:val="0"/>
        <w:sz w:val="20"/>
        <w:u w:color="7598D9" w:themeColor="accent2"/>
      </w:rPr>
    </w:lvl>
    <w:lvl w:ilvl="1" w:tplc="ECAE7C3A">
      <w:numFmt w:val="bullet"/>
      <w:lvlText w:val="•"/>
      <w:lvlJc w:val="left"/>
      <w:pPr>
        <w:ind w:left="2505" w:hanging="705"/>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A2665D"/>
    <w:multiLevelType w:val="hybridMultilevel"/>
    <w:tmpl w:val="188CFF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0722471"/>
    <w:multiLevelType w:val="hybridMultilevel"/>
    <w:tmpl w:val="F642F9C4"/>
    <w:lvl w:ilvl="0" w:tplc="04020001">
      <w:start w:val="1"/>
      <w:numFmt w:val="bullet"/>
      <w:lvlText w:val=""/>
      <w:lvlJc w:val="left"/>
      <w:pPr>
        <w:ind w:left="1070"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7" w15:restartNumberingAfterBreak="0">
    <w:nsid w:val="11BF00B7"/>
    <w:multiLevelType w:val="multilevel"/>
    <w:tmpl w:val="A9161A0C"/>
    <w:lvl w:ilvl="0">
      <w:start w:val="1"/>
      <w:numFmt w:val="upperRoman"/>
      <w:pStyle w:val="Heading1"/>
      <w:suff w:val="nothing"/>
      <w:lvlText w:val="Част %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right"/>
      <w:pPr>
        <w:ind w:left="450" w:hanging="166"/>
      </w:pPr>
      <w:rPr>
        <w:rFonts w:hint="default"/>
      </w:rPr>
    </w:lvl>
    <w:lvl w:ilvl="2">
      <w:start w:val="1"/>
      <w:numFmt w:val="decimal"/>
      <w:pStyle w:val="Heading3"/>
      <w:lvlText w:val="%2.%3."/>
      <w:lvlJc w:val="left"/>
      <w:pPr>
        <w:ind w:left="4537" w:firstLine="0"/>
      </w:pPr>
      <w:rPr>
        <w:rFonts w:hint="default"/>
        <w:i w:val="0"/>
        <w:color w:val="852010" w:themeColor="accent3" w:themeShade="BF"/>
      </w:rPr>
    </w:lvl>
    <w:lvl w:ilvl="3">
      <w:start w:val="1"/>
      <w:numFmt w:val="decimal"/>
      <w:pStyle w:val="Heading4"/>
      <w:lvlText w:val="%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5AA52F4"/>
    <w:multiLevelType w:val="hybridMultilevel"/>
    <w:tmpl w:val="238ABC12"/>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9" w15:restartNumberingAfterBreak="0">
    <w:nsid w:val="194C2B0F"/>
    <w:multiLevelType w:val="hybridMultilevel"/>
    <w:tmpl w:val="1952AEB8"/>
    <w:lvl w:ilvl="0" w:tplc="DF403858">
      <w:start w:val="202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21445F41"/>
    <w:multiLevelType w:val="hybridMultilevel"/>
    <w:tmpl w:val="8BEEAB72"/>
    <w:lvl w:ilvl="0" w:tplc="0402000D">
      <w:start w:val="1"/>
      <w:numFmt w:val="bullet"/>
      <w:lvlText w:val=""/>
      <w:lvlJc w:val="left"/>
      <w:pPr>
        <w:ind w:left="927" w:hanging="360"/>
      </w:pPr>
      <w:rPr>
        <w:rFonts w:ascii="Wingdings" w:hAnsi="Wingdings" w:hint="default"/>
        <w:b/>
        <w:i w:val="0"/>
        <w:color w:val="auto"/>
        <w:position w:val="0"/>
        <w:sz w:val="20"/>
        <w:u w:color="7598D9" w:themeColor="accent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36A4F89"/>
    <w:multiLevelType w:val="hybridMultilevel"/>
    <w:tmpl w:val="E2EAAF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44369AB"/>
    <w:multiLevelType w:val="hybridMultilevel"/>
    <w:tmpl w:val="19843BC6"/>
    <w:lvl w:ilvl="0" w:tplc="0402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9D4D2B"/>
    <w:multiLevelType w:val="hybridMultilevel"/>
    <w:tmpl w:val="8280D0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A0650DB"/>
    <w:multiLevelType w:val="hybridMultilevel"/>
    <w:tmpl w:val="459AA7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B871CEE"/>
    <w:multiLevelType w:val="hybridMultilevel"/>
    <w:tmpl w:val="26587A80"/>
    <w:lvl w:ilvl="0" w:tplc="8050FFA6">
      <w:numFmt w:val="bullet"/>
      <w:lvlText w:val="-"/>
      <w:lvlJc w:val="left"/>
      <w:pPr>
        <w:tabs>
          <w:tab w:val="num" w:pos="720"/>
        </w:tabs>
        <w:ind w:left="720"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3C4757"/>
    <w:multiLevelType w:val="hybridMultilevel"/>
    <w:tmpl w:val="D0B4006A"/>
    <w:lvl w:ilvl="0" w:tplc="F4EE1120">
      <w:start w:val="1"/>
      <w:numFmt w:val="bullet"/>
      <w:pStyle w:val="Heading5"/>
      <w:lvlText w:val=""/>
      <w:lvlJc w:val="left"/>
      <w:pPr>
        <w:ind w:left="720" w:hanging="360"/>
      </w:pPr>
      <w:rPr>
        <w:rFonts w:ascii="Symbol" w:hAnsi="Symbol" w:hint="default"/>
        <w:color w:val="auto"/>
        <w:u w:color="595C62" w:themeColor="accent6" w:themeShade="BF"/>
      </w:rPr>
    </w:lvl>
    <w:lvl w:ilvl="1" w:tplc="1AB617FC">
      <w:numFmt w:val="bullet"/>
      <w:lvlText w:val="•"/>
      <w:lvlJc w:val="left"/>
      <w:pPr>
        <w:ind w:left="1935" w:hanging="855"/>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C1584"/>
    <w:multiLevelType w:val="hybridMultilevel"/>
    <w:tmpl w:val="3CBE930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2EA66319"/>
    <w:multiLevelType w:val="hybridMultilevel"/>
    <w:tmpl w:val="0A804EF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9" w15:restartNumberingAfterBreak="0">
    <w:nsid w:val="340314A0"/>
    <w:multiLevelType w:val="hybridMultilevel"/>
    <w:tmpl w:val="C98823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60352B9"/>
    <w:multiLevelType w:val="hybridMultilevel"/>
    <w:tmpl w:val="E3DAB9EC"/>
    <w:lvl w:ilvl="0" w:tplc="164817D8">
      <w:start w:val="1"/>
      <w:numFmt w:val="bullet"/>
      <w:lvlText w:val=""/>
      <w:lvlJc w:val="left"/>
      <w:pPr>
        <w:ind w:left="720" w:hanging="360"/>
      </w:pPr>
      <w:rPr>
        <w:rFonts w:ascii="Symbol" w:hAnsi="Symbol" w:hint="default"/>
        <w:color w:val="auto"/>
      </w:rPr>
    </w:lvl>
    <w:lvl w:ilvl="1" w:tplc="408EF2EA">
      <w:numFmt w:val="bullet"/>
      <w:lvlText w:val="-"/>
      <w:lvlJc w:val="left"/>
      <w:pPr>
        <w:ind w:left="1199" w:hanging="735"/>
      </w:pPr>
      <w:rPr>
        <w:rFonts w:ascii="Times New Roman" w:eastAsia="Times New Roman" w:hAnsi="Times New Roman" w:cs="Times New Roman" w:hint="default"/>
      </w:rPr>
    </w:lvl>
    <w:lvl w:ilvl="2" w:tplc="04020005">
      <w:start w:val="1"/>
      <w:numFmt w:val="bullet"/>
      <w:lvlText w:val=""/>
      <w:lvlJc w:val="left"/>
      <w:pPr>
        <w:ind w:left="1544" w:hanging="360"/>
      </w:pPr>
      <w:rPr>
        <w:rFonts w:ascii="Wingdings" w:hAnsi="Wingdings" w:hint="default"/>
      </w:rPr>
    </w:lvl>
    <w:lvl w:ilvl="3" w:tplc="04020001">
      <w:start w:val="1"/>
      <w:numFmt w:val="bullet"/>
      <w:lvlText w:val=""/>
      <w:lvlJc w:val="left"/>
      <w:pPr>
        <w:ind w:left="2264" w:hanging="360"/>
      </w:pPr>
      <w:rPr>
        <w:rFonts w:ascii="Symbol" w:hAnsi="Symbol" w:hint="default"/>
      </w:rPr>
    </w:lvl>
    <w:lvl w:ilvl="4" w:tplc="04020003">
      <w:start w:val="1"/>
      <w:numFmt w:val="bullet"/>
      <w:lvlText w:val="o"/>
      <w:lvlJc w:val="left"/>
      <w:pPr>
        <w:ind w:left="2984" w:hanging="360"/>
      </w:pPr>
      <w:rPr>
        <w:rFonts w:ascii="Courier New" w:hAnsi="Courier New" w:cs="Courier New" w:hint="default"/>
      </w:rPr>
    </w:lvl>
    <w:lvl w:ilvl="5" w:tplc="04020005">
      <w:start w:val="1"/>
      <w:numFmt w:val="bullet"/>
      <w:lvlText w:val=""/>
      <w:lvlJc w:val="left"/>
      <w:pPr>
        <w:ind w:left="3704" w:hanging="360"/>
      </w:pPr>
      <w:rPr>
        <w:rFonts w:ascii="Wingdings" w:hAnsi="Wingdings" w:hint="default"/>
      </w:rPr>
    </w:lvl>
    <w:lvl w:ilvl="6" w:tplc="04020001">
      <w:start w:val="1"/>
      <w:numFmt w:val="bullet"/>
      <w:lvlText w:val=""/>
      <w:lvlJc w:val="left"/>
      <w:pPr>
        <w:ind w:left="4424" w:hanging="360"/>
      </w:pPr>
      <w:rPr>
        <w:rFonts w:ascii="Symbol" w:hAnsi="Symbol" w:hint="default"/>
      </w:rPr>
    </w:lvl>
    <w:lvl w:ilvl="7" w:tplc="04020003">
      <w:start w:val="1"/>
      <w:numFmt w:val="bullet"/>
      <w:lvlText w:val="o"/>
      <w:lvlJc w:val="left"/>
      <w:pPr>
        <w:ind w:left="5144" w:hanging="360"/>
      </w:pPr>
      <w:rPr>
        <w:rFonts w:ascii="Courier New" w:hAnsi="Courier New" w:cs="Courier New" w:hint="default"/>
      </w:rPr>
    </w:lvl>
    <w:lvl w:ilvl="8" w:tplc="04020005">
      <w:start w:val="1"/>
      <w:numFmt w:val="bullet"/>
      <w:lvlText w:val=""/>
      <w:lvlJc w:val="left"/>
      <w:pPr>
        <w:ind w:left="5864" w:hanging="360"/>
      </w:pPr>
      <w:rPr>
        <w:rFonts w:ascii="Wingdings" w:hAnsi="Wingdings" w:hint="default"/>
      </w:rPr>
    </w:lvl>
  </w:abstractNum>
  <w:abstractNum w:abstractNumId="21" w15:restartNumberingAfterBreak="0">
    <w:nsid w:val="364E017B"/>
    <w:multiLevelType w:val="hybridMultilevel"/>
    <w:tmpl w:val="55701B0E"/>
    <w:lvl w:ilvl="0" w:tplc="95D45250">
      <w:start w:val="202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799280C"/>
    <w:multiLevelType w:val="hybridMultilevel"/>
    <w:tmpl w:val="016E20C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3" w15:restartNumberingAfterBreak="0">
    <w:nsid w:val="3CB06700"/>
    <w:multiLevelType w:val="hybridMultilevel"/>
    <w:tmpl w:val="8960BE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0C4578F"/>
    <w:multiLevelType w:val="hybridMultilevel"/>
    <w:tmpl w:val="B01466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0F25286"/>
    <w:multiLevelType w:val="hybridMultilevel"/>
    <w:tmpl w:val="155E35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41121C3C"/>
    <w:multiLevelType w:val="hybridMultilevel"/>
    <w:tmpl w:val="C56A2D8E"/>
    <w:lvl w:ilvl="0" w:tplc="C41AB4AE">
      <w:start w:val="3"/>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2074CB5"/>
    <w:multiLevelType w:val="hybridMultilevel"/>
    <w:tmpl w:val="DFF2F0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481A5076"/>
    <w:multiLevelType w:val="hybridMultilevel"/>
    <w:tmpl w:val="02E44E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4AAC682B"/>
    <w:multiLevelType w:val="hybridMultilevel"/>
    <w:tmpl w:val="33AA6FCA"/>
    <w:lvl w:ilvl="0" w:tplc="08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4BDA1D1A"/>
    <w:multiLevelType w:val="hybridMultilevel"/>
    <w:tmpl w:val="53229D14"/>
    <w:name w:val="WW8Num12332"/>
    <w:lvl w:ilvl="0" w:tplc="8F0E7B18">
      <w:start w:val="1"/>
      <w:numFmt w:val="decimal"/>
      <w:lvlText w:val="%1."/>
      <w:lvlJc w:val="left"/>
      <w:pPr>
        <w:tabs>
          <w:tab w:val="num" w:pos="2340"/>
        </w:tabs>
        <w:ind w:left="234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DD34EE5"/>
    <w:multiLevelType w:val="hybridMultilevel"/>
    <w:tmpl w:val="1B3294DE"/>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2" w15:restartNumberingAfterBreak="0">
    <w:nsid w:val="4F3D2D8A"/>
    <w:multiLevelType w:val="hybridMultilevel"/>
    <w:tmpl w:val="9566E3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513E7634"/>
    <w:multiLevelType w:val="hybridMultilevel"/>
    <w:tmpl w:val="106A17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52096269"/>
    <w:multiLevelType w:val="hybridMultilevel"/>
    <w:tmpl w:val="2A6E1C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52C1794B"/>
    <w:multiLevelType w:val="hybridMultilevel"/>
    <w:tmpl w:val="EDA8F670"/>
    <w:lvl w:ilvl="0" w:tplc="0402000D">
      <w:start w:val="1"/>
      <w:numFmt w:val="bullet"/>
      <w:lvlText w:val=""/>
      <w:lvlJc w:val="left"/>
      <w:pPr>
        <w:ind w:left="1069"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6" w15:restartNumberingAfterBreak="0">
    <w:nsid w:val="554C1239"/>
    <w:multiLevelType w:val="hybridMultilevel"/>
    <w:tmpl w:val="C5E6ADE8"/>
    <w:lvl w:ilvl="0" w:tplc="32F8D054">
      <w:start w:val="1"/>
      <w:numFmt w:val="bullet"/>
      <w:lvlText w:val=""/>
      <w:lvlJc w:val="left"/>
      <w:pPr>
        <w:ind w:left="720" w:hanging="360"/>
      </w:pPr>
      <w:rPr>
        <w:rFonts w:ascii="Symbol" w:hAnsi="Symbol"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7" w15:restartNumberingAfterBreak="0">
    <w:nsid w:val="574A67BD"/>
    <w:multiLevelType w:val="multilevel"/>
    <w:tmpl w:val="6D4EEA4A"/>
    <w:lvl w:ilvl="0">
      <w:start w:val="1"/>
      <w:numFmt w:val="decimal"/>
      <w:lvlText w:val="%1."/>
      <w:lvlJc w:val="left"/>
      <w:pPr>
        <w:ind w:left="420" w:hanging="420"/>
      </w:pPr>
      <w:rPr>
        <w:rFonts w:hint="default"/>
      </w:rPr>
    </w:lvl>
    <w:lvl w:ilvl="1">
      <w:start w:val="5"/>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800" w:hanging="1800"/>
      </w:pPr>
      <w:rPr>
        <w:rFonts w:hint="default"/>
      </w:rPr>
    </w:lvl>
  </w:abstractNum>
  <w:abstractNum w:abstractNumId="38" w15:restartNumberingAfterBreak="0">
    <w:nsid w:val="5F824D9C"/>
    <w:multiLevelType w:val="hybridMultilevel"/>
    <w:tmpl w:val="633EAE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62B20AB6"/>
    <w:multiLevelType w:val="hybridMultilevel"/>
    <w:tmpl w:val="3DA4397A"/>
    <w:lvl w:ilvl="0" w:tplc="C41AB4AE">
      <w:start w:val="3"/>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64A56106"/>
    <w:multiLevelType w:val="hybridMultilevel"/>
    <w:tmpl w:val="B52E3D08"/>
    <w:lvl w:ilvl="0" w:tplc="060A0E4C">
      <w:start w:val="1"/>
      <w:numFmt w:val="bullet"/>
      <w:lvlText w:val="-"/>
      <w:lvlJc w:val="left"/>
      <w:pPr>
        <w:ind w:left="720" w:hanging="360"/>
      </w:pPr>
      <w:rPr>
        <w:rFonts w:ascii="Times New Roman" w:eastAsiaTheme="minorEastAsia"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671C6B0D"/>
    <w:multiLevelType w:val="hybridMultilevel"/>
    <w:tmpl w:val="60F86D5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2" w15:restartNumberingAfterBreak="0">
    <w:nsid w:val="68C63831"/>
    <w:multiLevelType w:val="multilevel"/>
    <w:tmpl w:val="C7EE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4C27BA"/>
    <w:multiLevelType w:val="hybridMultilevel"/>
    <w:tmpl w:val="9622354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4" w15:restartNumberingAfterBreak="0">
    <w:nsid w:val="7A1427DB"/>
    <w:multiLevelType w:val="hybridMultilevel"/>
    <w:tmpl w:val="5B52DB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15:restartNumberingAfterBreak="0">
    <w:nsid w:val="7E402339"/>
    <w:multiLevelType w:val="hybridMultilevel"/>
    <w:tmpl w:val="672C6B18"/>
    <w:lvl w:ilvl="0" w:tplc="15C816CE">
      <w:start w:val="1"/>
      <w:numFmt w:val="decimal"/>
      <w:pStyle w:val="Heading6"/>
      <w:lvlText w:val="1.2.%1"/>
      <w:lvlJc w:val="left"/>
      <w:pPr>
        <w:ind w:left="785" w:hanging="360"/>
      </w:pPr>
      <w:rPr>
        <w:rFonts w:hint="default"/>
      </w:rPr>
    </w:lvl>
    <w:lvl w:ilvl="1" w:tplc="4DF2B7E4">
      <w:start w:val="1"/>
      <w:numFmt w:val="decimal"/>
      <w:lvlText w:val="%2."/>
      <w:lvlJc w:val="left"/>
      <w:pPr>
        <w:ind w:left="1440" w:hanging="360"/>
      </w:pPr>
      <w:rPr>
        <w:rFonts w:hint="default"/>
      </w:rPr>
    </w:lvl>
    <w:lvl w:ilvl="2" w:tplc="3A94B572">
      <w:numFmt w:val="bullet"/>
      <w:lvlText w:val="•"/>
      <w:lvlJc w:val="left"/>
      <w:pPr>
        <w:ind w:left="2685" w:hanging="705"/>
      </w:pPr>
      <w:rPr>
        <w:rFonts w:ascii="Times New Roman" w:eastAsia="Batang" w:hAnsi="Times New Roman" w:cs="Times New Roman"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7FB4602E"/>
    <w:multiLevelType w:val="hybridMultilevel"/>
    <w:tmpl w:val="08526D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7FB87B24"/>
    <w:multiLevelType w:val="hybridMultilevel"/>
    <w:tmpl w:val="14FED8B4"/>
    <w:lvl w:ilvl="0" w:tplc="C41AB4AE">
      <w:start w:val="3"/>
      <w:numFmt w:val="bullet"/>
      <w:lvlText w:val="-"/>
      <w:lvlJc w:val="left"/>
      <w:pPr>
        <w:ind w:left="630" w:hanging="360"/>
      </w:pPr>
      <w:rPr>
        <w:rFonts w:ascii="Times New Roman" w:eastAsia="Calibri" w:hAnsi="Times New Roman" w:cs="Times New Roman" w:hint="default"/>
      </w:rPr>
    </w:lvl>
    <w:lvl w:ilvl="1" w:tplc="04020003" w:tentative="1">
      <w:start w:val="1"/>
      <w:numFmt w:val="bullet"/>
      <w:lvlText w:val="o"/>
      <w:lvlJc w:val="left"/>
      <w:pPr>
        <w:ind w:left="1350" w:hanging="360"/>
      </w:pPr>
      <w:rPr>
        <w:rFonts w:ascii="Courier New" w:hAnsi="Courier New" w:cs="Courier New" w:hint="default"/>
      </w:rPr>
    </w:lvl>
    <w:lvl w:ilvl="2" w:tplc="04020005" w:tentative="1">
      <w:start w:val="1"/>
      <w:numFmt w:val="bullet"/>
      <w:lvlText w:val=""/>
      <w:lvlJc w:val="left"/>
      <w:pPr>
        <w:ind w:left="2070" w:hanging="360"/>
      </w:pPr>
      <w:rPr>
        <w:rFonts w:ascii="Wingdings" w:hAnsi="Wingdings" w:hint="default"/>
      </w:rPr>
    </w:lvl>
    <w:lvl w:ilvl="3" w:tplc="04020001" w:tentative="1">
      <w:start w:val="1"/>
      <w:numFmt w:val="bullet"/>
      <w:lvlText w:val=""/>
      <w:lvlJc w:val="left"/>
      <w:pPr>
        <w:ind w:left="2790" w:hanging="360"/>
      </w:pPr>
      <w:rPr>
        <w:rFonts w:ascii="Symbol" w:hAnsi="Symbol" w:hint="default"/>
      </w:rPr>
    </w:lvl>
    <w:lvl w:ilvl="4" w:tplc="04020003" w:tentative="1">
      <w:start w:val="1"/>
      <w:numFmt w:val="bullet"/>
      <w:lvlText w:val="o"/>
      <w:lvlJc w:val="left"/>
      <w:pPr>
        <w:ind w:left="3510" w:hanging="360"/>
      </w:pPr>
      <w:rPr>
        <w:rFonts w:ascii="Courier New" w:hAnsi="Courier New" w:cs="Courier New" w:hint="default"/>
      </w:rPr>
    </w:lvl>
    <w:lvl w:ilvl="5" w:tplc="04020005" w:tentative="1">
      <w:start w:val="1"/>
      <w:numFmt w:val="bullet"/>
      <w:lvlText w:val=""/>
      <w:lvlJc w:val="left"/>
      <w:pPr>
        <w:ind w:left="4230" w:hanging="360"/>
      </w:pPr>
      <w:rPr>
        <w:rFonts w:ascii="Wingdings" w:hAnsi="Wingdings" w:hint="default"/>
      </w:rPr>
    </w:lvl>
    <w:lvl w:ilvl="6" w:tplc="04020001" w:tentative="1">
      <w:start w:val="1"/>
      <w:numFmt w:val="bullet"/>
      <w:lvlText w:val=""/>
      <w:lvlJc w:val="left"/>
      <w:pPr>
        <w:ind w:left="4950" w:hanging="360"/>
      </w:pPr>
      <w:rPr>
        <w:rFonts w:ascii="Symbol" w:hAnsi="Symbol" w:hint="default"/>
      </w:rPr>
    </w:lvl>
    <w:lvl w:ilvl="7" w:tplc="04020003" w:tentative="1">
      <w:start w:val="1"/>
      <w:numFmt w:val="bullet"/>
      <w:lvlText w:val="o"/>
      <w:lvlJc w:val="left"/>
      <w:pPr>
        <w:ind w:left="5670" w:hanging="360"/>
      </w:pPr>
      <w:rPr>
        <w:rFonts w:ascii="Courier New" w:hAnsi="Courier New" w:cs="Courier New" w:hint="default"/>
      </w:rPr>
    </w:lvl>
    <w:lvl w:ilvl="8" w:tplc="04020005" w:tentative="1">
      <w:start w:val="1"/>
      <w:numFmt w:val="bullet"/>
      <w:lvlText w:val=""/>
      <w:lvlJc w:val="left"/>
      <w:pPr>
        <w:ind w:left="6390" w:hanging="360"/>
      </w:pPr>
      <w:rPr>
        <w:rFonts w:ascii="Wingdings" w:hAnsi="Wingdings" w:hint="default"/>
      </w:rPr>
    </w:lvl>
  </w:abstractNum>
  <w:num w:numId="1" w16cid:durableId="10953839">
    <w:abstractNumId w:val="37"/>
  </w:num>
  <w:num w:numId="2" w16cid:durableId="493103676">
    <w:abstractNumId w:val="6"/>
  </w:num>
  <w:num w:numId="3" w16cid:durableId="1195004552">
    <w:abstractNumId w:val="7"/>
  </w:num>
  <w:num w:numId="4" w16cid:durableId="779839903">
    <w:abstractNumId w:val="4"/>
  </w:num>
  <w:num w:numId="5" w16cid:durableId="1181312549">
    <w:abstractNumId w:val="16"/>
  </w:num>
  <w:num w:numId="6" w16cid:durableId="1514492936">
    <w:abstractNumId w:val="45"/>
  </w:num>
  <w:num w:numId="7" w16cid:durableId="1959723110">
    <w:abstractNumId w:val="27"/>
  </w:num>
  <w:num w:numId="8" w16cid:durableId="613050423">
    <w:abstractNumId w:val="35"/>
  </w:num>
  <w:num w:numId="9" w16cid:durableId="765033457">
    <w:abstractNumId w:val="44"/>
  </w:num>
  <w:num w:numId="10" w16cid:durableId="871724764">
    <w:abstractNumId w:val="11"/>
  </w:num>
  <w:num w:numId="11" w16cid:durableId="618026865">
    <w:abstractNumId w:val="32"/>
  </w:num>
  <w:num w:numId="12" w16cid:durableId="306015282">
    <w:abstractNumId w:val="24"/>
  </w:num>
  <w:num w:numId="13" w16cid:durableId="409079260">
    <w:abstractNumId w:val="22"/>
  </w:num>
  <w:num w:numId="14" w16cid:durableId="1464271591">
    <w:abstractNumId w:val="46"/>
  </w:num>
  <w:num w:numId="15" w16cid:durableId="1373115963">
    <w:abstractNumId w:val="39"/>
  </w:num>
  <w:num w:numId="16" w16cid:durableId="191656708">
    <w:abstractNumId w:val="33"/>
  </w:num>
  <w:num w:numId="17" w16cid:durableId="473257094">
    <w:abstractNumId w:val="29"/>
  </w:num>
  <w:num w:numId="18" w16cid:durableId="1070081669">
    <w:abstractNumId w:val="14"/>
  </w:num>
  <w:num w:numId="19" w16cid:durableId="1737705298">
    <w:abstractNumId w:val="36"/>
  </w:num>
  <w:num w:numId="20" w16cid:durableId="1829395503">
    <w:abstractNumId w:val="43"/>
  </w:num>
  <w:num w:numId="21" w16cid:durableId="1699887861">
    <w:abstractNumId w:val="12"/>
  </w:num>
  <w:num w:numId="22" w16cid:durableId="982270625">
    <w:abstractNumId w:val="13"/>
  </w:num>
  <w:num w:numId="23" w16cid:durableId="783959591">
    <w:abstractNumId w:val="15"/>
  </w:num>
  <w:num w:numId="24" w16cid:durableId="1464811542">
    <w:abstractNumId w:val="8"/>
  </w:num>
  <w:num w:numId="25" w16cid:durableId="1532498184">
    <w:abstractNumId w:val="20"/>
  </w:num>
  <w:num w:numId="26" w16cid:durableId="216360932">
    <w:abstractNumId w:val="25"/>
  </w:num>
  <w:num w:numId="27" w16cid:durableId="1070615936">
    <w:abstractNumId w:val="40"/>
  </w:num>
  <w:num w:numId="28" w16cid:durableId="1043096825">
    <w:abstractNumId w:val="18"/>
  </w:num>
  <w:num w:numId="29" w16cid:durableId="1542933260">
    <w:abstractNumId w:val="38"/>
  </w:num>
  <w:num w:numId="30" w16cid:durableId="228463554">
    <w:abstractNumId w:val="23"/>
  </w:num>
  <w:num w:numId="31" w16cid:durableId="4136827">
    <w:abstractNumId w:val="19"/>
  </w:num>
  <w:num w:numId="32" w16cid:durableId="78916670">
    <w:abstractNumId w:val="28"/>
  </w:num>
  <w:num w:numId="33" w16cid:durableId="399644491">
    <w:abstractNumId w:val="26"/>
  </w:num>
  <w:num w:numId="34" w16cid:durableId="322703664">
    <w:abstractNumId w:val="47"/>
  </w:num>
  <w:num w:numId="35" w16cid:durableId="1501235092">
    <w:abstractNumId w:val="34"/>
  </w:num>
  <w:num w:numId="36" w16cid:durableId="1140348317">
    <w:abstractNumId w:val="41"/>
  </w:num>
  <w:num w:numId="37" w16cid:durableId="813568942">
    <w:abstractNumId w:val="5"/>
  </w:num>
  <w:num w:numId="38" w16cid:durableId="1900094972">
    <w:abstractNumId w:val="17"/>
  </w:num>
  <w:num w:numId="39" w16cid:durableId="1457944667">
    <w:abstractNumId w:val="9"/>
  </w:num>
  <w:num w:numId="40" w16cid:durableId="1695614895">
    <w:abstractNumId w:val="21"/>
  </w:num>
  <w:num w:numId="41" w16cid:durableId="563488568">
    <w:abstractNumId w:val="31"/>
  </w:num>
  <w:num w:numId="42" w16cid:durableId="1664510843">
    <w:abstractNumId w:val="42"/>
  </w:num>
  <w:num w:numId="43" w16cid:durableId="1485512417">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09"/>
  <w:hyphenationZone w:val="425"/>
  <w:defaultTableStyle w:val="MediumShading1-Accent2"/>
  <w:characterSpacingControl w:val="doNotCompress"/>
  <w:hdrShapeDefaults>
    <o:shapedefaults v:ext="edit" spidmax="2050">
      <o:colormru v:ext="edit" colors="#dfd0ab,#f8cfc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B9"/>
    <w:rsid w:val="000003C2"/>
    <w:rsid w:val="0000041D"/>
    <w:rsid w:val="00000434"/>
    <w:rsid w:val="000007C0"/>
    <w:rsid w:val="0000086C"/>
    <w:rsid w:val="00000AEF"/>
    <w:rsid w:val="00000BBF"/>
    <w:rsid w:val="00000CA6"/>
    <w:rsid w:val="00000E19"/>
    <w:rsid w:val="00000F10"/>
    <w:rsid w:val="00001344"/>
    <w:rsid w:val="000014EA"/>
    <w:rsid w:val="000016B3"/>
    <w:rsid w:val="0000173C"/>
    <w:rsid w:val="000019DC"/>
    <w:rsid w:val="00001BD7"/>
    <w:rsid w:val="00001C9F"/>
    <w:rsid w:val="00002315"/>
    <w:rsid w:val="0000257D"/>
    <w:rsid w:val="00002758"/>
    <w:rsid w:val="00002CCA"/>
    <w:rsid w:val="000031B8"/>
    <w:rsid w:val="000033A6"/>
    <w:rsid w:val="000035A4"/>
    <w:rsid w:val="000036A1"/>
    <w:rsid w:val="000038D7"/>
    <w:rsid w:val="00003A56"/>
    <w:rsid w:val="00003BCB"/>
    <w:rsid w:val="00003C5F"/>
    <w:rsid w:val="00003D9C"/>
    <w:rsid w:val="00003F68"/>
    <w:rsid w:val="00004176"/>
    <w:rsid w:val="00004229"/>
    <w:rsid w:val="00004296"/>
    <w:rsid w:val="00004340"/>
    <w:rsid w:val="00004395"/>
    <w:rsid w:val="0000486F"/>
    <w:rsid w:val="00004B31"/>
    <w:rsid w:val="00004C7F"/>
    <w:rsid w:val="00004D61"/>
    <w:rsid w:val="00004ED2"/>
    <w:rsid w:val="00004F65"/>
    <w:rsid w:val="00004FB2"/>
    <w:rsid w:val="00005045"/>
    <w:rsid w:val="00005052"/>
    <w:rsid w:val="00005151"/>
    <w:rsid w:val="0000544B"/>
    <w:rsid w:val="00005581"/>
    <w:rsid w:val="000058F2"/>
    <w:rsid w:val="0000591A"/>
    <w:rsid w:val="00005B6D"/>
    <w:rsid w:val="00005C4A"/>
    <w:rsid w:val="00006816"/>
    <w:rsid w:val="0000683F"/>
    <w:rsid w:val="00006A45"/>
    <w:rsid w:val="00006D33"/>
    <w:rsid w:val="00006D65"/>
    <w:rsid w:val="00006F10"/>
    <w:rsid w:val="00007000"/>
    <w:rsid w:val="0000736B"/>
    <w:rsid w:val="00007384"/>
    <w:rsid w:val="000074F7"/>
    <w:rsid w:val="000076EB"/>
    <w:rsid w:val="000078A7"/>
    <w:rsid w:val="000079AC"/>
    <w:rsid w:val="0001019D"/>
    <w:rsid w:val="0001039D"/>
    <w:rsid w:val="00010648"/>
    <w:rsid w:val="000107EE"/>
    <w:rsid w:val="000110D2"/>
    <w:rsid w:val="00011239"/>
    <w:rsid w:val="00011426"/>
    <w:rsid w:val="000115DD"/>
    <w:rsid w:val="00011744"/>
    <w:rsid w:val="0001194E"/>
    <w:rsid w:val="00011B51"/>
    <w:rsid w:val="00011F0E"/>
    <w:rsid w:val="00011FFD"/>
    <w:rsid w:val="00012250"/>
    <w:rsid w:val="0001232F"/>
    <w:rsid w:val="000124E7"/>
    <w:rsid w:val="00012611"/>
    <w:rsid w:val="00012B18"/>
    <w:rsid w:val="00012B64"/>
    <w:rsid w:val="00012B72"/>
    <w:rsid w:val="00012C71"/>
    <w:rsid w:val="00012D93"/>
    <w:rsid w:val="000133FF"/>
    <w:rsid w:val="00013500"/>
    <w:rsid w:val="000135AF"/>
    <w:rsid w:val="00013658"/>
    <w:rsid w:val="0001365B"/>
    <w:rsid w:val="00013664"/>
    <w:rsid w:val="000138B9"/>
    <w:rsid w:val="00013E75"/>
    <w:rsid w:val="00013FAF"/>
    <w:rsid w:val="000140D0"/>
    <w:rsid w:val="000141DB"/>
    <w:rsid w:val="000149D2"/>
    <w:rsid w:val="00014A50"/>
    <w:rsid w:val="00014AEF"/>
    <w:rsid w:val="00014DC6"/>
    <w:rsid w:val="00015038"/>
    <w:rsid w:val="0001504B"/>
    <w:rsid w:val="00015084"/>
    <w:rsid w:val="000152A1"/>
    <w:rsid w:val="000153AD"/>
    <w:rsid w:val="00015553"/>
    <w:rsid w:val="00015575"/>
    <w:rsid w:val="00015656"/>
    <w:rsid w:val="000158D9"/>
    <w:rsid w:val="000159E2"/>
    <w:rsid w:val="00015B5D"/>
    <w:rsid w:val="00015C56"/>
    <w:rsid w:val="00016203"/>
    <w:rsid w:val="000162DC"/>
    <w:rsid w:val="0001676C"/>
    <w:rsid w:val="00016BFE"/>
    <w:rsid w:val="00016C3A"/>
    <w:rsid w:val="00016D38"/>
    <w:rsid w:val="00016DFF"/>
    <w:rsid w:val="000171CD"/>
    <w:rsid w:val="000171D4"/>
    <w:rsid w:val="00017248"/>
    <w:rsid w:val="00017308"/>
    <w:rsid w:val="000177C9"/>
    <w:rsid w:val="00017ADD"/>
    <w:rsid w:val="00017BE7"/>
    <w:rsid w:val="00017DC5"/>
    <w:rsid w:val="00017EAD"/>
    <w:rsid w:val="00017F2B"/>
    <w:rsid w:val="00017F4B"/>
    <w:rsid w:val="000201AF"/>
    <w:rsid w:val="0002023C"/>
    <w:rsid w:val="00020277"/>
    <w:rsid w:val="0002045D"/>
    <w:rsid w:val="0002046C"/>
    <w:rsid w:val="000204EB"/>
    <w:rsid w:val="000206F4"/>
    <w:rsid w:val="00020824"/>
    <w:rsid w:val="00020871"/>
    <w:rsid w:val="000208CE"/>
    <w:rsid w:val="0002098B"/>
    <w:rsid w:val="00020A17"/>
    <w:rsid w:val="00020BAE"/>
    <w:rsid w:val="00020C7C"/>
    <w:rsid w:val="00020CAA"/>
    <w:rsid w:val="00020CC3"/>
    <w:rsid w:val="00020E61"/>
    <w:rsid w:val="0002130A"/>
    <w:rsid w:val="00021A62"/>
    <w:rsid w:val="00021BE6"/>
    <w:rsid w:val="00021E64"/>
    <w:rsid w:val="00021EFA"/>
    <w:rsid w:val="000220FC"/>
    <w:rsid w:val="0002235F"/>
    <w:rsid w:val="00022665"/>
    <w:rsid w:val="00022B44"/>
    <w:rsid w:val="00022E89"/>
    <w:rsid w:val="00023074"/>
    <w:rsid w:val="00023118"/>
    <w:rsid w:val="00023565"/>
    <w:rsid w:val="000238B6"/>
    <w:rsid w:val="00023A7F"/>
    <w:rsid w:val="0002415A"/>
    <w:rsid w:val="00024A9C"/>
    <w:rsid w:val="00024D45"/>
    <w:rsid w:val="00024EEA"/>
    <w:rsid w:val="00024FF4"/>
    <w:rsid w:val="000252EA"/>
    <w:rsid w:val="000252FD"/>
    <w:rsid w:val="00025B4E"/>
    <w:rsid w:val="00025D7F"/>
    <w:rsid w:val="00026235"/>
    <w:rsid w:val="000263B3"/>
    <w:rsid w:val="0002650E"/>
    <w:rsid w:val="000266E6"/>
    <w:rsid w:val="00026AF6"/>
    <w:rsid w:val="00026AFD"/>
    <w:rsid w:val="00026C7D"/>
    <w:rsid w:val="00026DC5"/>
    <w:rsid w:val="00026EC7"/>
    <w:rsid w:val="00026F02"/>
    <w:rsid w:val="000273E1"/>
    <w:rsid w:val="000277ED"/>
    <w:rsid w:val="00027821"/>
    <w:rsid w:val="000278F2"/>
    <w:rsid w:val="00027934"/>
    <w:rsid w:val="00027945"/>
    <w:rsid w:val="000279A5"/>
    <w:rsid w:val="00027A43"/>
    <w:rsid w:val="000300BC"/>
    <w:rsid w:val="000301FE"/>
    <w:rsid w:val="00030493"/>
    <w:rsid w:val="000305AD"/>
    <w:rsid w:val="000305EB"/>
    <w:rsid w:val="000306B4"/>
    <w:rsid w:val="00030753"/>
    <w:rsid w:val="00030A24"/>
    <w:rsid w:val="00030CF0"/>
    <w:rsid w:val="00030D8F"/>
    <w:rsid w:val="00030E59"/>
    <w:rsid w:val="00030F0C"/>
    <w:rsid w:val="00030F12"/>
    <w:rsid w:val="0003110F"/>
    <w:rsid w:val="0003134D"/>
    <w:rsid w:val="000315A2"/>
    <w:rsid w:val="00031745"/>
    <w:rsid w:val="00031D37"/>
    <w:rsid w:val="00031EA9"/>
    <w:rsid w:val="00031ED4"/>
    <w:rsid w:val="00031EE6"/>
    <w:rsid w:val="00032185"/>
    <w:rsid w:val="00032338"/>
    <w:rsid w:val="0003268C"/>
    <w:rsid w:val="0003270A"/>
    <w:rsid w:val="00032AFC"/>
    <w:rsid w:val="00032B5B"/>
    <w:rsid w:val="00032EBC"/>
    <w:rsid w:val="00032FBD"/>
    <w:rsid w:val="00033154"/>
    <w:rsid w:val="000333E6"/>
    <w:rsid w:val="0003341D"/>
    <w:rsid w:val="000337F0"/>
    <w:rsid w:val="00033EFC"/>
    <w:rsid w:val="000343FA"/>
    <w:rsid w:val="00034482"/>
    <w:rsid w:val="0003462A"/>
    <w:rsid w:val="00034818"/>
    <w:rsid w:val="00034C85"/>
    <w:rsid w:val="00034D77"/>
    <w:rsid w:val="00034EA8"/>
    <w:rsid w:val="000350FD"/>
    <w:rsid w:val="000352EA"/>
    <w:rsid w:val="00035529"/>
    <w:rsid w:val="000355C4"/>
    <w:rsid w:val="0003572A"/>
    <w:rsid w:val="00035A59"/>
    <w:rsid w:val="00035A68"/>
    <w:rsid w:val="00035BD3"/>
    <w:rsid w:val="00035BEC"/>
    <w:rsid w:val="00035C4B"/>
    <w:rsid w:val="00035D0C"/>
    <w:rsid w:val="00035D57"/>
    <w:rsid w:val="00036330"/>
    <w:rsid w:val="00036336"/>
    <w:rsid w:val="0003650D"/>
    <w:rsid w:val="000365B7"/>
    <w:rsid w:val="00036AA8"/>
    <w:rsid w:val="00036CEB"/>
    <w:rsid w:val="00036E88"/>
    <w:rsid w:val="00036F0E"/>
    <w:rsid w:val="00037198"/>
    <w:rsid w:val="00037336"/>
    <w:rsid w:val="000375F2"/>
    <w:rsid w:val="00037A49"/>
    <w:rsid w:val="00037C36"/>
    <w:rsid w:val="00037E59"/>
    <w:rsid w:val="00037EBF"/>
    <w:rsid w:val="00040015"/>
    <w:rsid w:val="0004027E"/>
    <w:rsid w:val="00040595"/>
    <w:rsid w:val="00040AA2"/>
    <w:rsid w:val="00040C8E"/>
    <w:rsid w:val="00040DDF"/>
    <w:rsid w:val="00040DFE"/>
    <w:rsid w:val="00040E04"/>
    <w:rsid w:val="00040F40"/>
    <w:rsid w:val="00041415"/>
    <w:rsid w:val="000414C7"/>
    <w:rsid w:val="00041801"/>
    <w:rsid w:val="00041907"/>
    <w:rsid w:val="00041A6E"/>
    <w:rsid w:val="00041A93"/>
    <w:rsid w:val="00041C6A"/>
    <w:rsid w:val="00041E7E"/>
    <w:rsid w:val="00041F91"/>
    <w:rsid w:val="0004204F"/>
    <w:rsid w:val="0004214C"/>
    <w:rsid w:val="00042488"/>
    <w:rsid w:val="0004252C"/>
    <w:rsid w:val="00042897"/>
    <w:rsid w:val="0004293E"/>
    <w:rsid w:val="00042C41"/>
    <w:rsid w:val="00042D09"/>
    <w:rsid w:val="00042D62"/>
    <w:rsid w:val="00042ECC"/>
    <w:rsid w:val="00042F90"/>
    <w:rsid w:val="00043013"/>
    <w:rsid w:val="00043206"/>
    <w:rsid w:val="00043499"/>
    <w:rsid w:val="000434F4"/>
    <w:rsid w:val="00043550"/>
    <w:rsid w:val="000435C6"/>
    <w:rsid w:val="00043670"/>
    <w:rsid w:val="00043717"/>
    <w:rsid w:val="00043734"/>
    <w:rsid w:val="0004379B"/>
    <w:rsid w:val="00043A01"/>
    <w:rsid w:val="00043BFC"/>
    <w:rsid w:val="00043BFD"/>
    <w:rsid w:val="00043FF1"/>
    <w:rsid w:val="00044016"/>
    <w:rsid w:val="000442E6"/>
    <w:rsid w:val="00044404"/>
    <w:rsid w:val="000444D5"/>
    <w:rsid w:val="0004499E"/>
    <w:rsid w:val="00044C06"/>
    <w:rsid w:val="00044D07"/>
    <w:rsid w:val="00044D8D"/>
    <w:rsid w:val="00044DE7"/>
    <w:rsid w:val="00044E5E"/>
    <w:rsid w:val="00045031"/>
    <w:rsid w:val="00045042"/>
    <w:rsid w:val="000450FE"/>
    <w:rsid w:val="00045B6E"/>
    <w:rsid w:val="00045CEA"/>
    <w:rsid w:val="000460D1"/>
    <w:rsid w:val="000460E0"/>
    <w:rsid w:val="00046129"/>
    <w:rsid w:val="00046268"/>
    <w:rsid w:val="00046403"/>
    <w:rsid w:val="0004646F"/>
    <w:rsid w:val="0004648A"/>
    <w:rsid w:val="000465B5"/>
    <w:rsid w:val="00046707"/>
    <w:rsid w:val="00046799"/>
    <w:rsid w:val="00046B71"/>
    <w:rsid w:val="00046C93"/>
    <w:rsid w:val="00046D2A"/>
    <w:rsid w:val="00046E4F"/>
    <w:rsid w:val="00046FC5"/>
    <w:rsid w:val="0004707E"/>
    <w:rsid w:val="0004714E"/>
    <w:rsid w:val="0004725B"/>
    <w:rsid w:val="0004797A"/>
    <w:rsid w:val="00047BDF"/>
    <w:rsid w:val="00047F73"/>
    <w:rsid w:val="00047FC4"/>
    <w:rsid w:val="0005037E"/>
    <w:rsid w:val="00050680"/>
    <w:rsid w:val="00050839"/>
    <w:rsid w:val="00050977"/>
    <w:rsid w:val="000509C6"/>
    <w:rsid w:val="00050A7D"/>
    <w:rsid w:val="00050B9D"/>
    <w:rsid w:val="00050CEB"/>
    <w:rsid w:val="00050D74"/>
    <w:rsid w:val="00050F76"/>
    <w:rsid w:val="00051051"/>
    <w:rsid w:val="0005105B"/>
    <w:rsid w:val="0005106F"/>
    <w:rsid w:val="00051200"/>
    <w:rsid w:val="000512C7"/>
    <w:rsid w:val="0005149A"/>
    <w:rsid w:val="00051764"/>
    <w:rsid w:val="00051B1B"/>
    <w:rsid w:val="00051C84"/>
    <w:rsid w:val="00051DD7"/>
    <w:rsid w:val="00051F70"/>
    <w:rsid w:val="000521B1"/>
    <w:rsid w:val="00052267"/>
    <w:rsid w:val="000522D9"/>
    <w:rsid w:val="00052658"/>
    <w:rsid w:val="000527D1"/>
    <w:rsid w:val="000528F5"/>
    <w:rsid w:val="00052A67"/>
    <w:rsid w:val="00052AB4"/>
    <w:rsid w:val="00052C7B"/>
    <w:rsid w:val="00052D3D"/>
    <w:rsid w:val="0005316D"/>
    <w:rsid w:val="00053482"/>
    <w:rsid w:val="0005352F"/>
    <w:rsid w:val="00053C64"/>
    <w:rsid w:val="00053D4D"/>
    <w:rsid w:val="00053D86"/>
    <w:rsid w:val="00053DE2"/>
    <w:rsid w:val="00053E1D"/>
    <w:rsid w:val="00054228"/>
    <w:rsid w:val="000543C3"/>
    <w:rsid w:val="0005447B"/>
    <w:rsid w:val="0005459B"/>
    <w:rsid w:val="000545EB"/>
    <w:rsid w:val="00054F6F"/>
    <w:rsid w:val="000552FA"/>
    <w:rsid w:val="00055655"/>
    <w:rsid w:val="00055A20"/>
    <w:rsid w:val="00055C9B"/>
    <w:rsid w:val="0005621B"/>
    <w:rsid w:val="000567C6"/>
    <w:rsid w:val="00056918"/>
    <w:rsid w:val="00056D4B"/>
    <w:rsid w:val="00056ED9"/>
    <w:rsid w:val="000572E9"/>
    <w:rsid w:val="00057468"/>
    <w:rsid w:val="000574B7"/>
    <w:rsid w:val="000575C6"/>
    <w:rsid w:val="00057674"/>
    <w:rsid w:val="000577C4"/>
    <w:rsid w:val="00060085"/>
    <w:rsid w:val="0006023D"/>
    <w:rsid w:val="0006042A"/>
    <w:rsid w:val="000606A4"/>
    <w:rsid w:val="00060A60"/>
    <w:rsid w:val="00060E78"/>
    <w:rsid w:val="0006172A"/>
    <w:rsid w:val="00061861"/>
    <w:rsid w:val="000620E2"/>
    <w:rsid w:val="0006215C"/>
    <w:rsid w:val="0006231D"/>
    <w:rsid w:val="000625BF"/>
    <w:rsid w:val="00062751"/>
    <w:rsid w:val="00062D5D"/>
    <w:rsid w:val="00062F1F"/>
    <w:rsid w:val="00063070"/>
    <w:rsid w:val="000635AC"/>
    <w:rsid w:val="000636D5"/>
    <w:rsid w:val="000636E7"/>
    <w:rsid w:val="00063A48"/>
    <w:rsid w:val="00063D2F"/>
    <w:rsid w:val="00063D7C"/>
    <w:rsid w:val="00064038"/>
    <w:rsid w:val="000640F0"/>
    <w:rsid w:val="000641CF"/>
    <w:rsid w:val="0006432B"/>
    <w:rsid w:val="0006443F"/>
    <w:rsid w:val="00064549"/>
    <w:rsid w:val="00064557"/>
    <w:rsid w:val="0006456F"/>
    <w:rsid w:val="000648D9"/>
    <w:rsid w:val="0006499D"/>
    <w:rsid w:val="00064A27"/>
    <w:rsid w:val="00064BF8"/>
    <w:rsid w:val="00064C18"/>
    <w:rsid w:val="00064C61"/>
    <w:rsid w:val="00064EC5"/>
    <w:rsid w:val="00064ED0"/>
    <w:rsid w:val="000650C9"/>
    <w:rsid w:val="0006532D"/>
    <w:rsid w:val="0006559D"/>
    <w:rsid w:val="00065803"/>
    <w:rsid w:val="0006583C"/>
    <w:rsid w:val="00065A8F"/>
    <w:rsid w:val="00065AE4"/>
    <w:rsid w:val="00065CDA"/>
    <w:rsid w:val="00065D2A"/>
    <w:rsid w:val="00065E6E"/>
    <w:rsid w:val="00066018"/>
    <w:rsid w:val="0006604F"/>
    <w:rsid w:val="00066209"/>
    <w:rsid w:val="000665BB"/>
    <w:rsid w:val="000665D9"/>
    <w:rsid w:val="000667CC"/>
    <w:rsid w:val="00066AD2"/>
    <w:rsid w:val="00066F9C"/>
    <w:rsid w:val="0006703C"/>
    <w:rsid w:val="000670F0"/>
    <w:rsid w:val="00067145"/>
    <w:rsid w:val="00067895"/>
    <w:rsid w:val="00067B46"/>
    <w:rsid w:val="00067D13"/>
    <w:rsid w:val="00067D54"/>
    <w:rsid w:val="00067FF9"/>
    <w:rsid w:val="0007074F"/>
    <w:rsid w:val="00070767"/>
    <w:rsid w:val="00070B3E"/>
    <w:rsid w:val="00070E04"/>
    <w:rsid w:val="00070F3F"/>
    <w:rsid w:val="00071079"/>
    <w:rsid w:val="000711B5"/>
    <w:rsid w:val="0007127E"/>
    <w:rsid w:val="00071446"/>
    <w:rsid w:val="00071668"/>
    <w:rsid w:val="0007168A"/>
    <w:rsid w:val="00071830"/>
    <w:rsid w:val="000718A4"/>
    <w:rsid w:val="000718DF"/>
    <w:rsid w:val="00071A4B"/>
    <w:rsid w:val="00071BCF"/>
    <w:rsid w:val="00071C6D"/>
    <w:rsid w:val="00071DC9"/>
    <w:rsid w:val="00071DCD"/>
    <w:rsid w:val="00071E21"/>
    <w:rsid w:val="00071E32"/>
    <w:rsid w:val="00071F05"/>
    <w:rsid w:val="00072190"/>
    <w:rsid w:val="0007232D"/>
    <w:rsid w:val="00072385"/>
    <w:rsid w:val="00072405"/>
    <w:rsid w:val="00072504"/>
    <w:rsid w:val="00072558"/>
    <w:rsid w:val="000725BF"/>
    <w:rsid w:val="00072645"/>
    <w:rsid w:val="00072E05"/>
    <w:rsid w:val="00072F15"/>
    <w:rsid w:val="00073116"/>
    <w:rsid w:val="0007339A"/>
    <w:rsid w:val="000733BC"/>
    <w:rsid w:val="000733CF"/>
    <w:rsid w:val="00073598"/>
    <w:rsid w:val="000738FC"/>
    <w:rsid w:val="00073953"/>
    <w:rsid w:val="00073BBB"/>
    <w:rsid w:val="00073BBF"/>
    <w:rsid w:val="00073D34"/>
    <w:rsid w:val="00074046"/>
    <w:rsid w:val="000740F8"/>
    <w:rsid w:val="00074274"/>
    <w:rsid w:val="000742BA"/>
    <w:rsid w:val="00074358"/>
    <w:rsid w:val="00074533"/>
    <w:rsid w:val="000745D0"/>
    <w:rsid w:val="00074767"/>
    <w:rsid w:val="000747DE"/>
    <w:rsid w:val="0007494B"/>
    <w:rsid w:val="00074A69"/>
    <w:rsid w:val="00074DD4"/>
    <w:rsid w:val="00074F20"/>
    <w:rsid w:val="000751F9"/>
    <w:rsid w:val="00075204"/>
    <w:rsid w:val="0007569E"/>
    <w:rsid w:val="000758BB"/>
    <w:rsid w:val="000759A9"/>
    <w:rsid w:val="00075B26"/>
    <w:rsid w:val="00075E3F"/>
    <w:rsid w:val="000760C2"/>
    <w:rsid w:val="00076212"/>
    <w:rsid w:val="000763F5"/>
    <w:rsid w:val="00076449"/>
    <w:rsid w:val="00076550"/>
    <w:rsid w:val="00076871"/>
    <w:rsid w:val="000768D0"/>
    <w:rsid w:val="00076F42"/>
    <w:rsid w:val="00076F84"/>
    <w:rsid w:val="00076FB0"/>
    <w:rsid w:val="00077041"/>
    <w:rsid w:val="00077128"/>
    <w:rsid w:val="0007714C"/>
    <w:rsid w:val="0007727D"/>
    <w:rsid w:val="000772CC"/>
    <w:rsid w:val="0007730C"/>
    <w:rsid w:val="0007731D"/>
    <w:rsid w:val="0007747B"/>
    <w:rsid w:val="000777D8"/>
    <w:rsid w:val="00077A44"/>
    <w:rsid w:val="00077AE8"/>
    <w:rsid w:val="00077C9E"/>
    <w:rsid w:val="00077DB4"/>
    <w:rsid w:val="00077E6A"/>
    <w:rsid w:val="00080114"/>
    <w:rsid w:val="00080211"/>
    <w:rsid w:val="00080231"/>
    <w:rsid w:val="00080234"/>
    <w:rsid w:val="000805C8"/>
    <w:rsid w:val="000807AA"/>
    <w:rsid w:val="00080BD4"/>
    <w:rsid w:val="00080C5C"/>
    <w:rsid w:val="000810AF"/>
    <w:rsid w:val="000812B9"/>
    <w:rsid w:val="0008158F"/>
    <w:rsid w:val="00081611"/>
    <w:rsid w:val="00081A1E"/>
    <w:rsid w:val="00081B29"/>
    <w:rsid w:val="00081DA5"/>
    <w:rsid w:val="00081FAE"/>
    <w:rsid w:val="00082029"/>
    <w:rsid w:val="000820DF"/>
    <w:rsid w:val="00082189"/>
    <w:rsid w:val="000821B9"/>
    <w:rsid w:val="000822B8"/>
    <w:rsid w:val="000823E1"/>
    <w:rsid w:val="0008265A"/>
    <w:rsid w:val="00082728"/>
    <w:rsid w:val="000828E5"/>
    <w:rsid w:val="00082CE3"/>
    <w:rsid w:val="00082F97"/>
    <w:rsid w:val="00083361"/>
    <w:rsid w:val="000833F9"/>
    <w:rsid w:val="000834F2"/>
    <w:rsid w:val="00083580"/>
    <w:rsid w:val="00083599"/>
    <w:rsid w:val="0008367C"/>
    <w:rsid w:val="00083821"/>
    <w:rsid w:val="00083A4D"/>
    <w:rsid w:val="00083AE6"/>
    <w:rsid w:val="00083C89"/>
    <w:rsid w:val="000840A9"/>
    <w:rsid w:val="000847E9"/>
    <w:rsid w:val="0008484C"/>
    <w:rsid w:val="00084BF3"/>
    <w:rsid w:val="00084D35"/>
    <w:rsid w:val="00084EAB"/>
    <w:rsid w:val="00085125"/>
    <w:rsid w:val="00085221"/>
    <w:rsid w:val="0008534B"/>
    <w:rsid w:val="0008544F"/>
    <w:rsid w:val="000855FB"/>
    <w:rsid w:val="000856FC"/>
    <w:rsid w:val="00085792"/>
    <w:rsid w:val="000858B7"/>
    <w:rsid w:val="00085AE6"/>
    <w:rsid w:val="00085B59"/>
    <w:rsid w:val="00085BF5"/>
    <w:rsid w:val="00085D76"/>
    <w:rsid w:val="00085FB9"/>
    <w:rsid w:val="000860CA"/>
    <w:rsid w:val="000862A4"/>
    <w:rsid w:val="000865AC"/>
    <w:rsid w:val="00086865"/>
    <w:rsid w:val="00086907"/>
    <w:rsid w:val="00086A06"/>
    <w:rsid w:val="00086A08"/>
    <w:rsid w:val="00086BC3"/>
    <w:rsid w:val="00086EE1"/>
    <w:rsid w:val="000877C7"/>
    <w:rsid w:val="000879E8"/>
    <w:rsid w:val="00087DDF"/>
    <w:rsid w:val="00087E05"/>
    <w:rsid w:val="00087EFB"/>
    <w:rsid w:val="00087F4E"/>
    <w:rsid w:val="000900DC"/>
    <w:rsid w:val="000901EC"/>
    <w:rsid w:val="0009026C"/>
    <w:rsid w:val="0009030F"/>
    <w:rsid w:val="00090330"/>
    <w:rsid w:val="0009037F"/>
    <w:rsid w:val="000904CE"/>
    <w:rsid w:val="00090943"/>
    <w:rsid w:val="00090BF7"/>
    <w:rsid w:val="00090C65"/>
    <w:rsid w:val="00090E55"/>
    <w:rsid w:val="00090FB3"/>
    <w:rsid w:val="000910EB"/>
    <w:rsid w:val="0009115E"/>
    <w:rsid w:val="000911F1"/>
    <w:rsid w:val="000913C7"/>
    <w:rsid w:val="000917F3"/>
    <w:rsid w:val="000918B0"/>
    <w:rsid w:val="00091E3D"/>
    <w:rsid w:val="00091F2F"/>
    <w:rsid w:val="000923F6"/>
    <w:rsid w:val="0009246B"/>
    <w:rsid w:val="0009270B"/>
    <w:rsid w:val="000927FE"/>
    <w:rsid w:val="00092829"/>
    <w:rsid w:val="00092908"/>
    <w:rsid w:val="0009294B"/>
    <w:rsid w:val="00092ACD"/>
    <w:rsid w:val="00092BCC"/>
    <w:rsid w:val="00092C3C"/>
    <w:rsid w:val="00092CBE"/>
    <w:rsid w:val="00092E21"/>
    <w:rsid w:val="00092E82"/>
    <w:rsid w:val="00093715"/>
    <w:rsid w:val="000937A2"/>
    <w:rsid w:val="000937CC"/>
    <w:rsid w:val="000938F1"/>
    <w:rsid w:val="00093AAC"/>
    <w:rsid w:val="00093C1B"/>
    <w:rsid w:val="00094125"/>
    <w:rsid w:val="00094571"/>
    <w:rsid w:val="0009459C"/>
    <w:rsid w:val="00094979"/>
    <w:rsid w:val="00094B0C"/>
    <w:rsid w:val="00094C0B"/>
    <w:rsid w:val="00094C6F"/>
    <w:rsid w:val="00094C94"/>
    <w:rsid w:val="00094DD5"/>
    <w:rsid w:val="0009506C"/>
    <w:rsid w:val="0009513D"/>
    <w:rsid w:val="0009577F"/>
    <w:rsid w:val="000958CB"/>
    <w:rsid w:val="000958D8"/>
    <w:rsid w:val="000958FA"/>
    <w:rsid w:val="0009616A"/>
    <w:rsid w:val="00096361"/>
    <w:rsid w:val="0009646A"/>
    <w:rsid w:val="00096506"/>
    <w:rsid w:val="0009672B"/>
    <w:rsid w:val="00096DA3"/>
    <w:rsid w:val="00096DD8"/>
    <w:rsid w:val="00096E43"/>
    <w:rsid w:val="00097345"/>
    <w:rsid w:val="00097752"/>
    <w:rsid w:val="000978C1"/>
    <w:rsid w:val="00097B54"/>
    <w:rsid w:val="00097B5A"/>
    <w:rsid w:val="00097C87"/>
    <w:rsid w:val="00097D98"/>
    <w:rsid w:val="00097EB2"/>
    <w:rsid w:val="00097F12"/>
    <w:rsid w:val="00097F3F"/>
    <w:rsid w:val="00097F42"/>
    <w:rsid w:val="00097F58"/>
    <w:rsid w:val="00097F91"/>
    <w:rsid w:val="000A0166"/>
    <w:rsid w:val="000A01DC"/>
    <w:rsid w:val="000A050F"/>
    <w:rsid w:val="000A0661"/>
    <w:rsid w:val="000A07CF"/>
    <w:rsid w:val="000A0D96"/>
    <w:rsid w:val="000A0E3C"/>
    <w:rsid w:val="000A0ED4"/>
    <w:rsid w:val="000A165D"/>
    <w:rsid w:val="000A17A5"/>
    <w:rsid w:val="000A1920"/>
    <w:rsid w:val="000A19EF"/>
    <w:rsid w:val="000A1A81"/>
    <w:rsid w:val="000A1AEE"/>
    <w:rsid w:val="000A1E04"/>
    <w:rsid w:val="000A1F9F"/>
    <w:rsid w:val="000A25B3"/>
    <w:rsid w:val="000A25FD"/>
    <w:rsid w:val="000A2790"/>
    <w:rsid w:val="000A2872"/>
    <w:rsid w:val="000A28BE"/>
    <w:rsid w:val="000A294F"/>
    <w:rsid w:val="000A2A11"/>
    <w:rsid w:val="000A2A6C"/>
    <w:rsid w:val="000A2ACE"/>
    <w:rsid w:val="000A2EA8"/>
    <w:rsid w:val="000A2ECD"/>
    <w:rsid w:val="000A2F6A"/>
    <w:rsid w:val="000A2FFA"/>
    <w:rsid w:val="000A3240"/>
    <w:rsid w:val="000A3359"/>
    <w:rsid w:val="000A3575"/>
    <w:rsid w:val="000A365C"/>
    <w:rsid w:val="000A36B5"/>
    <w:rsid w:val="000A37BC"/>
    <w:rsid w:val="000A3A12"/>
    <w:rsid w:val="000A3D82"/>
    <w:rsid w:val="000A3DA3"/>
    <w:rsid w:val="000A4191"/>
    <w:rsid w:val="000A42FD"/>
    <w:rsid w:val="000A43AF"/>
    <w:rsid w:val="000A46E5"/>
    <w:rsid w:val="000A4713"/>
    <w:rsid w:val="000A4A4B"/>
    <w:rsid w:val="000A4C13"/>
    <w:rsid w:val="000A4D44"/>
    <w:rsid w:val="000A5123"/>
    <w:rsid w:val="000A5161"/>
    <w:rsid w:val="000A5351"/>
    <w:rsid w:val="000A5A96"/>
    <w:rsid w:val="000A5AF5"/>
    <w:rsid w:val="000A5D74"/>
    <w:rsid w:val="000A5E72"/>
    <w:rsid w:val="000A60F7"/>
    <w:rsid w:val="000A6922"/>
    <w:rsid w:val="000A6C19"/>
    <w:rsid w:val="000A6C98"/>
    <w:rsid w:val="000A6CD2"/>
    <w:rsid w:val="000A6D90"/>
    <w:rsid w:val="000A6DCB"/>
    <w:rsid w:val="000A6E9A"/>
    <w:rsid w:val="000A702D"/>
    <w:rsid w:val="000A7796"/>
    <w:rsid w:val="000A7899"/>
    <w:rsid w:val="000A795C"/>
    <w:rsid w:val="000A7A67"/>
    <w:rsid w:val="000A7BAE"/>
    <w:rsid w:val="000A7FCD"/>
    <w:rsid w:val="000B0004"/>
    <w:rsid w:val="000B05A5"/>
    <w:rsid w:val="000B05E1"/>
    <w:rsid w:val="000B07B5"/>
    <w:rsid w:val="000B0EF3"/>
    <w:rsid w:val="000B0F13"/>
    <w:rsid w:val="000B1113"/>
    <w:rsid w:val="000B14D5"/>
    <w:rsid w:val="000B1528"/>
    <w:rsid w:val="000B1EE5"/>
    <w:rsid w:val="000B1F5D"/>
    <w:rsid w:val="000B2032"/>
    <w:rsid w:val="000B21F4"/>
    <w:rsid w:val="000B24BC"/>
    <w:rsid w:val="000B290C"/>
    <w:rsid w:val="000B293E"/>
    <w:rsid w:val="000B2CDD"/>
    <w:rsid w:val="000B2FE6"/>
    <w:rsid w:val="000B315F"/>
    <w:rsid w:val="000B3234"/>
    <w:rsid w:val="000B32B5"/>
    <w:rsid w:val="000B32BA"/>
    <w:rsid w:val="000B3321"/>
    <w:rsid w:val="000B3348"/>
    <w:rsid w:val="000B3612"/>
    <w:rsid w:val="000B39E1"/>
    <w:rsid w:val="000B3AB2"/>
    <w:rsid w:val="000B3BF8"/>
    <w:rsid w:val="000B3CD1"/>
    <w:rsid w:val="000B3F21"/>
    <w:rsid w:val="000B4001"/>
    <w:rsid w:val="000B4086"/>
    <w:rsid w:val="000B417E"/>
    <w:rsid w:val="000B42E0"/>
    <w:rsid w:val="000B450A"/>
    <w:rsid w:val="000B45DB"/>
    <w:rsid w:val="000B48A4"/>
    <w:rsid w:val="000B48AE"/>
    <w:rsid w:val="000B4A35"/>
    <w:rsid w:val="000B4EB3"/>
    <w:rsid w:val="000B53D5"/>
    <w:rsid w:val="000B53F9"/>
    <w:rsid w:val="000B554E"/>
    <w:rsid w:val="000B56B0"/>
    <w:rsid w:val="000B5973"/>
    <w:rsid w:val="000B59F0"/>
    <w:rsid w:val="000B5A68"/>
    <w:rsid w:val="000B5C93"/>
    <w:rsid w:val="000B5E20"/>
    <w:rsid w:val="000B5E49"/>
    <w:rsid w:val="000B62BA"/>
    <w:rsid w:val="000B6572"/>
    <w:rsid w:val="000B65FA"/>
    <w:rsid w:val="000B6708"/>
    <w:rsid w:val="000B6709"/>
    <w:rsid w:val="000B6923"/>
    <w:rsid w:val="000B6A1B"/>
    <w:rsid w:val="000B6A65"/>
    <w:rsid w:val="000B6A66"/>
    <w:rsid w:val="000B6EC5"/>
    <w:rsid w:val="000B6F6F"/>
    <w:rsid w:val="000B7107"/>
    <w:rsid w:val="000B7122"/>
    <w:rsid w:val="000B72C2"/>
    <w:rsid w:val="000B72EB"/>
    <w:rsid w:val="000B74A4"/>
    <w:rsid w:val="000B77C7"/>
    <w:rsid w:val="000B7B87"/>
    <w:rsid w:val="000B7CD1"/>
    <w:rsid w:val="000B7D8E"/>
    <w:rsid w:val="000B7E47"/>
    <w:rsid w:val="000C0102"/>
    <w:rsid w:val="000C015F"/>
    <w:rsid w:val="000C043D"/>
    <w:rsid w:val="000C0628"/>
    <w:rsid w:val="000C07B4"/>
    <w:rsid w:val="000C0B10"/>
    <w:rsid w:val="000C0C99"/>
    <w:rsid w:val="000C0D0E"/>
    <w:rsid w:val="000C0EB3"/>
    <w:rsid w:val="000C15DE"/>
    <w:rsid w:val="000C1718"/>
    <w:rsid w:val="000C1820"/>
    <w:rsid w:val="000C1AEA"/>
    <w:rsid w:val="000C1C21"/>
    <w:rsid w:val="000C1FF2"/>
    <w:rsid w:val="000C2047"/>
    <w:rsid w:val="000C20E8"/>
    <w:rsid w:val="000C23B3"/>
    <w:rsid w:val="000C25B8"/>
    <w:rsid w:val="000C25E3"/>
    <w:rsid w:val="000C261C"/>
    <w:rsid w:val="000C26DB"/>
    <w:rsid w:val="000C2DEB"/>
    <w:rsid w:val="000C2EEF"/>
    <w:rsid w:val="000C2F24"/>
    <w:rsid w:val="000C30D9"/>
    <w:rsid w:val="000C3248"/>
    <w:rsid w:val="000C32FC"/>
    <w:rsid w:val="000C3303"/>
    <w:rsid w:val="000C3348"/>
    <w:rsid w:val="000C337E"/>
    <w:rsid w:val="000C38C4"/>
    <w:rsid w:val="000C3BC9"/>
    <w:rsid w:val="000C4029"/>
    <w:rsid w:val="000C44E3"/>
    <w:rsid w:val="000C4876"/>
    <w:rsid w:val="000C4E18"/>
    <w:rsid w:val="000C5191"/>
    <w:rsid w:val="000C51B1"/>
    <w:rsid w:val="000C5246"/>
    <w:rsid w:val="000C561A"/>
    <w:rsid w:val="000C584D"/>
    <w:rsid w:val="000C586B"/>
    <w:rsid w:val="000C59E0"/>
    <w:rsid w:val="000C5B72"/>
    <w:rsid w:val="000C5CDB"/>
    <w:rsid w:val="000C5D02"/>
    <w:rsid w:val="000C5D38"/>
    <w:rsid w:val="000C5DFE"/>
    <w:rsid w:val="000C5E96"/>
    <w:rsid w:val="000C613F"/>
    <w:rsid w:val="000C6630"/>
    <w:rsid w:val="000C6660"/>
    <w:rsid w:val="000C68D4"/>
    <w:rsid w:val="000C6C2B"/>
    <w:rsid w:val="000C6CED"/>
    <w:rsid w:val="000C6D03"/>
    <w:rsid w:val="000C6D9B"/>
    <w:rsid w:val="000C72F6"/>
    <w:rsid w:val="000C7460"/>
    <w:rsid w:val="000C75B8"/>
    <w:rsid w:val="000C76EA"/>
    <w:rsid w:val="000C786A"/>
    <w:rsid w:val="000C78D8"/>
    <w:rsid w:val="000C7A02"/>
    <w:rsid w:val="000C7C53"/>
    <w:rsid w:val="000D0089"/>
    <w:rsid w:val="000D04CA"/>
    <w:rsid w:val="000D0750"/>
    <w:rsid w:val="000D0875"/>
    <w:rsid w:val="000D0E9B"/>
    <w:rsid w:val="000D12A3"/>
    <w:rsid w:val="000D1701"/>
    <w:rsid w:val="000D18D4"/>
    <w:rsid w:val="000D1AE7"/>
    <w:rsid w:val="000D1B3D"/>
    <w:rsid w:val="000D1B8E"/>
    <w:rsid w:val="000D1C11"/>
    <w:rsid w:val="000D1DEE"/>
    <w:rsid w:val="000D1E8D"/>
    <w:rsid w:val="000D20F3"/>
    <w:rsid w:val="000D2396"/>
    <w:rsid w:val="000D23E2"/>
    <w:rsid w:val="000D26E1"/>
    <w:rsid w:val="000D2716"/>
    <w:rsid w:val="000D27FB"/>
    <w:rsid w:val="000D28BC"/>
    <w:rsid w:val="000D2BBC"/>
    <w:rsid w:val="000D314E"/>
    <w:rsid w:val="000D3464"/>
    <w:rsid w:val="000D382E"/>
    <w:rsid w:val="000D3E2E"/>
    <w:rsid w:val="000D4035"/>
    <w:rsid w:val="000D413E"/>
    <w:rsid w:val="000D43E9"/>
    <w:rsid w:val="000D44CE"/>
    <w:rsid w:val="000D4760"/>
    <w:rsid w:val="000D4777"/>
    <w:rsid w:val="000D47B3"/>
    <w:rsid w:val="000D4892"/>
    <w:rsid w:val="000D4B1F"/>
    <w:rsid w:val="000D4E68"/>
    <w:rsid w:val="000D4F95"/>
    <w:rsid w:val="000D4FCF"/>
    <w:rsid w:val="000D570A"/>
    <w:rsid w:val="000D5AA1"/>
    <w:rsid w:val="000D5B1D"/>
    <w:rsid w:val="000D63B0"/>
    <w:rsid w:val="000D649B"/>
    <w:rsid w:val="000D663B"/>
    <w:rsid w:val="000D67D7"/>
    <w:rsid w:val="000D6804"/>
    <w:rsid w:val="000D69B5"/>
    <w:rsid w:val="000D6A98"/>
    <w:rsid w:val="000D6C5F"/>
    <w:rsid w:val="000D7375"/>
    <w:rsid w:val="000D73B8"/>
    <w:rsid w:val="000D772D"/>
    <w:rsid w:val="000D7B38"/>
    <w:rsid w:val="000D7D4C"/>
    <w:rsid w:val="000D7D8F"/>
    <w:rsid w:val="000D7EDA"/>
    <w:rsid w:val="000D7FC7"/>
    <w:rsid w:val="000E055C"/>
    <w:rsid w:val="000E07B5"/>
    <w:rsid w:val="000E0971"/>
    <w:rsid w:val="000E0A38"/>
    <w:rsid w:val="000E1211"/>
    <w:rsid w:val="000E1346"/>
    <w:rsid w:val="000E1534"/>
    <w:rsid w:val="000E1780"/>
    <w:rsid w:val="000E17F4"/>
    <w:rsid w:val="000E18CA"/>
    <w:rsid w:val="000E19FB"/>
    <w:rsid w:val="000E1A28"/>
    <w:rsid w:val="000E1A56"/>
    <w:rsid w:val="000E1B08"/>
    <w:rsid w:val="000E1DA1"/>
    <w:rsid w:val="000E203C"/>
    <w:rsid w:val="000E205B"/>
    <w:rsid w:val="000E2461"/>
    <w:rsid w:val="000E26D1"/>
    <w:rsid w:val="000E270E"/>
    <w:rsid w:val="000E2962"/>
    <w:rsid w:val="000E2FFB"/>
    <w:rsid w:val="000E322A"/>
    <w:rsid w:val="000E3349"/>
    <w:rsid w:val="000E379F"/>
    <w:rsid w:val="000E38EF"/>
    <w:rsid w:val="000E3BE3"/>
    <w:rsid w:val="000E3FE9"/>
    <w:rsid w:val="000E40CE"/>
    <w:rsid w:val="000E4403"/>
    <w:rsid w:val="000E44CC"/>
    <w:rsid w:val="000E44D1"/>
    <w:rsid w:val="000E480A"/>
    <w:rsid w:val="000E4A83"/>
    <w:rsid w:val="000E4F3B"/>
    <w:rsid w:val="000E4F89"/>
    <w:rsid w:val="000E517D"/>
    <w:rsid w:val="000E522E"/>
    <w:rsid w:val="000E54A2"/>
    <w:rsid w:val="000E54B3"/>
    <w:rsid w:val="000E5583"/>
    <w:rsid w:val="000E564D"/>
    <w:rsid w:val="000E58C4"/>
    <w:rsid w:val="000E58D9"/>
    <w:rsid w:val="000E59F6"/>
    <w:rsid w:val="000E5AE2"/>
    <w:rsid w:val="000E5B30"/>
    <w:rsid w:val="000E5BBD"/>
    <w:rsid w:val="000E5E1F"/>
    <w:rsid w:val="000E6085"/>
    <w:rsid w:val="000E657C"/>
    <w:rsid w:val="000E66F8"/>
    <w:rsid w:val="000E6886"/>
    <w:rsid w:val="000E69FF"/>
    <w:rsid w:val="000E715A"/>
    <w:rsid w:val="000E73B9"/>
    <w:rsid w:val="000E76AC"/>
    <w:rsid w:val="000E78EE"/>
    <w:rsid w:val="000E7908"/>
    <w:rsid w:val="000E7954"/>
    <w:rsid w:val="000E796D"/>
    <w:rsid w:val="000E7A33"/>
    <w:rsid w:val="000E7F22"/>
    <w:rsid w:val="000E7FCA"/>
    <w:rsid w:val="000F0012"/>
    <w:rsid w:val="000F0751"/>
    <w:rsid w:val="000F08FA"/>
    <w:rsid w:val="000F09C2"/>
    <w:rsid w:val="000F0C81"/>
    <w:rsid w:val="000F0F5A"/>
    <w:rsid w:val="000F0F9C"/>
    <w:rsid w:val="000F1138"/>
    <w:rsid w:val="000F13B4"/>
    <w:rsid w:val="000F1524"/>
    <w:rsid w:val="000F158C"/>
    <w:rsid w:val="000F15AF"/>
    <w:rsid w:val="000F15EC"/>
    <w:rsid w:val="000F15F7"/>
    <w:rsid w:val="000F1CA0"/>
    <w:rsid w:val="000F1CC7"/>
    <w:rsid w:val="000F22E2"/>
    <w:rsid w:val="000F2489"/>
    <w:rsid w:val="000F2498"/>
    <w:rsid w:val="000F24B7"/>
    <w:rsid w:val="000F2A05"/>
    <w:rsid w:val="000F2B27"/>
    <w:rsid w:val="000F2B47"/>
    <w:rsid w:val="000F2C12"/>
    <w:rsid w:val="000F2F85"/>
    <w:rsid w:val="000F3153"/>
    <w:rsid w:val="000F3571"/>
    <w:rsid w:val="000F36A0"/>
    <w:rsid w:val="000F36CB"/>
    <w:rsid w:val="000F390B"/>
    <w:rsid w:val="000F3985"/>
    <w:rsid w:val="000F3A58"/>
    <w:rsid w:val="000F3AE3"/>
    <w:rsid w:val="000F3D83"/>
    <w:rsid w:val="000F428C"/>
    <w:rsid w:val="000F44F1"/>
    <w:rsid w:val="000F4678"/>
    <w:rsid w:val="000F474D"/>
    <w:rsid w:val="000F47FC"/>
    <w:rsid w:val="000F4936"/>
    <w:rsid w:val="000F4B6B"/>
    <w:rsid w:val="000F4CBD"/>
    <w:rsid w:val="000F4D92"/>
    <w:rsid w:val="000F4E83"/>
    <w:rsid w:val="000F4ECB"/>
    <w:rsid w:val="000F4F9F"/>
    <w:rsid w:val="000F4FA5"/>
    <w:rsid w:val="000F509C"/>
    <w:rsid w:val="000F5212"/>
    <w:rsid w:val="000F5A2B"/>
    <w:rsid w:val="000F5A31"/>
    <w:rsid w:val="000F5D1E"/>
    <w:rsid w:val="000F5F6A"/>
    <w:rsid w:val="000F63D6"/>
    <w:rsid w:val="000F6CB8"/>
    <w:rsid w:val="000F7234"/>
    <w:rsid w:val="000F7381"/>
    <w:rsid w:val="000F76DE"/>
    <w:rsid w:val="000F7812"/>
    <w:rsid w:val="000F7ABF"/>
    <w:rsid w:val="000F7F25"/>
    <w:rsid w:val="000F7FB4"/>
    <w:rsid w:val="00100167"/>
    <w:rsid w:val="00100523"/>
    <w:rsid w:val="0010059E"/>
    <w:rsid w:val="001006A8"/>
    <w:rsid w:val="001008EA"/>
    <w:rsid w:val="00100979"/>
    <w:rsid w:val="00100CE6"/>
    <w:rsid w:val="00100ECE"/>
    <w:rsid w:val="0010113C"/>
    <w:rsid w:val="0010116B"/>
    <w:rsid w:val="0010120E"/>
    <w:rsid w:val="001013E4"/>
    <w:rsid w:val="0010209C"/>
    <w:rsid w:val="0010214E"/>
    <w:rsid w:val="00102516"/>
    <w:rsid w:val="001026BE"/>
    <w:rsid w:val="001026C4"/>
    <w:rsid w:val="0010274F"/>
    <w:rsid w:val="00102A35"/>
    <w:rsid w:val="00102DB0"/>
    <w:rsid w:val="00102EAB"/>
    <w:rsid w:val="00103227"/>
    <w:rsid w:val="0010324F"/>
    <w:rsid w:val="0010342F"/>
    <w:rsid w:val="0010351F"/>
    <w:rsid w:val="0010356C"/>
    <w:rsid w:val="00103608"/>
    <w:rsid w:val="001036DE"/>
    <w:rsid w:val="0010385E"/>
    <w:rsid w:val="00103E69"/>
    <w:rsid w:val="0010404C"/>
    <w:rsid w:val="00104459"/>
    <w:rsid w:val="001045DB"/>
    <w:rsid w:val="00104663"/>
    <w:rsid w:val="001049E5"/>
    <w:rsid w:val="00104F69"/>
    <w:rsid w:val="001052BA"/>
    <w:rsid w:val="0010567E"/>
    <w:rsid w:val="001059C9"/>
    <w:rsid w:val="00105E9C"/>
    <w:rsid w:val="00105FBC"/>
    <w:rsid w:val="001061D8"/>
    <w:rsid w:val="00106305"/>
    <w:rsid w:val="00106543"/>
    <w:rsid w:val="00106715"/>
    <w:rsid w:val="001067A9"/>
    <w:rsid w:val="00106C23"/>
    <w:rsid w:val="001070B7"/>
    <w:rsid w:val="001074E9"/>
    <w:rsid w:val="00107524"/>
    <w:rsid w:val="00107624"/>
    <w:rsid w:val="0010771E"/>
    <w:rsid w:val="001077C2"/>
    <w:rsid w:val="001077C3"/>
    <w:rsid w:val="00107AA7"/>
    <w:rsid w:val="00107C01"/>
    <w:rsid w:val="00107C70"/>
    <w:rsid w:val="00107E28"/>
    <w:rsid w:val="00107E3D"/>
    <w:rsid w:val="00107E4D"/>
    <w:rsid w:val="00107E86"/>
    <w:rsid w:val="00107F4E"/>
    <w:rsid w:val="00107FD0"/>
    <w:rsid w:val="00110256"/>
    <w:rsid w:val="001106EA"/>
    <w:rsid w:val="001107B5"/>
    <w:rsid w:val="00110937"/>
    <w:rsid w:val="00110C4A"/>
    <w:rsid w:val="00110C68"/>
    <w:rsid w:val="00110F34"/>
    <w:rsid w:val="00111014"/>
    <w:rsid w:val="001112AB"/>
    <w:rsid w:val="00111853"/>
    <w:rsid w:val="00111904"/>
    <w:rsid w:val="0011192B"/>
    <w:rsid w:val="00111A55"/>
    <w:rsid w:val="00111A76"/>
    <w:rsid w:val="00111C22"/>
    <w:rsid w:val="00111E4D"/>
    <w:rsid w:val="00112053"/>
    <w:rsid w:val="0011251F"/>
    <w:rsid w:val="001125E6"/>
    <w:rsid w:val="0011277B"/>
    <w:rsid w:val="0011278D"/>
    <w:rsid w:val="00112A7B"/>
    <w:rsid w:val="00112C2A"/>
    <w:rsid w:val="0011300B"/>
    <w:rsid w:val="0011301C"/>
    <w:rsid w:val="00113177"/>
    <w:rsid w:val="001131B6"/>
    <w:rsid w:val="001132FF"/>
    <w:rsid w:val="00113550"/>
    <w:rsid w:val="0011358B"/>
    <w:rsid w:val="00113622"/>
    <w:rsid w:val="00113940"/>
    <w:rsid w:val="00113945"/>
    <w:rsid w:val="00113BDE"/>
    <w:rsid w:val="00113E93"/>
    <w:rsid w:val="0011406D"/>
    <w:rsid w:val="001141BD"/>
    <w:rsid w:val="0011428A"/>
    <w:rsid w:val="00114352"/>
    <w:rsid w:val="001143F9"/>
    <w:rsid w:val="001144D8"/>
    <w:rsid w:val="0011454A"/>
    <w:rsid w:val="001147F6"/>
    <w:rsid w:val="00114A1B"/>
    <w:rsid w:val="00114BAC"/>
    <w:rsid w:val="00114F86"/>
    <w:rsid w:val="00115605"/>
    <w:rsid w:val="0011579F"/>
    <w:rsid w:val="0011586C"/>
    <w:rsid w:val="00115A48"/>
    <w:rsid w:val="00115E50"/>
    <w:rsid w:val="00116353"/>
    <w:rsid w:val="001165AC"/>
    <w:rsid w:val="00116931"/>
    <w:rsid w:val="00116C4C"/>
    <w:rsid w:val="00116F95"/>
    <w:rsid w:val="00117339"/>
    <w:rsid w:val="00117427"/>
    <w:rsid w:val="001176F9"/>
    <w:rsid w:val="0011785B"/>
    <w:rsid w:val="00117BFD"/>
    <w:rsid w:val="00117C6C"/>
    <w:rsid w:val="0012000B"/>
    <w:rsid w:val="0012007D"/>
    <w:rsid w:val="001202DA"/>
    <w:rsid w:val="0012054A"/>
    <w:rsid w:val="00120577"/>
    <w:rsid w:val="0012065F"/>
    <w:rsid w:val="00120A0E"/>
    <w:rsid w:val="00120C28"/>
    <w:rsid w:val="00120C57"/>
    <w:rsid w:val="00120CF2"/>
    <w:rsid w:val="00120D90"/>
    <w:rsid w:val="001211C1"/>
    <w:rsid w:val="0012178C"/>
    <w:rsid w:val="001219A9"/>
    <w:rsid w:val="001219E0"/>
    <w:rsid w:val="00121A5F"/>
    <w:rsid w:val="00121E25"/>
    <w:rsid w:val="00121FF6"/>
    <w:rsid w:val="0012229C"/>
    <w:rsid w:val="001228E0"/>
    <w:rsid w:val="001228E3"/>
    <w:rsid w:val="00122B01"/>
    <w:rsid w:val="00122B5E"/>
    <w:rsid w:val="00122D82"/>
    <w:rsid w:val="00122EE0"/>
    <w:rsid w:val="001235B2"/>
    <w:rsid w:val="00123612"/>
    <w:rsid w:val="001236BD"/>
    <w:rsid w:val="001242F9"/>
    <w:rsid w:val="001243C8"/>
    <w:rsid w:val="001247D0"/>
    <w:rsid w:val="00124C18"/>
    <w:rsid w:val="00124F47"/>
    <w:rsid w:val="001251C4"/>
    <w:rsid w:val="001251CE"/>
    <w:rsid w:val="001252BD"/>
    <w:rsid w:val="00125687"/>
    <w:rsid w:val="00125A5B"/>
    <w:rsid w:val="00125E3A"/>
    <w:rsid w:val="00125FC2"/>
    <w:rsid w:val="001263FE"/>
    <w:rsid w:val="00126552"/>
    <w:rsid w:val="001265BD"/>
    <w:rsid w:val="001267C5"/>
    <w:rsid w:val="0012697B"/>
    <w:rsid w:val="0012703F"/>
    <w:rsid w:val="0012706E"/>
    <w:rsid w:val="001270A3"/>
    <w:rsid w:val="0012720C"/>
    <w:rsid w:val="0012730E"/>
    <w:rsid w:val="0012744D"/>
    <w:rsid w:val="001276FA"/>
    <w:rsid w:val="00127713"/>
    <w:rsid w:val="0012777C"/>
    <w:rsid w:val="00127B9B"/>
    <w:rsid w:val="00127D8E"/>
    <w:rsid w:val="00130465"/>
    <w:rsid w:val="001308E9"/>
    <w:rsid w:val="00131A05"/>
    <w:rsid w:val="00131A5F"/>
    <w:rsid w:val="0013205F"/>
    <w:rsid w:val="001321CD"/>
    <w:rsid w:val="00132306"/>
    <w:rsid w:val="00132618"/>
    <w:rsid w:val="0013279D"/>
    <w:rsid w:val="001327B2"/>
    <w:rsid w:val="00132843"/>
    <w:rsid w:val="00132B3B"/>
    <w:rsid w:val="00132BD2"/>
    <w:rsid w:val="00132CEE"/>
    <w:rsid w:val="00132D78"/>
    <w:rsid w:val="001332FF"/>
    <w:rsid w:val="00133400"/>
    <w:rsid w:val="001334D6"/>
    <w:rsid w:val="00133661"/>
    <w:rsid w:val="0013373B"/>
    <w:rsid w:val="00133911"/>
    <w:rsid w:val="0013398F"/>
    <w:rsid w:val="00133A08"/>
    <w:rsid w:val="00133BC2"/>
    <w:rsid w:val="00133C7B"/>
    <w:rsid w:val="0013409D"/>
    <w:rsid w:val="0013412A"/>
    <w:rsid w:val="00134184"/>
    <w:rsid w:val="00134251"/>
    <w:rsid w:val="001342A1"/>
    <w:rsid w:val="001345C0"/>
    <w:rsid w:val="0013465D"/>
    <w:rsid w:val="001346E4"/>
    <w:rsid w:val="0013487A"/>
    <w:rsid w:val="00134B1F"/>
    <w:rsid w:val="00134D79"/>
    <w:rsid w:val="00134F51"/>
    <w:rsid w:val="00134F5A"/>
    <w:rsid w:val="00134FC9"/>
    <w:rsid w:val="0013513F"/>
    <w:rsid w:val="001354FF"/>
    <w:rsid w:val="001358B9"/>
    <w:rsid w:val="00135A28"/>
    <w:rsid w:val="00135C6C"/>
    <w:rsid w:val="00136176"/>
    <w:rsid w:val="00136297"/>
    <w:rsid w:val="001362AC"/>
    <w:rsid w:val="001362DA"/>
    <w:rsid w:val="001363E7"/>
    <w:rsid w:val="0013661C"/>
    <w:rsid w:val="00136760"/>
    <w:rsid w:val="001367FD"/>
    <w:rsid w:val="00136A1B"/>
    <w:rsid w:val="00136BA0"/>
    <w:rsid w:val="00136BE4"/>
    <w:rsid w:val="00136F79"/>
    <w:rsid w:val="00137049"/>
    <w:rsid w:val="001370B5"/>
    <w:rsid w:val="0013764E"/>
    <w:rsid w:val="001377B3"/>
    <w:rsid w:val="00137A14"/>
    <w:rsid w:val="0014029D"/>
    <w:rsid w:val="00140543"/>
    <w:rsid w:val="0014064D"/>
    <w:rsid w:val="001408F1"/>
    <w:rsid w:val="00140B1B"/>
    <w:rsid w:val="001411E9"/>
    <w:rsid w:val="001413B4"/>
    <w:rsid w:val="001416AF"/>
    <w:rsid w:val="001417DD"/>
    <w:rsid w:val="001419AB"/>
    <w:rsid w:val="00141B17"/>
    <w:rsid w:val="00141C0F"/>
    <w:rsid w:val="00141D49"/>
    <w:rsid w:val="00141E7E"/>
    <w:rsid w:val="00141F72"/>
    <w:rsid w:val="00142083"/>
    <w:rsid w:val="001421A1"/>
    <w:rsid w:val="001421CF"/>
    <w:rsid w:val="0014247E"/>
    <w:rsid w:val="00142638"/>
    <w:rsid w:val="001429F6"/>
    <w:rsid w:val="00142D5D"/>
    <w:rsid w:val="00142D8A"/>
    <w:rsid w:val="00142ECC"/>
    <w:rsid w:val="00142EF5"/>
    <w:rsid w:val="001431B1"/>
    <w:rsid w:val="0014349B"/>
    <w:rsid w:val="001434D6"/>
    <w:rsid w:val="0014351D"/>
    <w:rsid w:val="00143DB0"/>
    <w:rsid w:val="00143EE8"/>
    <w:rsid w:val="00144153"/>
    <w:rsid w:val="0014423B"/>
    <w:rsid w:val="0014448E"/>
    <w:rsid w:val="00144538"/>
    <w:rsid w:val="00144F5A"/>
    <w:rsid w:val="00145175"/>
    <w:rsid w:val="001452F8"/>
    <w:rsid w:val="001456DC"/>
    <w:rsid w:val="00145C58"/>
    <w:rsid w:val="00145CBD"/>
    <w:rsid w:val="00145DB3"/>
    <w:rsid w:val="001464EB"/>
    <w:rsid w:val="00146633"/>
    <w:rsid w:val="00146935"/>
    <w:rsid w:val="001469D1"/>
    <w:rsid w:val="00147027"/>
    <w:rsid w:val="001474AD"/>
    <w:rsid w:val="0014782C"/>
    <w:rsid w:val="0014791E"/>
    <w:rsid w:val="00147D8C"/>
    <w:rsid w:val="00147F48"/>
    <w:rsid w:val="00147FFC"/>
    <w:rsid w:val="001500AD"/>
    <w:rsid w:val="00150210"/>
    <w:rsid w:val="001503CA"/>
    <w:rsid w:val="001504BD"/>
    <w:rsid w:val="00150865"/>
    <w:rsid w:val="00150868"/>
    <w:rsid w:val="001509F2"/>
    <w:rsid w:val="00150A33"/>
    <w:rsid w:val="00150C8E"/>
    <w:rsid w:val="00151016"/>
    <w:rsid w:val="0015129C"/>
    <w:rsid w:val="00151320"/>
    <w:rsid w:val="001513D1"/>
    <w:rsid w:val="001514E7"/>
    <w:rsid w:val="001515D5"/>
    <w:rsid w:val="001516E1"/>
    <w:rsid w:val="00151BBB"/>
    <w:rsid w:val="00152208"/>
    <w:rsid w:val="001524A0"/>
    <w:rsid w:val="001524C5"/>
    <w:rsid w:val="0015263A"/>
    <w:rsid w:val="001528C1"/>
    <w:rsid w:val="001528D5"/>
    <w:rsid w:val="001528FC"/>
    <w:rsid w:val="00152932"/>
    <w:rsid w:val="00152EBE"/>
    <w:rsid w:val="001534DD"/>
    <w:rsid w:val="0015350D"/>
    <w:rsid w:val="00153676"/>
    <w:rsid w:val="00153D46"/>
    <w:rsid w:val="00153D57"/>
    <w:rsid w:val="001540D4"/>
    <w:rsid w:val="00154149"/>
    <w:rsid w:val="00154386"/>
    <w:rsid w:val="0015442C"/>
    <w:rsid w:val="00154455"/>
    <w:rsid w:val="001544F5"/>
    <w:rsid w:val="00154649"/>
    <w:rsid w:val="00154710"/>
    <w:rsid w:val="0015481E"/>
    <w:rsid w:val="001548EC"/>
    <w:rsid w:val="0015497B"/>
    <w:rsid w:val="00154A2F"/>
    <w:rsid w:val="00154CD5"/>
    <w:rsid w:val="00154E2F"/>
    <w:rsid w:val="00154F6B"/>
    <w:rsid w:val="00155526"/>
    <w:rsid w:val="00155555"/>
    <w:rsid w:val="00155719"/>
    <w:rsid w:val="0015574F"/>
    <w:rsid w:val="001557C2"/>
    <w:rsid w:val="00155AED"/>
    <w:rsid w:val="00155DC7"/>
    <w:rsid w:val="00155E77"/>
    <w:rsid w:val="00156024"/>
    <w:rsid w:val="001563FB"/>
    <w:rsid w:val="001565DA"/>
    <w:rsid w:val="0015661C"/>
    <w:rsid w:val="0015667D"/>
    <w:rsid w:val="0015692F"/>
    <w:rsid w:val="00156AEF"/>
    <w:rsid w:val="00157158"/>
    <w:rsid w:val="0015731D"/>
    <w:rsid w:val="0015755D"/>
    <w:rsid w:val="00157583"/>
    <w:rsid w:val="0015781F"/>
    <w:rsid w:val="001578D5"/>
    <w:rsid w:val="001579BE"/>
    <w:rsid w:val="00157B3A"/>
    <w:rsid w:val="00157EC3"/>
    <w:rsid w:val="00157ED6"/>
    <w:rsid w:val="00160216"/>
    <w:rsid w:val="00160314"/>
    <w:rsid w:val="0016058B"/>
    <w:rsid w:val="0016061E"/>
    <w:rsid w:val="001606B3"/>
    <w:rsid w:val="00160AF1"/>
    <w:rsid w:val="00160B8C"/>
    <w:rsid w:val="00160F84"/>
    <w:rsid w:val="00160FAF"/>
    <w:rsid w:val="00160FB6"/>
    <w:rsid w:val="00161376"/>
    <w:rsid w:val="001614E6"/>
    <w:rsid w:val="00161C1F"/>
    <w:rsid w:val="001620E5"/>
    <w:rsid w:val="001622AA"/>
    <w:rsid w:val="0016276E"/>
    <w:rsid w:val="00162818"/>
    <w:rsid w:val="001628AA"/>
    <w:rsid w:val="00162AF9"/>
    <w:rsid w:val="00162B2B"/>
    <w:rsid w:val="00162DAB"/>
    <w:rsid w:val="00162E14"/>
    <w:rsid w:val="00162ED1"/>
    <w:rsid w:val="00162F4C"/>
    <w:rsid w:val="00163652"/>
    <w:rsid w:val="001638E7"/>
    <w:rsid w:val="00163A29"/>
    <w:rsid w:val="00163A4B"/>
    <w:rsid w:val="00163A69"/>
    <w:rsid w:val="00164169"/>
    <w:rsid w:val="00164482"/>
    <w:rsid w:val="001644E0"/>
    <w:rsid w:val="00164D2F"/>
    <w:rsid w:val="00164F77"/>
    <w:rsid w:val="00165082"/>
    <w:rsid w:val="001650D7"/>
    <w:rsid w:val="0016510D"/>
    <w:rsid w:val="0016529A"/>
    <w:rsid w:val="0016572C"/>
    <w:rsid w:val="001661FD"/>
    <w:rsid w:val="0016633F"/>
    <w:rsid w:val="001663E8"/>
    <w:rsid w:val="00166405"/>
    <w:rsid w:val="0016677C"/>
    <w:rsid w:val="0016688A"/>
    <w:rsid w:val="00166C70"/>
    <w:rsid w:val="00166CDE"/>
    <w:rsid w:val="00166D48"/>
    <w:rsid w:val="00166FEB"/>
    <w:rsid w:val="00167013"/>
    <w:rsid w:val="00167076"/>
    <w:rsid w:val="00167089"/>
    <w:rsid w:val="001671F1"/>
    <w:rsid w:val="00167302"/>
    <w:rsid w:val="00167383"/>
    <w:rsid w:val="00167644"/>
    <w:rsid w:val="0016765D"/>
    <w:rsid w:val="001678DB"/>
    <w:rsid w:val="00167BBB"/>
    <w:rsid w:val="00167C1B"/>
    <w:rsid w:val="00167D1F"/>
    <w:rsid w:val="00170102"/>
    <w:rsid w:val="0017017B"/>
    <w:rsid w:val="001705F8"/>
    <w:rsid w:val="00170673"/>
    <w:rsid w:val="00170A47"/>
    <w:rsid w:val="00170E91"/>
    <w:rsid w:val="00171105"/>
    <w:rsid w:val="001718D4"/>
    <w:rsid w:val="00171BB8"/>
    <w:rsid w:val="00171D83"/>
    <w:rsid w:val="00171FA9"/>
    <w:rsid w:val="00171FE4"/>
    <w:rsid w:val="00172047"/>
    <w:rsid w:val="0017235B"/>
    <w:rsid w:val="0017240D"/>
    <w:rsid w:val="0017249F"/>
    <w:rsid w:val="00172507"/>
    <w:rsid w:val="001728E5"/>
    <w:rsid w:val="001729AD"/>
    <w:rsid w:val="00172C80"/>
    <w:rsid w:val="00173159"/>
    <w:rsid w:val="001732B1"/>
    <w:rsid w:val="001733EF"/>
    <w:rsid w:val="0017393E"/>
    <w:rsid w:val="00173AA3"/>
    <w:rsid w:val="00173AE5"/>
    <w:rsid w:val="00174444"/>
    <w:rsid w:val="00174531"/>
    <w:rsid w:val="00174535"/>
    <w:rsid w:val="001746A2"/>
    <w:rsid w:val="00174A78"/>
    <w:rsid w:val="00174BFF"/>
    <w:rsid w:val="00174C2E"/>
    <w:rsid w:val="00174D18"/>
    <w:rsid w:val="00175015"/>
    <w:rsid w:val="001750F7"/>
    <w:rsid w:val="001751AD"/>
    <w:rsid w:val="001756E5"/>
    <w:rsid w:val="0017592B"/>
    <w:rsid w:val="00175A97"/>
    <w:rsid w:val="00175B92"/>
    <w:rsid w:val="00175C08"/>
    <w:rsid w:val="00175E4A"/>
    <w:rsid w:val="00175E7D"/>
    <w:rsid w:val="00175F1F"/>
    <w:rsid w:val="00175F95"/>
    <w:rsid w:val="00175FC2"/>
    <w:rsid w:val="00176090"/>
    <w:rsid w:val="0017634D"/>
    <w:rsid w:val="001763C3"/>
    <w:rsid w:val="00176560"/>
    <w:rsid w:val="0017669E"/>
    <w:rsid w:val="00176C75"/>
    <w:rsid w:val="00176CBB"/>
    <w:rsid w:val="00176E22"/>
    <w:rsid w:val="00176E39"/>
    <w:rsid w:val="00176F1A"/>
    <w:rsid w:val="00177017"/>
    <w:rsid w:val="001774D6"/>
    <w:rsid w:val="00177646"/>
    <w:rsid w:val="00177AA3"/>
    <w:rsid w:val="00177DD8"/>
    <w:rsid w:val="00177F74"/>
    <w:rsid w:val="00177FB1"/>
    <w:rsid w:val="001803A8"/>
    <w:rsid w:val="00180416"/>
    <w:rsid w:val="001804B7"/>
    <w:rsid w:val="0018055D"/>
    <w:rsid w:val="0018056A"/>
    <w:rsid w:val="0018058C"/>
    <w:rsid w:val="0018068B"/>
    <w:rsid w:val="00180E1F"/>
    <w:rsid w:val="00180EB2"/>
    <w:rsid w:val="00181047"/>
    <w:rsid w:val="001810D3"/>
    <w:rsid w:val="001812CB"/>
    <w:rsid w:val="0018141A"/>
    <w:rsid w:val="001817AB"/>
    <w:rsid w:val="0018193D"/>
    <w:rsid w:val="00181DC5"/>
    <w:rsid w:val="00181EDE"/>
    <w:rsid w:val="00181F46"/>
    <w:rsid w:val="00182155"/>
    <w:rsid w:val="0018233D"/>
    <w:rsid w:val="001825E4"/>
    <w:rsid w:val="0018282F"/>
    <w:rsid w:val="00182924"/>
    <w:rsid w:val="00182B12"/>
    <w:rsid w:val="001832BC"/>
    <w:rsid w:val="0018333B"/>
    <w:rsid w:val="00183405"/>
    <w:rsid w:val="001837EB"/>
    <w:rsid w:val="00183924"/>
    <w:rsid w:val="0018395A"/>
    <w:rsid w:val="00183D6D"/>
    <w:rsid w:val="00183E02"/>
    <w:rsid w:val="00183EA7"/>
    <w:rsid w:val="001840E2"/>
    <w:rsid w:val="001843CC"/>
    <w:rsid w:val="001844FB"/>
    <w:rsid w:val="00184B88"/>
    <w:rsid w:val="00184BDA"/>
    <w:rsid w:val="00184C71"/>
    <w:rsid w:val="00184DDA"/>
    <w:rsid w:val="001850C1"/>
    <w:rsid w:val="001851BD"/>
    <w:rsid w:val="00185608"/>
    <w:rsid w:val="00185DAB"/>
    <w:rsid w:val="00186001"/>
    <w:rsid w:val="0018670B"/>
    <w:rsid w:val="0018677C"/>
    <w:rsid w:val="0018697A"/>
    <w:rsid w:val="00186A43"/>
    <w:rsid w:val="00186E41"/>
    <w:rsid w:val="00186F3C"/>
    <w:rsid w:val="00187215"/>
    <w:rsid w:val="00187389"/>
    <w:rsid w:val="001875C4"/>
    <w:rsid w:val="001878D3"/>
    <w:rsid w:val="00190138"/>
    <w:rsid w:val="00190669"/>
    <w:rsid w:val="00190761"/>
    <w:rsid w:val="00190E21"/>
    <w:rsid w:val="00190E5C"/>
    <w:rsid w:val="00191284"/>
    <w:rsid w:val="001918A7"/>
    <w:rsid w:val="00191957"/>
    <w:rsid w:val="00191AF3"/>
    <w:rsid w:val="0019248C"/>
    <w:rsid w:val="001926B7"/>
    <w:rsid w:val="00192CE4"/>
    <w:rsid w:val="00192EC2"/>
    <w:rsid w:val="00193061"/>
    <w:rsid w:val="00193216"/>
    <w:rsid w:val="00193452"/>
    <w:rsid w:val="00193464"/>
    <w:rsid w:val="00193493"/>
    <w:rsid w:val="001934CC"/>
    <w:rsid w:val="00193504"/>
    <w:rsid w:val="001937F3"/>
    <w:rsid w:val="00193A19"/>
    <w:rsid w:val="00193AEE"/>
    <w:rsid w:val="00193F1F"/>
    <w:rsid w:val="0019401B"/>
    <w:rsid w:val="00194532"/>
    <w:rsid w:val="0019459A"/>
    <w:rsid w:val="00194A80"/>
    <w:rsid w:val="00194D0E"/>
    <w:rsid w:val="0019511B"/>
    <w:rsid w:val="001952C1"/>
    <w:rsid w:val="001954FA"/>
    <w:rsid w:val="001954FF"/>
    <w:rsid w:val="001958CF"/>
    <w:rsid w:val="0019596B"/>
    <w:rsid w:val="00195D12"/>
    <w:rsid w:val="00195DC0"/>
    <w:rsid w:val="001961A9"/>
    <w:rsid w:val="00196493"/>
    <w:rsid w:val="001964C4"/>
    <w:rsid w:val="00196603"/>
    <w:rsid w:val="00196789"/>
    <w:rsid w:val="00196835"/>
    <w:rsid w:val="00196BD1"/>
    <w:rsid w:val="00196D1B"/>
    <w:rsid w:val="00196D57"/>
    <w:rsid w:val="00197134"/>
    <w:rsid w:val="0019719A"/>
    <w:rsid w:val="0019728D"/>
    <w:rsid w:val="001977D8"/>
    <w:rsid w:val="00197ABE"/>
    <w:rsid w:val="00197FA2"/>
    <w:rsid w:val="001A0280"/>
    <w:rsid w:val="001A0295"/>
    <w:rsid w:val="001A042A"/>
    <w:rsid w:val="001A0571"/>
    <w:rsid w:val="001A07BD"/>
    <w:rsid w:val="001A07DF"/>
    <w:rsid w:val="001A0CEF"/>
    <w:rsid w:val="001A0F3E"/>
    <w:rsid w:val="001A11B1"/>
    <w:rsid w:val="001A123E"/>
    <w:rsid w:val="001A128E"/>
    <w:rsid w:val="001A13B3"/>
    <w:rsid w:val="001A1616"/>
    <w:rsid w:val="001A1655"/>
    <w:rsid w:val="001A1868"/>
    <w:rsid w:val="001A1A11"/>
    <w:rsid w:val="001A1B29"/>
    <w:rsid w:val="001A1F42"/>
    <w:rsid w:val="001A245F"/>
    <w:rsid w:val="001A25B6"/>
    <w:rsid w:val="001A262F"/>
    <w:rsid w:val="001A2AF1"/>
    <w:rsid w:val="001A2B1A"/>
    <w:rsid w:val="001A2DEE"/>
    <w:rsid w:val="001A2E9D"/>
    <w:rsid w:val="001A31D9"/>
    <w:rsid w:val="001A343F"/>
    <w:rsid w:val="001A3527"/>
    <w:rsid w:val="001A35BF"/>
    <w:rsid w:val="001A365E"/>
    <w:rsid w:val="001A36F3"/>
    <w:rsid w:val="001A3764"/>
    <w:rsid w:val="001A37A5"/>
    <w:rsid w:val="001A3AE3"/>
    <w:rsid w:val="001A3BB8"/>
    <w:rsid w:val="001A3DB9"/>
    <w:rsid w:val="001A3E3F"/>
    <w:rsid w:val="001A42B8"/>
    <w:rsid w:val="001A4320"/>
    <w:rsid w:val="001A439C"/>
    <w:rsid w:val="001A44E8"/>
    <w:rsid w:val="001A46A5"/>
    <w:rsid w:val="001A46AC"/>
    <w:rsid w:val="001A4869"/>
    <w:rsid w:val="001A4FBC"/>
    <w:rsid w:val="001A5213"/>
    <w:rsid w:val="001A551D"/>
    <w:rsid w:val="001A5A70"/>
    <w:rsid w:val="001A5C40"/>
    <w:rsid w:val="001A5D18"/>
    <w:rsid w:val="001A5D83"/>
    <w:rsid w:val="001A5E7D"/>
    <w:rsid w:val="001A6100"/>
    <w:rsid w:val="001A63A1"/>
    <w:rsid w:val="001A63C1"/>
    <w:rsid w:val="001A65A4"/>
    <w:rsid w:val="001A67A5"/>
    <w:rsid w:val="001A6ABA"/>
    <w:rsid w:val="001A6AE9"/>
    <w:rsid w:val="001A6E68"/>
    <w:rsid w:val="001A718C"/>
    <w:rsid w:val="001A74F2"/>
    <w:rsid w:val="001A77FE"/>
    <w:rsid w:val="001A7D1F"/>
    <w:rsid w:val="001B0035"/>
    <w:rsid w:val="001B0470"/>
    <w:rsid w:val="001B0661"/>
    <w:rsid w:val="001B07A6"/>
    <w:rsid w:val="001B08B5"/>
    <w:rsid w:val="001B0A1A"/>
    <w:rsid w:val="001B0B28"/>
    <w:rsid w:val="001B0B32"/>
    <w:rsid w:val="001B116E"/>
    <w:rsid w:val="001B1227"/>
    <w:rsid w:val="001B1304"/>
    <w:rsid w:val="001B1421"/>
    <w:rsid w:val="001B147B"/>
    <w:rsid w:val="001B1541"/>
    <w:rsid w:val="001B17E1"/>
    <w:rsid w:val="001B18DF"/>
    <w:rsid w:val="001B1ADF"/>
    <w:rsid w:val="001B1AEE"/>
    <w:rsid w:val="001B1E77"/>
    <w:rsid w:val="001B1FA2"/>
    <w:rsid w:val="001B216B"/>
    <w:rsid w:val="001B27D4"/>
    <w:rsid w:val="001B27DE"/>
    <w:rsid w:val="001B287F"/>
    <w:rsid w:val="001B2A5A"/>
    <w:rsid w:val="001B2BEC"/>
    <w:rsid w:val="001B2CF6"/>
    <w:rsid w:val="001B3400"/>
    <w:rsid w:val="001B3615"/>
    <w:rsid w:val="001B36BB"/>
    <w:rsid w:val="001B36E8"/>
    <w:rsid w:val="001B380D"/>
    <w:rsid w:val="001B3854"/>
    <w:rsid w:val="001B407B"/>
    <w:rsid w:val="001B40E3"/>
    <w:rsid w:val="001B410F"/>
    <w:rsid w:val="001B41F8"/>
    <w:rsid w:val="001B429D"/>
    <w:rsid w:val="001B43A6"/>
    <w:rsid w:val="001B43E1"/>
    <w:rsid w:val="001B4495"/>
    <w:rsid w:val="001B45D1"/>
    <w:rsid w:val="001B4925"/>
    <w:rsid w:val="001B4B89"/>
    <w:rsid w:val="001B4C1B"/>
    <w:rsid w:val="001B4C9B"/>
    <w:rsid w:val="001B4E70"/>
    <w:rsid w:val="001B5038"/>
    <w:rsid w:val="001B503E"/>
    <w:rsid w:val="001B50BA"/>
    <w:rsid w:val="001B517E"/>
    <w:rsid w:val="001B5744"/>
    <w:rsid w:val="001B57C3"/>
    <w:rsid w:val="001B5950"/>
    <w:rsid w:val="001B5971"/>
    <w:rsid w:val="001B5C45"/>
    <w:rsid w:val="001B5D61"/>
    <w:rsid w:val="001B5EFA"/>
    <w:rsid w:val="001B64BA"/>
    <w:rsid w:val="001B65C2"/>
    <w:rsid w:val="001B68AE"/>
    <w:rsid w:val="001B68DD"/>
    <w:rsid w:val="001B694F"/>
    <w:rsid w:val="001B6AF1"/>
    <w:rsid w:val="001B6C61"/>
    <w:rsid w:val="001B6E51"/>
    <w:rsid w:val="001B6E56"/>
    <w:rsid w:val="001B6ECF"/>
    <w:rsid w:val="001B6F44"/>
    <w:rsid w:val="001B6F9B"/>
    <w:rsid w:val="001B7000"/>
    <w:rsid w:val="001B74F1"/>
    <w:rsid w:val="001B757E"/>
    <w:rsid w:val="001B767B"/>
    <w:rsid w:val="001C0067"/>
    <w:rsid w:val="001C02F3"/>
    <w:rsid w:val="001C0430"/>
    <w:rsid w:val="001C050C"/>
    <w:rsid w:val="001C07A3"/>
    <w:rsid w:val="001C0856"/>
    <w:rsid w:val="001C08D3"/>
    <w:rsid w:val="001C0BEE"/>
    <w:rsid w:val="001C0CB8"/>
    <w:rsid w:val="001C0DE4"/>
    <w:rsid w:val="001C0F8C"/>
    <w:rsid w:val="001C0FF0"/>
    <w:rsid w:val="001C1274"/>
    <w:rsid w:val="001C166A"/>
    <w:rsid w:val="001C16F7"/>
    <w:rsid w:val="001C172D"/>
    <w:rsid w:val="001C1860"/>
    <w:rsid w:val="001C18F6"/>
    <w:rsid w:val="001C1DA2"/>
    <w:rsid w:val="001C1E33"/>
    <w:rsid w:val="001C2014"/>
    <w:rsid w:val="001C219A"/>
    <w:rsid w:val="001C23E0"/>
    <w:rsid w:val="001C25A4"/>
    <w:rsid w:val="001C25BF"/>
    <w:rsid w:val="001C269F"/>
    <w:rsid w:val="001C271D"/>
    <w:rsid w:val="001C2895"/>
    <w:rsid w:val="001C298C"/>
    <w:rsid w:val="001C29EA"/>
    <w:rsid w:val="001C2AC6"/>
    <w:rsid w:val="001C2B57"/>
    <w:rsid w:val="001C2D99"/>
    <w:rsid w:val="001C2FC8"/>
    <w:rsid w:val="001C3382"/>
    <w:rsid w:val="001C3384"/>
    <w:rsid w:val="001C3397"/>
    <w:rsid w:val="001C33A7"/>
    <w:rsid w:val="001C35AC"/>
    <w:rsid w:val="001C35DC"/>
    <w:rsid w:val="001C3621"/>
    <w:rsid w:val="001C36C4"/>
    <w:rsid w:val="001C3944"/>
    <w:rsid w:val="001C3C30"/>
    <w:rsid w:val="001C3C50"/>
    <w:rsid w:val="001C3CC1"/>
    <w:rsid w:val="001C4154"/>
    <w:rsid w:val="001C4296"/>
    <w:rsid w:val="001C431C"/>
    <w:rsid w:val="001C438B"/>
    <w:rsid w:val="001C4479"/>
    <w:rsid w:val="001C451C"/>
    <w:rsid w:val="001C46D4"/>
    <w:rsid w:val="001C4E14"/>
    <w:rsid w:val="001C4F6E"/>
    <w:rsid w:val="001C531B"/>
    <w:rsid w:val="001C53C4"/>
    <w:rsid w:val="001C5468"/>
    <w:rsid w:val="001C5907"/>
    <w:rsid w:val="001C5BD3"/>
    <w:rsid w:val="001C5BD7"/>
    <w:rsid w:val="001C5F9F"/>
    <w:rsid w:val="001C61A5"/>
    <w:rsid w:val="001C64E7"/>
    <w:rsid w:val="001C657A"/>
    <w:rsid w:val="001C6AE1"/>
    <w:rsid w:val="001C6B75"/>
    <w:rsid w:val="001C6BEC"/>
    <w:rsid w:val="001C6D90"/>
    <w:rsid w:val="001C6E54"/>
    <w:rsid w:val="001C6EC8"/>
    <w:rsid w:val="001C6ECC"/>
    <w:rsid w:val="001C7535"/>
    <w:rsid w:val="001C7D38"/>
    <w:rsid w:val="001D01DB"/>
    <w:rsid w:val="001D0425"/>
    <w:rsid w:val="001D05F8"/>
    <w:rsid w:val="001D071F"/>
    <w:rsid w:val="001D0736"/>
    <w:rsid w:val="001D090F"/>
    <w:rsid w:val="001D1170"/>
    <w:rsid w:val="001D121B"/>
    <w:rsid w:val="001D122C"/>
    <w:rsid w:val="001D12F1"/>
    <w:rsid w:val="001D14B4"/>
    <w:rsid w:val="001D17B8"/>
    <w:rsid w:val="001D187E"/>
    <w:rsid w:val="001D19AD"/>
    <w:rsid w:val="001D1BF3"/>
    <w:rsid w:val="001D1C87"/>
    <w:rsid w:val="001D1F80"/>
    <w:rsid w:val="001D20C6"/>
    <w:rsid w:val="001D21A5"/>
    <w:rsid w:val="001D23CD"/>
    <w:rsid w:val="001D2618"/>
    <w:rsid w:val="001D2679"/>
    <w:rsid w:val="001D285D"/>
    <w:rsid w:val="001D2922"/>
    <w:rsid w:val="001D2AEB"/>
    <w:rsid w:val="001D2B0C"/>
    <w:rsid w:val="001D2DD0"/>
    <w:rsid w:val="001D2E10"/>
    <w:rsid w:val="001D34D6"/>
    <w:rsid w:val="001D35D5"/>
    <w:rsid w:val="001D360E"/>
    <w:rsid w:val="001D39C7"/>
    <w:rsid w:val="001D3A47"/>
    <w:rsid w:val="001D3AC9"/>
    <w:rsid w:val="001D3B75"/>
    <w:rsid w:val="001D3E1E"/>
    <w:rsid w:val="001D3F1E"/>
    <w:rsid w:val="001D41D0"/>
    <w:rsid w:val="001D4673"/>
    <w:rsid w:val="001D47CA"/>
    <w:rsid w:val="001D4934"/>
    <w:rsid w:val="001D495E"/>
    <w:rsid w:val="001D49CF"/>
    <w:rsid w:val="001D4D1D"/>
    <w:rsid w:val="001D4ED3"/>
    <w:rsid w:val="001D525B"/>
    <w:rsid w:val="001D53A0"/>
    <w:rsid w:val="001D5651"/>
    <w:rsid w:val="001D56BC"/>
    <w:rsid w:val="001D594F"/>
    <w:rsid w:val="001D5BCD"/>
    <w:rsid w:val="001D5C62"/>
    <w:rsid w:val="001D5C85"/>
    <w:rsid w:val="001D5C88"/>
    <w:rsid w:val="001D5D22"/>
    <w:rsid w:val="001D5D39"/>
    <w:rsid w:val="001D5F6E"/>
    <w:rsid w:val="001D600F"/>
    <w:rsid w:val="001D60CC"/>
    <w:rsid w:val="001D619B"/>
    <w:rsid w:val="001D64C1"/>
    <w:rsid w:val="001D66B9"/>
    <w:rsid w:val="001D6A59"/>
    <w:rsid w:val="001D6A78"/>
    <w:rsid w:val="001D6E50"/>
    <w:rsid w:val="001D6E82"/>
    <w:rsid w:val="001D6F30"/>
    <w:rsid w:val="001D6F57"/>
    <w:rsid w:val="001D7055"/>
    <w:rsid w:val="001D717A"/>
    <w:rsid w:val="001D7373"/>
    <w:rsid w:val="001D7823"/>
    <w:rsid w:val="001D7960"/>
    <w:rsid w:val="001D79C5"/>
    <w:rsid w:val="001D7E08"/>
    <w:rsid w:val="001D7F50"/>
    <w:rsid w:val="001E0068"/>
    <w:rsid w:val="001E015D"/>
    <w:rsid w:val="001E0899"/>
    <w:rsid w:val="001E0A6A"/>
    <w:rsid w:val="001E0B45"/>
    <w:rsid w:val="001E0CD5"/>
    <w:rsid w:val="001E0DF0"/>
    <w:rsid w:val="001E0FB1"/>
    <w:rsid w:val="001E120D"/>
    <w:rsid w:val="001E135B"/>
    <w:rsid w:val="001E1494"/>
    <w:rsid w:val="001E1965"/>
    <w:rsid w:val="001E19D4"/>
    <w:rsid w:val="001E1ACA"/>
    <w:rsid w:val="001E1E34"/>
    <w:rsid w:val="001E1E4C"/>
    <w:rsid w:val="001E1F8A"/>
    <w:rsid w:val="001E1FAA"/>
    <w:rsid w:val="001E20A5"/>
    <w:rsid w:val="001E20FC"/>
    <w:rsid w:val="001E217E"/>
    <w:rsid w:val="001E226A"/>
    <w:rsid w:val="001E2425"/>
    <w:rsid w:val="001E2456"/>
    <w:rsid w:val="001E26CD"/>
    <w:rsid w:val="001E2714"/>
    <w:rsid w:val="001E281B"/>
    <w:rsid w:val="001E2E2B"/>
    <w:rsid w:val="001E2E40"/>
    <w:rsid w:val="001E2F44"/>
    <w:rsid w:val="001E3125"/>
    <w:rsid w:val="001E32E7"/>
    <w:rsid w:val="001E3349"/>
    <w:rsid w:val="001E343A"/>
    <w:rsid w:val="001E3646"/>
    <w:rsid w:val="001E3650"/>
    <w:rsid w:val="001E36E3"/>
    <w:rsid w:val="001E3863"/>
    <w:rsid w:val="001E394A"/>
    <w:rsid w:val="001E3B50"/>
    <w:rsid w:val="001E3F78"/>
    <w:rsid w:val="001E3FA1"/>
    <w:rsid w:val="001E4034"/>
    <w:rsid w:val="001E4050"/>
    <w:rsid w:val="001E4074"/>
    <w:rsid w:val="001E40B8"/>
    <w:rsid w:val="001E4204"/>
    <w:rsid w:val="001E421A"/>
    <w:rsid w:val="001E4293"/>
    <w:rsid w:val="001E45B1"/>
    <w:rsid w:val="001E49DF"/>
    <w:rsid w:val="001E4CC4"/>
    <w:rsid w:val="001E4F86"/>
    <w:rsid w:val="001E5732"/>
    <w:rsid w:val="001E5A83"/>
    <w:rsid w:val="001E5C59"/>
    <w:rsid w:val="001E5D8A"/>
    <w:rsid w:val="001E628B"/>
    <w:rsid w:val="001E64A9"/>
    <w:rsid w:val="001E66EA"/>
    <w:rsid w:val="001E6FA6"/>
    <w:rsid w:val="001E72D4"/>
    <w:rsid w:val="001E7314"/>
    <w:rsid w:val="001E7345"/>
    <w:rsid w:val="001E7A14"/>
    <w:rsid w:val="001E7C9B"/>
    <w:rsid w:val="001E7E26"/>
    <w:rsid w:val="001F047F"/>
    <w:rsid w:val="001F0555"/>
    <w:rsid w:val="001F0916"/>
    <w:rsid w:val="001F0B42"/>
    <w:rsid w:val="001F0B4C"/>
    <w:rsid w:val="001F0FCB"/>
    <w:rsid w:val="001F1588"/>
    <w:rsid w:val="001F17FC"/>
    <w:rsid w:val="001F1B1C"/>
    <w:rsid w:val="001F1C0D"/>
    <w:rsid w:val="001F1C2B"/>
    <w:rsid w:val="001F1C52"/>
    <w:rsid w:val="001F1D0B"/>
    <w:rsid w:val="001F1D40"/>
    <w:rsid w:val="001F202C"/>
    <w:rsid w:val="001F2302"/>
    <w:rsid w:val="001F239C"/>
    <w:rsid w:val="001F23BB"/>
    <w:rsid w:val="001F23C6"/>
    <w:rsid w:val="001F2513"/>
    <w:rsid w:val="001F279C"/>
    <w:rsid w:val="001F2924"/>
    <w:rsid w:val="001F2AC2"/>
    <w:rsid w:val="001F2D48"/>
    <w:rsid w:val="001F2FB5"/>
    <w:rsid w:val="001F30ED"/>
    <w:rsid w:val="001F30F1"/>
    <w:rsid w:val="001F3300"/>
    <w:rsid w:val="001F35F5"/>
    <w:rsid w:val="001F3754"/>
    <w:rsid w:val="001F4035"/>
    <w:rsid w:val="001F42B0"/>
    <w:rsid w:val="001F42EA"/>
    <w:rsid w:val="001F434B"/>
    <w:rsid w:val="001F46E7"/>
    <w:rsid w:val="001F479A"/>
    <w:rsid w:val="001F48A2"/>
    <w:rsid w:val="001F4B50"/>
    <w:rsid w:val="001F51F7"/>
    <w:rsid w:val="001F5232"/>
    <w:rsid w:val="001F5408"/>
    <w:rsid w:val="001F54ED"/>
    <w:rsid w:val="001F55C9"/>
    <w:rsid w:val="001F574E"/>
    <w:rsid w:val="001F582F"/>
    <w:rsid w:val="001F583E"/>
    <w:rsid w:val="001F599F"/>
    <w:rsid w:val="001F5BB1"/>
    <w:rsid w:val="001F5BD9"/>
    <w:rsid w:val="001F619F"/>
    <w:rsid w:val="001F64F0"/>
    <w:rsid w:val="001F675F"/>
    <w:rsid w:val="001F6918"/>
    <w:rsid w:val="001F6E26"/>
    <w:rsid w:val="001F6E35"/>
    <w:rsid w:val="001F6F7A"/>
    <w:rsid w:val="001F7204"/>
    <w:rsid w:val="001F7833"/>
    <w:rsid w:val="001F78EC"/>
    <w:rsid w:val="001F7DDF"/>
    <w:rsid w:val="001F7E27"/>
    <w:rsid w:val="002001CE"/>
    <w:rsid w:val="0020020F"/>
    <w:rsid w:val="0020023C"/>
    <w:rsid w:val="00200B6A"/>
    <w:rsid w:val="00200B95"/>
    <w:rsid w:val="00200D43"/>
    <w:rsid w:val="00200E38"/>
    <w:rsid w:val="00200E9E"/>
    <w:rsid w:val="00201434"/>
    <w:rsid w:val="0020148B"/>
    <w:rsid w:val="002015C1"/>
    <w:rsid w:val="00201A34"/>
    <w:rsid w:val="00201B78"/>
    <w:rsid w:val="00201E54"/>
    <w:rsid w:val="00202070"/>
    <w:rsid w:val="002024AF"/>
    <w:rsid w:val="00202515"/>
    <w:rsid w:val="00202877"/>
    <w:rsid w:val="0020293D"/>
    <w:rsid w:val="00202A4B"/>
    <w:rsid w:val="00202A75"/>
    <w:rsid w:val="00202B4F"/>
    <w:rsid w:val="00202D48"/>
    <w:rsid w:val="00202ECC"/>
    <w:rsid w:val="00203012"/>
    <w:rsid w:val="00203367"/>
    <w:rsid w:val="002034D8"/>
    <w:rsid w:val="002034E1"/>
    <w:rsid w:val="00203767"/>
    <w:rsid w:val="002038AB"/>
    <w:rsid w:val="002038D6"/>
    <w:rsid w:val="00203C51"/>
    <w:rsid w:val="00203E54"/>
    <w:rsid w:val="00203E9D"/>
    <w:rsid w:val="00203F13"/>
    <w:rsid w:val="00203F2F"/>
    <w:rsid w:val="00203FA3"/>
    <w:rsid w:val="00204556"/>
    <w:rsid w:val="0020471B"/>
    <w:rsid w:val="0020487E"/>
    <w:rsid w:val="00204A5D"/>
    <w:rsid w:val="00204B62"/>
    <w:rsid w:val="00204BF7"/>
    <w:rsid w:val="00204C82"/>
    <w:rsid w:val="00204DDA"/>
    <w:rsid w:val="002050DD"/>
    <w:rsid w:val="00205256"/>
    <w:rsid w:val="0020562F"/>
    <w:rsid w:val="00205809"/>
    <w:rsid w:val="00205955"/>
    <w:rsid w:val="00205C42"/>
    <w:rsid w:val="0020621B"/>
    <w:rsid w:val="00206279"/>
    <w:rsid w:val="00206508"/>
    <w:rsid w:val="002067B1"/>
    <w:rsid w:val="00206984"/>
    <w:rsid w:val="00206B66"/>
    <w:rsid w:val="00206BD2"/>
    <w:rsid w:val="00206BDB"/>
    <w:rsid w:val="00206C57"/>
    <w:rsid w:val="00206C85"/>
    <w:rsid w:val="00207332"/>
    <w:rsid w:val="00207518"/>
    <w:rsid w:val="0020759B"/>
    <w:rsid w:val="0020765B"/>
    <w:rsid w:val="002076E5"/>
    <w:rsid w:val="00207936"/>
    <w:rsid w:val="00207B56"/>
    <w:rsid w:val="00207CCB"/>
    <w:rsid w:val="00207CF3"/>
    <w:rsid w:val="00207D67"/>
    <w:rsid w:val="002100FD"/>
    <w:rsid w:val="00210563"/>
    <w:rsid w:val="002105ED"/>
    <w:rsid w:val="002106BB"/>
    <w:rsid w:val="00210735"/>
    <w:rsid w:val="00210978"/>
    <w:rsid w:val="00210994"/>
    <w:rsid w:val="002112F7"/>
    <w:rsid w:val="00211431"/>
    <w:rsid w:val="0021173D"/>
    <w:rsid w:val="002118FC"/>
    <w:rsid w:val="00211900"/>
    <w:rsid w:val="00211953"/>
    <w:rsid w:val="00211C0A"/>
    <w:rsid w:val="00211CE4"/>
    <w:rsid w:val="00211D2F"/>
    <w:rsid w:val="00211DE5"/>
    <w:rsid w:val="00211EAA"/>
    <w:rsid w:val="00212139"/>
    <w:rsid w:val="0021253D"/>
    <w:rsid w:val="00212828"/>
    <w:rsid w:val="00212AEE"/>
    <w:rsid w:val="00212B1B"/>
    <w:rsid w:val="00212B57"/>
    <w:rsid w:val="00212BD4"/>
    <w:rsid w:val="002130F9"/>
    <w:rsid w:val="002131A1"/>
    <w:rsid w:val="00213454"/>
    <w:rsid w:val="0021356F"/>
    <w:rsid w:val="002136DC"/>
    <w:rsid w:val="0021375D"/>
    <w:rsid w:val="002137A3"/>
    <w:rsid w:val="002139DE"/>
    <w:rsid w:val="00213A6D"/>
    <w:rsid w:val="00213ACD"/>
    <w:rsid w:val="00213F08"/>
    <w:rsid w:val="00214017"/>
    <w:rsid w:val="00214102"/>
    <w:rsid w:val="0021442E"/>
    <w:rsid w:val="002146D4"/>
    <w:rsid w:val="0021490D"/>
    <w:rsid w:val="00214931"/>
    <w:rsid w:val="00214C95"/>
    <w:rsid w:val="00214D6A"/>
    <w:rsid w:val="00214DA3"/>
    <w:rsid w:val="00214DBD"/>
    <w:rsid w:val="002151A1"/>
    <w:rsid w:val="0021530B"/>
    <w:rsid w:val="002153DB"/>
    <w:rsid w:val="00215503"/>
    <w:rsid w:val="0021579D"/>
    <w:rsid w:val="00215864"/>
    <w:rsid w:val="00215D5F"/>
    <w:rsid w:val="00216166"/>
    <w:rsid w:val="002164F8"/>
    <w:rsid w:val="0021667D"/>
    <w:rsid w:val="00216756"/>
    <w:rsid w:val="00216B3D"/>
    <w:rsid w:val="00216BFE"/>
    <w:rsid w:val="00216D28"/>
    <w:rsid w:val="00216E70"/>
    <w:rsid w:val="00216FB7"/>
    <w:rsid w:val="00217048"/>
    <w:rsid w:val="00217060"/>
    <w:rsid w:val="00217947"/>
    <w:rsid w:val="002179DE"/>
    <w:rsid w:val="00217C72"/>
    <w:rsid w:val="00217D85"/>
    <w:rsid w:val="00217FBC"/>
    <w:rsid w:val="00220051"/>
    <w:rsid w:val="002200BA"/>
    <w:rsid w:val="002204A0"/>
    <w:rsid w:val="002207CE"/>
    <w:rsid w:val="0022087D"/>
    <w:rsid w:val="002208FF"/>
    <w:rsid w:val="002209DD"/>
    <w:rsid w:val="00220B50"/>
    <w:rsid w:val="00220B83"/>
    <w:rsid w:val="00220F1B"/>
    <w:rsid w:val="00220FAE"/>
    <w:rsid w:val="0022126B"/>
    <w:rsid w:val="0022134C"/>
    <w:rsid w:val="00221351"/>
    <w:rsid w:val="0022146C"/>
    <w:rsid w:val="002216C7"/>
    <w:rsid w:val="00221843"/>
    <w:rsid w:val="00221921"/>
    <w:rsid w:val="00221B8B"/>
    <w:rsid w:val="00221F04"/>
    <w:rsid w:val="0022223D"/>
    <w:rsid w:val="00222428"/>
    <w:rsid w:val="00222448"/>
    <w:rsid w:val="00222474"/>
    <w:rsid w:val="00222661"/>
    <w:rsid w:val="002226EC"/>
    <w:rsid w:val="00222727"/>
    <w:rsid w:val="0022273B"/>
    <w:rsid w:val="0022281D"/>
    <w:rsid w:val="0022293F"/>
    <w:rsid w:val="00222A43"/>
    <w:rsid w:val="00222AD4"/>
    <w:rsid w:val="00222DAD"/>
    <w:rsid w:val="002232DC"/>
    <w:rsid w:val="002232F8"/>
    <w:rsid w:val="00223486"/>
    <w:rsid w:val="002238C8"/>
    <w:rsid w:val="00223AB1"/>
    <w:rsid w:val="00223AD8"/>
    <w:rsid w:val="00223B0D"/>
    <w:rsid w:val="00223DBE"/>
    <w:rsid w:val="00223DCD"/>
    <w:rsid w:val="00223F89"/>
    <w:rsid w:val="002242E0"/>
    <w:rsid w:val="0022436A"/>
    <w:rsid w:val="002243A6"/>
    <w:rsid w:val="002243DC"/>
    <w:rsid w:val="00224473"/>
    <w:rsid w:val="00224586"/>
    <w:rsid w:val="00224611"/>
    <w:rsid w:val="00224908"/>
    <w:rsid w:val="00224B0B"/>
    <w:rsid w:val="00224EF3"/>
    <w:rsid w:val="0022500C"/>
    <w:rsid w:val="00225904"/>
    <w:rsid w:val="00225908"/>
    <w:rsid w:val="00225A9F"/>
    <w:rsid w:val="00225EA8"/>
    <w:rsid w:val="0022601E"/>
    <w:rsid w:val="002261EB"/>
    <w:rsid w:val="00226211"/>
    <w:rsid w:val="0022623A"/>
    <w:rsid w:val="00226B19"/>
    <w:rsid w:val="00226B3B"/>
    <w:rsid w:val="00226E00"/>
    <w:rsid w:val="00226FF5"/>
    <w:rsid w:val="00227206"/>
    <w:rsid w:val="002272F9"/>
    <w:rsid w:val="002275A7"/>
    <w:rsid w:val="00227C28"/>
    <w:rsid w:val="00230199"/>
    <w:rsid w:val="00230340"/>
    <w:rsid w:val="002304C2"/>
    <w:rsid w:val="002308B7"/>
    <w:rsid w:val="0023098F"/>
    <w:rsid w:val="00230B86"/>
    <w:rsid w:val="00230F0D"/>
    <w:rsid w:val="002310D3"/>
    <w:rsid w:val="0023154F"/>
    <w:rsid w:val="002316DF"/>
    <w:rsid w:val="00231830"/>
    <w:rsid w:val="00231896"/>
    <w:rsid w:val="0023189A"/>
    <w:rsid w:val="0023189B"/>
    <w:rsid w:val="002318F9"/>
    <w:rsid w:val="00231945"/>
    <w:rsid w:val="00231CA6"/>
    <w:rsid w:val="00231E68"/>
    <w:rsid w:val="00231E86"/>
    <w:rsid w:val="0023205F"/>
    <w:rsid w:val="00232094"/>
    <w:rsid w:val="002321A8"/>
    <w:rsid w:val="002323AB"/>
    <w:rsid w:val="002324D8"/>
    <w:rsid w:val="00232A24"/>
    <w:rsid w:val="00232AC7"/>
    <w:rsid w:val="00232D53"/>
    <w:rsid w:val="00232E0E"/>
    <w:rsid w:val="00232EDB"/>
    <w:rsid w:val="00232FCB"/>
    <w:rsid w:val="00232FE9"/>
    <w:rsid w:val="002332E5"/>
    <w:rsid w:val="002335DF"/>
    <w:rsid w:val="00233689"/>
    <w:rsid w:val="0023384C"/>
    <w:rsid w:val="00233883"/>
    <w:rsid w:val="002338B3"/>
    <w:rsid w:val="00233995"/>
    <w:rsid w:val="00233A25"/>
    <w:rsid w:val="00233E60"/>
    <w:rsid w:val="00233E6A"/>
    <w:rsid w:val="00233F94"/>
    <w:rsid w:val="002342D3"/>
    <w:rsid w:val="00234641"/>
    <w:rsid w:val="002346B9"/>
    <w:rsid w:val="002348D6"/>
    <w:rsid w:val="002348EF"/>
    <w:rsid w:val="00234D7A"/>
    <w:rsid w:val="002354EE"/>
    <w:rsid w:val="00235733"/>
    <w:rsid w:val="002357E0"/>
    <w:rsid w:val="00235900"/>
    <w:rsid w:val="00235ADC"/>
    <w:rsid w:val="00235D51"/>
    <w:rsid w:val="00235FAF"/>
    <w:rsid w:val="00236036"/>
    <w:rsid w:val="0023614D"/>
    <w:rsid w:val="00236163"/>
    <w:rsid w:val="0023670C"/>
    <w:rsid w:val="00236726"/>
    <w:rsid w:val="0023676C"/>
    <w:rsid w:val="00236B3A"/>
    <w:rsid w:val="00236BDA"/>
    <w:rsid w:val="00236DA6"/>
    <w:rsid w:val="00236DE4"/>
    <w:rsid w:val="00236DF1"/>
    <w:rsid w:val="00236E81"/>
    <w:rsid w:val="002372EA"/>
    <w:rsid w:val="00237534"/>
    <w:rsid w:val="00237635"/>
    <w:rsid w:val="002377DA"/>
    <w:rsid w:val="00237849"/>
    <w:rsid w:val="00237895"/>
    <w:rsid w:val="00237B2A"/>
    <w:rsid w:val="00237DAE"/>
    <w:rsid w:val="00237E85"/>
    <w:rsid w:val="00237E97"/>
    <w:rsid w:val="00237E9E"/>
    <w:rsid w:val="00237F3A"/>
    <w:rsid w:val="0024054B"/>
    <w:rsid w:val="00240591"/>
    <w:rsid w:val="002407AA"/>
    <w:rsid w:val="0024091B"/>
    <w:rsid w:val="00240ABD"/>
    <w:rsid w:val="00240B53"/>
    <w:rsid w:val="00240F30"/>
    <w:rsid w:val="00240FE2"/>
    <w:rsid w:val="002410CC"/>
    <w:rsid w:val="00241105"/>
    <w:rsid w:val="002411D4"/>
    <w:rsid w:val="002412B6"/>
    <w:rsid w:val="002418A5"/>
    <w:rsid w:val="00241A3F"/>
    <w:rsid w:val="00241D98"/>
    <w:rsid w:val="00242119"/>
    <w:rsid w:val="002423F1"/>
    <w:rsid w:val="002425D0"/>
    <w:rsid w:val="002426AF"/>
    <w:rsid w:val="0024327F"/>
    <w:rsid w:val="0024348E"/>
    <w:rsid w:val="0024360E"/>
    <w:rsid w:val="002438DD"/>
    <w:rsid w:val="002438E1"/>
    <w:rsid w:val="002439D4"/>
    <w:rsid w:val="00243B2C"/>
    <w:rsid w:val="00243BF6"/>
    <w:rsid w:val="00243CC2"/>
    <w:rsid w:val="0024482F"/>
    <w:rsid w:val="00244C67"/>
    <w:rsid w:val="00244D46"/>
    <w:rsid w:val="002450D9"/>
    <w:rsid w:val="0024514A"/>
    <w:rsid w:val="0024538E"/>
    <w:rsid w:val="0024547C"/>
    <w:rsid w:val="0024558D"/>
    <w:rsid w:val="0024573A"/>
    <w:rsid w:val="002457A2"/>
    <w:rsid w:val="00245B4B"/>
    <w:rsid w:val="00245D6E"/>
    <w:rsid w:val="0024611D"/>
    <w:rsid w:val="002461DB"/>
    <w:rsid w:val="002463FB"/>
    <w:rsid w:val="00246540"/>
    <w:rsid w:val="0024658B"/>
    <w:rsid w:val="002465C0"/>
    <w:rsid w:val="0024661D"/>
    <w:rsid w:val="00246708"/>
    <w:rsid w:val="00246892"/>
    <w:rsid w:val="0024695B"/>
    <w:rsid w:val="0024701E"/>
    <w:rsid w:val="00247030"/>
    <w:rsid w:val="00247061"/>
    <w:rsid w:val="00247129"/>
    <w:rsid w:val="00247183"/>
    <w:rsid w:val="00247369"/>
    <w:rsid w:val="00247952"/>
    <w:rsid w:val="00247AEF"/>
    <w:rsid w:val="00247F0B"/>
    <w:rsid w:val="002502D4"/>
    <w:rsid w:val="00250443"/>
    <w:rsid w:val="00250534"/>
    <w:rsid w:val="0025063C"/>
    <w:rsid w:val="00250F6B"/>
    <w:rsid w:val="00251079"/>
    <w:rsid w:val="00251113"/>
    <w:rsid w:val="002514F0"/>
    <w:rsid w:val="00251760"/>
    <w:rsid w:val="0025181A"/>
    <w:rsid w:val="002518AA"/>
    <w:rsid w:val="00251CE3"/>
    <w:rsid w:val="0025229D"/>
    <w:rsid w:val="0025259B"/>
    <w:rsid w:val="002525B6"/>
    <w:rsid w:val="00252801"/>
    <w:rsid w:val="002528E3"/>
    <w:rsid w:val="002528F7"/>
    <w:rsid w:val="00252971"/>
    <w:rsid w:val="00252AB8"/>
    <w:rsid w:val="00252BA7"/>
    <w:rsid w:val="00252E31"/>
    <w:rsid w:val="002533B6"/>
    <w:rsid w:val="00253452"/>
    <w:rsid w:val="00253522"/>
    <w:rsid w:val="00253841"/>
    <w:rsid w:val="002538DE"/>
    <w:rsid w:val="00253940"/>
    <w:rsid w:val="00253A58"/>
    <w:rsid w:val="00253F94"/>
    <w:rsid w:val="002543B6"/>
    <w:rsid w:val="002549FC"/>
    <w:rsid w:val="00254AEF"/>
    <w:rsid w:val="00254C97"/>
    <w:rsid w:val="00254D13"/>
    <w:rsid w:val="00254D16"/>
    <w:rsid w:val="002551C1"/>
    <w:rsid w:val="00255216"/>
    <w:rsid w:val="0025562E"/>
    <w:rsid w:val="002557D5"/>
    <w:rsid w:val="00255A71"/>
    <w:rsid w:val="00255A91"/>
    <w:rsid w:val="00255EE5"/>
    <w:rsid w:val="00255F99"/>
    <w:rsid w:val="0025604E"/>
    <w:rsid w:val="00256072"/>
    <w:rsid w:val="002562ED"/>
    <w:rsid w:val="0025639E"/>
    <w:rsid w:val="002566B6"/>
    <w:rsid w:val="002566BB"/>
    <w:rsid w:val="002566FC"/>
    <w:rsid w:val="0025684B"/>
    <w:rsid w:val="00256ABA"/>
    <w:rsid w:val="00256DAF"/>
    <w:rsid w:val="00256EFF"/>
    <w:rsid w:val="00257020"/>
    <w:rsid w:val="002571EB"/>
    <w:rsid w:val="002574D1"/>
    <w:rsid w:val="002574F0"/>
    <w:rsid w:val="002575D1"/>
    <w:rsid w:val="00257C2D"/>
    <w:rsid w:val="00257E6D"/>
    <w:rsid w:val="002603B6"/>
    <w:rsid w:val="0026048B"/>
    <w:rsid w:val="002604FA"/>
    <w:rsid w:val="00260538"/>
    <w:rsid w:val="002607FB"/>
    <w:rsid w:val="00260DA5"/>
    <w:rsid w:val="00260E17"/>
    <w:rsid w:val="00261054"/>
    <w:rsid w:val="0026109F"/>
    <w:rsid w:val="002610CD"/>
    <w:rsid w:val="00261697"/>
    <w:rsid w:val="00261718"/>
    <w:rsid w:val="002619B6"/>
    <w:rsid w:val="00261CDA"/>
    <w:rsid w:val="00261D54"/>
    <w:rsid w:val="00261DDE"/>
    <w:rsid w:val="00261E59"/>
    <w:rsid w:val="00261EB9"/>
    <w:rsid w:val="0026219D"/>
    <w:rsid w:val="002622F8"/>
    <w:rsid w:val="00262669"/>
    <w:rsid w:val="00262A6A"/>
    <w:rsid w:val="00262B56"/>
    <w:rsid w:val="00262C51"/>
    <w:rsid w:val="0026302B"/>
    <w:rsid w:val="00263370"/>
    <w:rsid w:val="002633CC"/>
    <w:rsid w:val="00263555"/>
    <w:rsid w:val="00263635"/>
    <w:rsid w:val="002636FC"/>
    <w:rsid w:val="0026374D"/>
    <w:rsid w:val="002638E9"/>
    <w:rsid w:val="00263A75"/>
    <w:rsid w:val="00263B46"/>
    <w:rsid w:val="00263F9A"/>
    <w:rsid w:val="00263FE5"/>
    <w:rsid w:val="002642D4"/>
    <w:rsid w:val="00264956"/>
    <w:rsid w:val="00264ABB"/>
    <w:rsid w:val="00264B79"/>
    <w:rsid w:val="00264C03"/>
    <w:rsid w:val="00264F30"/>
    <w:rsid w:val="00265211"/>
    <w:rsid w:val="0026533E"/>
    <w:rsid w:val="002658F0"/>
    <w:rsid w:val="00265B73"/>
    <w:rsid w:val="00265C38"/>
    <w:rsid w:val="00265C9C"/>
    <w:rsid w:val="00265CF3"/>
    <w:rsid w:val="00265DCA"/>
    <w:rsid w:val="00265E7D"/>
    <w:rsid w:val="00266044"/>
    <w:rsid w:val="00266466"/>
    <w:rsid w:val="002666AE"/>
    <w:rsid w:val="00266711"/>
    <w:rsid w:val="00266D14"/>
    <w:rsid w:val="00266DBC"/>
    <w:rsid w:val="00266FF6"/>
    <w:rsid w:val="0026729A"/>
    <w:rsid w:val="002672E0"/>
    <w:rsid w:val="002673A6"/>
    <w:rsid w:val="002673B5"/>
    <w:rsid w:val="00267723"/>
    <w:rsid w:val="00267B50"/>
    <w:rsid w:val="00270196"/>
    <w:rsid w:val="002702AB"/>
    <w:rsid w:val="0027030C"/>
    <w:rsid w:val="00270581"/>
    <w:rsid w:val="00270AAD"/>
    <w:rsid w:val="00270B09"/>
    <w:rsid w:val="00270D2E"/>
    <w:rsid w:val="00270D7F"/>
    <w:rsid w:val="00270E5E"/>
    <w:rsid w:val="00270E60"/>
    <w:rsid w:val="00270F01"/>
    <w:rsid w:val="00271110"/>
    <w:rsid w:val="002711E0"/>
    <w:rsid w:val="0027125D"/>
    <w:rsid w:val="0027151C"/>
    <w:rsid w:val="00271530"/>
    <w:rsid w:val="002715C2"/>
    <w:rsid w:val="002715C8"/>
    <w:rsid w:val="00271643"/>
    <w:rsid w:val="002716C4"/>
    <w:rsid w:val="00271BEC"/>
    <w:rsid w:val="00271C9A"/>
    <w:rsid w:val="00271D9B"/>
    <w:rsid w:val="002722A0"/>
    <w:rsid w:val="002725F3"/>
    <w:rsid w:val="00272654"/>
    <w:rsid w:val="00272710"/>
    <w:rsid w:val="002727E7"/>
    <w:rsid w:val="00272913"/>
    <w:rsid w:val="002729E6"/>
    <w:rsid w:val="00272ADE"/>
    <w:rsid w:val="00272AE0"/>
    <w:rsid w:val="00272E17"/>
    <w:rsid w:val="00272ED2"/>
    <w:rsid w:val="00272FB8"/>
    <w:rsid w:val="00272FBD"/>
    <w:rsid w:val="0027337E"/>
    <w:rsid w:val="00273595"/>
    <w:rsid w:val="0027369B"/>
    <w:rsid w:val="0027382F"/>
    <w:rsid w:val="0027392B"/>
    <w:rsid w:val="00273DBE"/>
    <w:rsid w:val="00273E3F"/>
    <w:rsid w:val="00274033"/>
    <w:rsid w:val="002741F1"/>
    <w:rsid w:val="00274262"/>
    <w:rsid w:val="00274572"/>
    <w:rsid w:val="00274E04"/>
    <w:rsid w:val="0027504D"/>
    <w:rsid w:val="00275679"/>
    <w:rsid w:val="0027579C"/>
    <w:rsid w:val="0027583B"/>
    <w:rsid w:val="00275887"/>
    <w:rsid w:val="00275972"/>
    <w:rsid w:val="00275A75"/>
    <w:rsid w:val="00275AB6"/>
    <w:rsid w:val="00275B35"/>
    <w:rsid w:val="0027608A"/>
    <w:rsid w:val="002763C5"/>
    <w:rsid w:val="00276558"/>
    <w:rsid w:val="0027667D"/>
    <w:rsid w:val="00276C07"/>
    <w:rsid w:val="00276DB7"/>
    <w:rsid w:val="00276E10"/>
    <w:rsid w:val="00276E54"/>
    <w:rsid w:val="002770F9"/>
    <w:rsid w:val="002771B6"/>
    <w:rsid w:val="00277285"/>
    <w:rsid w:val="002772AF"/>
    <w:rsid w:val="002773C9"/>
    <w:rsid w:val="002773D8"/>
    <w:rsid w:val="0027743A"/>
    <w:rsid w:val="0027761C"/>
    <w:rsid w:val="002801A4"/>
    <w:rsid w:val="00280421"/>
    <w:rsid w:val="0028069F"/>
    <w:rsid w:val="002806CD"/>
    <w:rsid w:val="0028072A"/>
    <w:rsid w:val="00280A05"/>
    <w:rsid w:val="00280B15"/>
    <w:rsid w:val="00280D99"/>
    <w:rsid w:val="00280E92"/>
    <w:rsid w:val="00281088"/>
    <w:rsid w:val="002810D1"/>
    <w:rsid w:val="00281199"/>
    <w:rsid w:val="00281550"/>
    <w:rsid w:val="0028176C"/>
    <w:rsid w:val="00281C31"/>
    <w:rsid w:val="00281DD0"/>
    <w:rsid w:val="00281E0C"/>
    <w:rsid w:val="00281F49"/>
    <w:rsid w:val="002820D6"/>
    <w:rsid w:val="002824B8"/>
    <w:rsid w:val="002825B9"/>
    <w:rsid w:val="00282C26"/>
    <w:rsid w:val="00282E9D"/>
    <w:rsid w:val="002834F0"/>
    <w:rsid w:val="002835EC"/>
    <w:rsid w:val="00283926"/>
    <w:rsid w:val="00283A3F"/>
    <w:rsid w:val="00283D0E"/>
    <w:rsid w:val="00283DFE"/>
    <w:rsid w:val="00283E5C"/>
    <w:rsid w:val="00283EC0"/>
    <w:rsid w:val="0028428C"/>
    <w:rsid w:val="00284716"/>
    <w:rsid w:val="00284C30"/>
    <w:rsid w:val="00285184"/>
    <w:rsid w:val="002852EE"/>
    <w:rsid w:val="00285334"/>
    <w:rsid w:val="00285336"/>
    <w:rsid w:val="00285836"/>
    <w:rsid w:val="00285897"/>
    <w:rsid w:val="00285CB4"/>
    <w:rsid w:val="00285D09"/>
    <w:rsid w:val="00285D3C"/>
    <w:rsid w:val="00285DA7"/>
    <w:rsid w:val="00285EBF"/>
    <w:rsid w:val="00286074"/>
    <w:rsid w:val="00286153"/>
    <w:rsid w:val="00286470"/>
    <w:rsid w:val="002864C2"/>
    <w:rsid w:val="0028676F"/>
    <w:rsid w:val="002868B4"/>
    <w:rsid w:val="00286A2C"/>
    <w:rsid w:val="00286D25"/>
    <w:rsid w:val="00286D49"/>
    <w:rsid w:val="00286F5C"/>
    <w:rsid w:val="00287059"/>
    <w:rsid w:val="002878B8"/>
    <w:rsid w:val="00287901"/>
    <w:rsid w:val="00287936"/>
    <w:rsid w:val="00287B5E"/>
    <w:rsid w:val="00287B9A"/>
    <w:rsid w:val="00287BB7"/>
    <w:rsid w:val="00287BE9"/>
    <w:rsid w:val="00287E18"/>
    <w:rsid w:val="0029003E"/>
    <w:rsid w:val="00290123"/>
    <w:rsid w:val="0029045D"/>
    <w:rsid w:val="002909B0"/>
    <w:rsid w:val="00290B16"/>
    <w:rsid w:val="00290C5E"/>
    <w:rsid w:val="00290DA2"/>
    <w:rsid w:val="00290EC5"/>
    <w:rsid w:val="00290F8D"/>
    <w:rsid w:val="00291564"/>
    <w:rsid w:val="00291581"/>
    <w:rsid w:val="00291C06"/>
    <w:rsid w:val="00291D2D"/>
    <w:rsid w:val="00292041"/>
    <w:rsid w:val="002920E5"/>
    <w:rsid w:val="0029211E"/>
    <w:rsid w:val="0029227D"/>
    <w:rsid w:val="00292873"/>
    <w:rsid w:val="00292931"/>
    <w:rsid w:val="00292A7D"/>
    <w:rsid w:val="00292BFE"/>
    <w:rsid w:val="00292E59"/>
    <w:rsid w:val="00292F18"/>
    <w:rsid w:val="0029336A"/>
    <w:rsid w:val="002933D2"/>
    <w:rsid w:val="002936AC"/>
    <w:rsid w:val="00293AE8"/>
    <w:rsid w:val="00293BC5"/>
    <w:rsid w:val="0029401C"/>
    <w:rsid w:val="0029425C"/>
    <w:rsid w:val="00294297"/>
    <w:rsid w:val="00294619"/>
    <w:rsid w:val="00294720"/>
    <w:rsid w:val="002947A2"/>
    <w:rsid w:val="002949C1"/>
    <w:rsid w:val="00294A41"/>
    <w:rsid w:val="00294C73"/>
    <w:rsid w:val="00294E3E"/>
    <w:rsid w:val="002952F5"/>
    <w:rsid w:val="0029536A"/>
    <w:rsid w:val="002953AF"/>
    <w:rsid w:val="002953C6"/>
    <w:rsid w:val="0029578B"/>
    <w:rsid w:val="0029596E"/>
    <w:rsid w:val="002959CD"/>
    <w:rsid w:val="00295AC4"/>
    <w:rsid w:val="00295B14"/>
    <w:rsid w:val="00295B9E"/>
    <w:rsid w:val="00295CDF"/>
    <w:rsid w:val="002960B4"/>
    <w:rsid w:val="002962FE"/>
    <w:rsid w:val="0029656D"/>
    <w:rsid w:val="00296752"/>
    <w:rsid w:val="00296834"/>
    <w:rsid w:val="00296912"/>
    <w:rsid w:val="00296916"/>
    <w:rsid w:val="00296AE8"/>
    <w:rsid w:val="00296D3F"/>
    <w:rsid w:val="00296D50"/>
    <w:rsid w:val="00296E1E"/>
    <w:rsid w:val="00296EE7"/>
    <w:rsid w:val="00296F6D"/>
    <w:rsid w:val="00297250"/>
    <w:rsid w:val="002972D6"/>
    <w:rsid w:val="00297360"/>
    <w:rsid w:val="002977C2"/>
    <w:rsid w:val="0029788B"/>
    <w:rsid w:val="00297BED"/>
    <w:rsid w:val="00297E9C"/>
    <w:rsid w:val="00297F07"/>
    <w:rsid w:val="00297F29"/>
    <w:rsid w:val="002A015D"/>
    <w:rsid w:val="002A0241"/>
    <w:rsid w:val="002A02E5"/>
    <w:rsid w:val="002A0507"/>
    <w:rsid w:val="002A058F"/>
    <w:rsid w:val="002A05BE"/>
    <w:rsid w:val="002A063D"/>
    <w:rsid w:val="002A07D8"/>
    <w:rsid w:val="002A0A14"/>
    <w:rsid w:val="002A0B97"/>
    <w:rsid w:val="002A0C84"/>
    <w:rsid w:val="002A0E52"/>
    <w:rsid w:val="002A115B"/>
    <w:rsid w:val="002A1160"/>
    <w:rsid w:val="002A11C8"/>
    <w:rsid w:val="002A186E"/>
    <w:rsid w:val="002A1B1F"/>
    <w:rsid w:val="002A1BC0"/>
    <w:rsid w:val="002A1C31"/>
    <w:rsid w:val="002A1E72"/>
    <w:rsid w:val="002A21A8"/>
    <w:rsid w:val="002A22C4"/>
    <w:rsid w:val="002A23A8"/>
    <w:rsid w:val="002A2546"/>
    <w:rsid w:val="002A2549"/>
    <w:rsid w:val="002A26B0"/>
    <w:rsid w:val="002A2758"/>
    <w:rsid w:val="002A2AF3"/>
    <w:rsid w:val="002A2D64"/>
    <w:rsid w:val="002A2F96"/>
    <w:rsid w:val="002A2FC9"/>
    <w:rsid w:val="002A310D"/>
    <w:rsid w:val="002A315B"/>
    <w:rsid w:val="002A3225"/>
    <w:rsid w:val="002A343B"/>
    <w:rsid w:val="002A3540"/>
    <w:rsid w:val="002A3574"/>
    <w:rsid w:val="002A35EA"/>
    <w:rsid w:val="002A37C0"/>
    <w:rsid w:val="002A3A1D"/>
    <w:rsid w:val="002A3B0B"/>
    <w:rsid w:val="002A3FD9"/>
    <w:rsid w:val="002A402D"/>
    <w:rsid w:val="002A4342"/>
    <w:rsid w:val="002A4437"/>
    <w:rsid w:val="002A4575"/>
    <w:rsid w:val="002A46F7"/>
    <w:rsid w:val="002A48C2"/>
    <w:rsid w:val="002A48DC"/>
    <w:rsid w:val="002A4B9C"/>
    <w:rsid w:val="002A4C9D"/>
    <w:rsid w:val="002A4D82"/>
    <w:rsid w:val="002A57B4"/>
    <w:rsid w:val="002A57D8"/>
    <w:rsid w:val="002A5D19"/>
    <w:rsid w:val="002A5E32"/>
    <w:rsid w:val="002A6001"/>
    <w:rsid w:val="002A6029"/>
    <w:rsid w:val="002A63F3"/>
    <w:rsid w:val="002A661F"/>
    <w:rsid w:val="002A670E"/>
    <w:rsid w:val="002A686C"/>
    <w:rsid w:val="002A6BEC"/>
    <w:rsid w:val="002A6C99"/>
    <w:rsid w:val="002A6D16"/>
    <w:rsid w:val="002A6D47"/>
    <w:rsid w:val="002A6E59"/>
    <w:rsid w:val="002A6FB1"/>
    <w:rsid w:val="002A70E0"/>
    <w:rsid w:val="002A71E7"/>
    <w:rsid w:val="002A7385"/>
    <w:rsid w:val="002A7416"/>
    <w:rsid w:val="002A7442"/>
    <w:rsid w:val="002A74E2"/>
    <w:rsid w:val="002A7531"/>
    <w:rsid w:val="002A7668"/>
    <w:rsid w:val="002A772B"/>
    <w:rsid w:val="002A7A7F"/>
    <w:rsid w:val="002A7C29"/>
    <w:rsid w:val="002A7D3B"/>
    <w:rsid w:val="002A7F61"/>
    <w:rsid w:val="002B048F"/>
    <w:rsid w:val="002B0528"/>
    <w:rsid w:val="002B06BC"/>
    <w:rsid w:val="002B0758"/>
    <w:rsid w:val="002B07E5"/>
    <w:rsid w:val="002B0E60"/>
    <w:rsid w:val="002B1062"/>
    <w:rsid w:val="002B10A3"/>
    <w:rsid w:val="002B149E"/>
    <w:rsid w:val="002B1656"/>
    <w:rsid w:val="002B176B"/>
    <w:rsid w:val="002B1824"/>
    <w:rsid w:val="002B1A92"/>
    <w:rsid w:val="002B1C4C"/>
    <w:rsid w:val="002B1EB8"/>
    <w:rsid w:val="002B1F57"/>
    <w:rsid w:val="002B24C6"/>
    <w:rsid w:val="002B26F5"/>
    <w:rsid w:val="002B29B7"/>
    <w:rsid w:val="002B2ADB"/>
    <w:rsid w:val="002B2BE3"/>
    <w:rsid w:val="002B2E23"/>
    <w:rsid w:val="002B2F6E"/>
    <w:rsid w:val="002B3465"/>
    <w:rsid w:val="002B34C5"/>
    <w:rsid w:val="002B34EE"/>
    <w:rsid w:val="002B3548"/>
    <w:rsid w:val="002B366B"/>
    <w:rsid w:val="002B3975"/>
    <w:rsid w:val="002B3AFF"/>
    <w:rsid w:val="002B3BA7"/>
    <w:rsid w:val="002B3BD5"/>
    <w:rsid w:val="002B3F47"/>
    <w:rsid w:val="002B45C7"/>
    <w:rsid w:val="002B471F"/>
    <w:rsid w:val="002B497E"/>
    <w:rsid w:val="002B4990"/>
    <w:rsid w:val="002B4F86"/>
    <w:rsid w:val="002B501F"/>
    <w:rsid w:val="002B513F"/>
    <w:rsid w:val="002B5178"/>
    <w:rsid w:val="002B51E9"/>
    <w:rsid w:val="002B51EE"/>
    <w:rsid w:val="002B560B"/>
    <w:rsid w:val="002B5660"/>
    <w:rsid w:val="002B5889"/>
    <w:rsid w:val="002B594E"/>
    <w:rsid w:val="002B59C4"/>
    <w:rsid w:val="002B5B1F"/>
    <w:rsid w:val="002B5E7F"/>
    <w:rsid w:val="002B6220"/>
    <w:rsid w:val="002B6564"/>
    <w:rsid w:val="002B65A6"/>
    <w:rsid w:val="002B6690"/>
    <w:rsid w:val="002B6721"/>
    <w:rsid w:val="002B68C1"/>
    <w:rsid w:val="002B6C7A"/>
    <w:rsid w:val="002B6CA9"/>
    <w:rsid w:val="002B6CBD"/>
    <w:rsid w:val="002B6D79"/>
    <w:rsid w:val="002B6DC4"/>
    <w:rsid w:val="002B71E7"/>
    <w:rsid w:val="002B75F1"/>
    <w:rsid w:val="002B7940"/>
    <w:rsid w:val="002B7C0C"/>
    <w:rsid w:val="002B7D0F"/>
    <w:rsid w:val="002C0272"/>
    <w:rsid w:val="002C0615"/>
    <w:rsid w:val="002C0682"/>
    <w:rsid w:val="002C07C9"/>
    <w:rsid w:val="002C0A7C"/>
    <w:rsid w:val="002C0BE8"/>
    <w:rsid w:val="002C0D0D"/>
    <w:rsid w:val="002C0DD2"/>
    <w:rsid w:val="002C0F3C"/>
    <w:rsid w:val="002C1141"/>
    <w:rsid w:val="002C126A"/>
    <w:rsid w:val="002C13FB"/>
    <w:rsid w:val="002C1520"/>
    <w:rsid w:val="002C16DF"/>
    <w:rsid w:val="002C1A02"/>
    <w:rsid w:val="002C1B04"/>
    <w:rsid w:val="002C1C4F"/>
    <w:rsid w:val="002C1CF1"/>
    <w:rsid w:val="002C1E77"/>
    <w:rsid w:val="002C2010"/>
    <w:rsid w:val="002C29ED"/>
    <w:rsid w:val="002C2A51"/>
    <w:rsid w:val="002C2B5B"/>
    <w:rsid w:val="002C2BBE"/>
    <w:rsid w:val="002C2C4F"/>
    <w:rsid w:val="002C2CCC"/>
    <w:rsid w:val="002C2E36"/>
    <w:rsid w:val="002C3214"/>
    <w:rsid w:val="002C3453"/>
    <w:rsid w:val="002C361F"/>
    <w:rsid w:val="002C3809"/>
    <w:rsid w:val="002C3A4A"/>
    <w:rsid w:val="002C3F2A"/>
    <w:rsid w:val="002C4017"/>
    <w:rsid w:val="002C4110"/>
    <w:rsid w:val="002C4510"/>
    <w:rsid w:val="002C4611"/>
    <w:rsid w:val="002C4650"/>
    <w:rsid w:val="002C48AB"/>
    <w:rsid w:val="002C4C3C"/>
    <w:rsid w:val="002C4F67"/>
    <w:rsid w:val="002C5124"/>
    <w:rsid w:val="002C5156"/>
    <w:rsid w:val="002C5180"/>
    <w:rsid w:val="002C5391"/>
    <w:rsid w:val="002C548E"/>
    <w:rsid w:val="002C54E0"/>
    <w:rsid w:val="002C58CB"/>
    <w:rsid w:val="002C595A"/>
    <w:rsid w:val="002C5A1B"/>
    <w:rsid w:val="002C5F7D"/>
    <w:rsid w:val="002C6015"/>
    <w:rsid w:val="002C689B"/>
    <w:rsid w:val="002C700E"/>
    <w:rsid w:val="002C702B"/>
    <w:rsid w:val="002C7093"/>
    <w:rsid w:val="002C72DF"/>
    <w:rsid w:val="002C7487"/>
    <w:rsid w:val="002C7543"/>
    <w:rsid w:val="002C758F"/>
    <w:rsid w:val="002C776D"/>
    <w:rsid w:val="002C77DD"/>
    <w:rsid w:val="002C7981"/>
    <w:rsid w:val="002C7DEC"/>
    <w:rsid w:val="002D011A"/>
    <w:rsid w:val="002D0179"/>
    <w:rsid w:val="002D040C"/>
    <w:rsid w:val="002D044F"/>
    <w:rsid w:val="002D05E2"/>
    <w:rsid w:val="002D0870"/>
    <w:rsid w:val="002D09FA"/>
    <w:rsid w:val="002D0B7F"/>
    <w:rsid w:val="002D0C62"/>
    <w:rsid w:val="002D0EAD"/>
    <w:rsid w:val="002D1343"/>
    <w:rsid w:val="002D1506"/>
    <w:rsid w:val="002D15B0"/>
    <w:rsid w:val="002D15DC"/>
    <w:rsid w:val="002D168A"/>
    <w:rsid w:val="002D16D6"/>
    <w:rsid w:val="002D17C6"/>
    <w:rsid w:val="002D19F5"/>
    <w:rsid w:val="002D1A87"/>
    <w:rsid w:val="002D1BF3"/>
    <w:rsid w:val="002D1D73"/>
    <w:rsid w:val="002D20BD"/>
    <w:rsid w:val="002D2239"/>
    <w:rsid w:val="002D244D"/>
    <w:rsid w:val="002D28EB"/>
    <w:rsid w:val="002D2992"/>
    <w:rsid w:val="002D29FD"/>
    <w:rsid w:val="002D2B2F"/>
    <w:rsid w:val="002D2B41"/>
    <w:rsid w:val="002D2E8A"/>
    <w:rsid w:val="002D2EE9"/>
    <w:rsid w:val="002D2F09"/>
    <w:rsid w:val="002D331C"/>
    <w:rsid w:val="002D35CA"/>
    <w:rsid w:val="002D37B4"/>
    <w:rsid w:val="002D3A26"/>
    <w:rsid w:val="002D3AC8"/>
    <w:rsid w:val="002D3B9D"/>
    <w:rsid w:val="002D3CF7"/>
    <w:rsid w:val="002D3D97"/>
    <w:rsid w:val="002D3DEB"/>
    <w:rsid w:val="002D3E25"/>
    <w:rsid w:val="002D3ED6"/>
    <w:rsid w:val="002D4869"/>
    <w:rsid w:val="002D4936"/>
    <w:rsid w:val="002D533B"/>
    <w:rsid w:val="002D53ED"/>
    <w:rsid w:val="002D54AD"/>
    <w:rsid w:val="002D55B7"/>
    <w:rsid w:val="002D5659"/>
    <w:rsid w:val="002D57BC"/>
    <w:rsid w:val="002D5EC3"/>
    <w:rsid w:val="002D610E"/>
    <w:rsid w:val="002D673D"/>
    <w:rsid w:val="002D6C66"/>
    <w:rsid w:val="002D6ED3"/>
    <w:rsid w:val="002D7124"/>
    <w:rsid w:val="002D77B3"/>
    <w:rsid w:val="002D7B79"/>
    <w:rsid w:val="002D7CD1"/>
    <w:rsid w:val="002D7CED"/>
    <w:rsid w:val="002D7E97"/>
    <w:rsid w:val="002D7F47"/>
    <w:rsid w:val="002E00B3"/>
    <w:rsid w:val="002E0283"/>
    <w:rsid w:val="002E043E"/>
    <w:rsid w:val="002E0440"/>
    <w:rsid w:val="002E0672"/>
    <w:rsid w:val="002E08F7"/>
    <w:rsid w:val="002E0BB1"/>
    <w:rsid w:val="002E0D9B"/>
    <w:rsid w:val="002E1052"/>
    <w:rsid w:val="002E152E"/>
    <w:rsid w:val="002E17CB"/>
    <w:rsid w:val="002E1846"/>
    <w:rsid w:val="002E1B45"/>
    <w:rsid w:val="002E1D8B"/>
    <w:rsid w:val="002E2810"/>
    <w:rsid w:val="002E2A5F"/>
    <w:rsid w:val="002E2B7F"/>
    <w:rsid w:val="002E2CC6"/>
    <w:rsid w:val="002E2DED"/>
    <w:rsid w:val="002E2F24"/>
    <w:rsid w:val="002E3319"/>
    <w:rsid w:val="002E357C"/>
    <w:rsid w:val="002E39DE"/>
    <w:rsid w:val="002E3B36"/>
    <w:rsid w:val="002E3E71"/>
    <w:rsid w:val="002E4316"/>
    <w:rsid w:val="002E47B7"/>
    <w:rsid w:val="002E4D01"/>
    <w:rsid w:val="002E527B"/>
    <w:rsid w:val="002E53BF"/>
    <w:rsid w:val="002E579E"/>
    <w:rsid w:val="002E5A95"/>
    <w:rsid w:val="002E5D3C"/>
    <w:rsid w:val="002E6407"/>
    <w:rsid w:val="002E641A"/>
    <w:rsid w:val="002E678D"/>
    <w:rsid w:val="002E67F6"/>
    <w:rsid w:val="002E6850"/>
    <w:rsid w:val="002E68C2"/>
    <w:rsid w:val="002E6B22"/>
    <w:rsid w:val="002E6B81"/>
    <w:rsid w:val="002E6ECE"/>
    <w:rsid w:val="002E6FBF"/>
    <w:rsid w:val="002E71A7"/>
    <w:rsid w:val="002E71F1"/>
    <w:rsid w:val="002E7369"/>
    <w:rsid w:val="002E7442"/>
    <w:rsid w:val="002E770E"/>
    <w:rsid w:val="002E7894"/>
    <w:rsid w:val="002E7CEE"/>
    <w:rsid w:val="002E7D8C"/>
    <w:rsid w:val="002E7FCE"/>
    <w:rsid w:val="002F02F6"/>
    <w:rsid w:val="002F0997"/>
    <w:rsid w:val="002F0D06"/>
    <w:rsid w:val="002F0D74"/>
    <w:rsid w:val="002F0E12"/>
    <w:rsid w:val="002F0E20"/>
    <w:rsid w:val="002F109F"/>
    <w:rsid w:val="002F1C32"/>
    <w:rsid w:val="002F1D11"/>
    <w:rsid w:val="002F1E48"/>
    <w:rsid w:val="002F1EEE"/>
    <w:rsid w:val="002F203A"/>
    <w:rsid w:val="002F20E4"/>
    <w:rsid w:val="002F234D"/>
    <w:rsid w:val="002F2D29"/>
    <w:rsid w:val="002F2D79"/>
    <w:rsid w:val="002F2EEB"/>
    <w:rsid w:val="002F2F20"/>
    <w:rsid w:val="002F2FFA"/>
    <w:rsid w:val="002F3000"/>
    <w:rsid w:val="002F3508"/>
    <w:rsid w:val="002F364F"/>
    <w:rsid w:val="002F3814"/>
    <w:rsid w:val="002F3A9A"/>
    <w:rsid w:val="002F3AD5"/>
    <w:rsid w:val="002F3BBC"/>
    <w:rsid w:val="002F3C95"/>
    <w:rsid w:val="002F3E76"/>
    <w:rsid w:val="002F3F7B"/>
    <w:rsid w:val="002F3FDC"/>
    <w:rsid w:val="002F404B"/>
    <w:rsid w:val="002F422B"/>
    <w:rsid w:val="002F4440"/>
    <w:rsid w:val="002F4755"/>
    <w:rsid w:val="002F4777"/>
    <w:rsid w:val="002F4780"/>
    <w:rsid w:val="002F49C9"/>
    <w:rsid w:val="002F4E71"/>
    <w:rsid w:val="002F4FCC"/>
    <w:rsid w:val="002F52D0"/>
    <w:rsid w:val="002F52DD"/>
    <w:rsid w:val="002F533B"/>
    <w:rsid w:val="002F53E1"/>
    <w:rsid w:val="002F5441"/>
    <w:rsid w:val="002F55FA"/>
    <w:rsid w:val="002F58F4"/>
    <w:rsid w:val="002F5A72"/>
    <w:rsid w:val="002F5FDE"/>
    <w:rsid w:val="002F6351"/>
    <w:rsid w:val="002F6658"/>
    <w:rsid w:val="002F691F"/>
    <w:rsid w:val="002F6AA9"/>
    <w:rsid w:val="002F6B06"/>
    <w:rsid w:val="002F6DD1"/>
    <w:rsid w:val="002F6FDA"/>
    <w:rsid w:val="002F6FDE"/>
    <w:rsid w:val="002F7024"/>
    <w:rsid w:val="002F7164"/>
    <w:rsid w:val="002F7171"/>
    <w:rsid w:val="002F7260"/>
    <w:rsid w:val="002F7579"/>
    <w:rsid w:val="002F7717"/>
    <w:rsid w:val="002F7943"/>
    <w:rsid w:val="002F7C5A"/>
    <w:rsid w:val="002F7E63"/>
    <w:rsid w:val="002F7E7A"/>
    <w:rsid w:val="002F7F9C"/>
    <w:rsid w:val="0030012D"/>
    <w:rsid w:val="0030042C"/>
    <w:rsid w:val="00300550"/>
    <w:rsid w:val="003005D2"/>
    <w:rsid w:val="0030073D"/>
    <w:rsid w:val="00300747"/>
    <w:rsid w:val="00300B2D"/>
    <w:rsid w:val="00300C21"/>
    <w:rsid w:val="00300C6F"/>
    <w:rsid w:val="00300CBD"/>
    <w:rsid w:val="00301501"/>
    <w:rsid w:val="00301939"/>
    <w:rsid w:val="00301C94"/>
    <w:rsid w:val="00301D4D"/>
    <w:rsid w:val="00301F0D"/>
    <w:rsid w:val="00301FB1"/>
    <w:rsid w:val="00302246"/>
    <w:rsid w:val="003022E6"/>
    <w:rsid w:val="0030235C"/>
    <w:rsid w:val="0030253D"/>
    <w:rsid w:val="00302675"/>
    <w:rsid w:val="00302B7F"/>
    <w:rsid w:val="00303187"/>
    <w:rsid w:val="0030335A"/>
    <w:rsid w:val="00303453"/>
    <w:rsid w:val="003039C8"/>
    <w:rsid w:val="00303D29"/>
    <w:rsid w:val="00303EF3"/>
    <w:rsid w:val="0030405E"/>
    <w:rsid w:val="00304320"/>
    <w:rsid w:val="0030479F"/>
    <w:rsid w:val="00304A36"/>
    <w:rsid w:val="00304A84"/>
    <w:rsid w:val="00304E97"/>
    <w:rsid w:val="00304F51"/>
    <w:rsid w:val="003051F0"/>
    <w:rsid w:val="00305205"/>
    <w:rsid w:val="003052E6"/>
    <w:rsid w:val="0030589C"/>
    <w:rsid w:val="00305905"/>
    <w:rsid w:val="00305991"/>
    <w:rsid w:val="003059C6"/>
    <w:rsid w:val="00305A0A"/>
    <w:rsid w:val="003061D9"/>
    <w:rsid w:val="003061E5"/>
    <w:rsid w:val="00306415"/>
    <w:rsid w:val="0030648A"/>
    <w:rsid w:val="003064E7"/>
    <w:rsid w:val="0030656B"/>
    <w:rsid w:val="00306793"/>
    <w:rsid w:val="003067D0"/>
    <w:rsid w:val="003069B3"/>
    <w:rsid w:val="00306A1A"/>
    <w:rsid w:val="00306A29"/>
    <w:rsid w:val="00306A2D"/>
    <w:rsid w:val="00306A8D"/>
    <w:rsid w:val="00306B7B"/>
    <w:rsid w:val="00306D54"/>
    <w:rsid w:val="00306DCE"/>
    <w:rsid w:val="003071B1"/>
    <w:rsid w:val="0030775C"/>
    <w:rsid w:val="00307867"/>
    <w:rsid w:val="0030799F"/>
    <w:rsid w:val="00307B52"/>
    <w:rsid w:val="00307B58"/>
    <w:rsid w:val="00307C1D"/>
    <w:rsid w:val="0031004A"/>
    <w:rsid w:val="0031013B"/>
    <w:rsid w:val="003104B2"/>
    <w:rsid w:val="003105A8"/>
    <w:rsid w:val="0031069E"/>
    <w:rsid w:val="00310779"/>
    <w:rsid w:val="0031091F"/>
    <w:rsid w:val="00310A97"/>
    <w:rsid w:val="0031147D"/>
    <w:rsid w:val="00311547"/>
    <w:rsid w:val="003115C0"/>
    <w:rsid w:val="00311627"/>
    <w:rsid w:val="00311727"/>
    <w:rsid w:val="0031175C"/>
    <w:rsid w:val="00312060"/>
    <w:rsid w:val="00312063"/>
    <w:rsid w:val="00312289"/>
    <w:rsid w:val="00312317"/>
    <w:rsid w:val="003124A7"/>
    <w:rsid w:val="003124FB"/>
    <w:rsid w:val="0031259A"/>
    <w:rsid w:val="0031288A"/>
    <w:rsid w:val="00312A85"/>
    <w:rsid w:val="00312C03"/>
    <w:rsid w:val="00312C5B"/>
    <w:rsid w:val="00313021"/>
    <w:rsid w:val="003131A5"/>
    <w:rsid w:val="00313586"/>
    <w:rsid w:val="00313BCB"/>
    <w:rsid w:val="00313C5D"/>
    <w:rsid w:val="00313DE8"/>
    <w:rsid w:val="00313E8F"/>
    <w:rsid w:val="00313EAE"/>
    <w:rsid w:val="00313EC4"/>
    <w:rsid w:val="00314315"/>
    <w:rsid w:val="0031459E"/>
    <w:rsid w:val="003146CD"/>
    <w:rsid w:val="003147D4"/>
    <w:rsid w:val="00314B1D"/>
    <w:rsid w:val="00314B5A"/>
    <w:rsid w:val="00314BBA"/>
    <w:rsid w:val="00314DBD"/>
    <w:rsid w:val="00314DCF"/>
    <w:rsid w:val="00314DDC"/>
    <w:rsid w:val="0031535D"/>
    <w:rsid w:val="0031538C"/>
    <w:rsid w:val="003153D7"/>
    <w:rsid w:val="003154BF"/>
    <w:rsid w:val="0031553D"/>
    <w:rsid w:val="003155C9"/>
    <w:rsid w:val="003156C5"/>
    <w:rsid w:val="0031575B"/>
    <w:rsid w:val="00315816"/>
    <w:rsid w:val="00315829"/>
    <w:rsid w:val="003158CD"/>
    <w:rsid w:val="00315B2F"/>
    <w:rsid w:val="00315B5F"/>
    <w:rsid w:val="00315DA7"/>
    <w:rsid w:val="00315DAE"/>
    <w:rsid w:val="00315F5E"/>
    <w:rsid w:val="0031626B"/>
    <w:rsid w:val="0031629C"/>
    <w:rsid w:val="003162BF"/>
    <w:rsid w:val="00316489"/>
    <w:rsid w:val="003166F9"/>
    <w:rsid w:val="00316755"/>
    <w:rsid w:val="003169A0"/>
    <w:rsid w:val="00316B1C"/>
    <w:rsid w:val="00316B3F"/>
    <w:rsid w:val="00316C29"/>
    <w:rsid w:val="00316C36"/>
    <w:rsid w:val="00316CB6"/>
    <w:rsid w:val="00316FF7"/>
    <w:rsid w:val="00317033"/>
    <w:rsid w:val="0031732B"/>
    <w:rsid w:val="0031741B"/>
    <w:rsid w:val="003175BC"/>
    <w:rsid w:val="00317722"/>
    <w:rsid w:val="00317737"/>
    <w:rsid w:val="00317784"/>
    <w:rsid w:val="0031793A"/>
    <w:rsid w:val="00317A2C"/>
    <w:rsid w:val="00317A73"/>
    <w:rsid w:val="00317B7F"/>
    <w:rsid w:val="00317C6B"/>
    <w:rsid w:val="00317E49"/>
    <w:rsid w:val="0032014B"/>
    <w:rsid w:val="00320425"/>
    <w:rsid w:val="0032049B"/>
    <w:rsid w:val="0032050F"/>
    <w:rsid w:val="00320628"/>
    <w:rsid w:val="0032074B"/>
    <w:rsid w:val="003208FF"/>
    <w:rsid w:val="00320918"/>
    <w:rsid w:val="003209C5"/>
    <w:rsid w:val="00320B80"/>
    <w:rsid w:val="00320CC9"/>
    <w:rsid w:val="00320ECA"/>
    <w:rsid w:val="00320F15"/>
    <w:rsid w:val="003210D0"/>
    <w:rsid w:val="00321580"/>
    <w:rsid w:val="0032165A"/>
    <w:rsid w:val="003216E9"/>
    <w:rsid w:val="00321775"/>
    <w:rsid w:val="003219F1"/>
    <w:rsid w:val="00321B82"/>
    <w:rsid w:val="00321BD6"/>
    <w:rsid w:val="003220B5"/>
    <w:rsid w:val="00322178"/>
    <w:rsid w:val="003223BE"/>
    <w:rsid w:val="00322A45"/>
    <w:rsid w:val="00322AE8"/>
    <w:rsid w:val="00322D9C"/>
    <w:rsid w:val="003230E6"/>
    <w:rsid w:val="00323872"/>
    <w:rsid w:val="00323AFE"/>
    <w:rsid w:val="00323BE0"/>
    <w:rsid w:val="00324366"/>
    <w:rsid w:val="00324502"/>
    <w:rsid w:val="003247E8"/>
    <w:rsid w:val="00324AA2"/>
    <w:rsid w:val="00324CD3"/>
    <w:rsid w:val="00324D7D"/>
    <w:rsid w:val="00324E2B"/>
    <w:rsid w:val="00324EF0"/>
    <w:rsid w:val="00324F59"/>
    <w:rsid w:val="00324F76"/>
    <w:rsid w:val="00324FAB"/>
    <w:rsid w:val="00325276"/>
    <w:rsid w:val="0032543A"/>
    <w:rsid w:val="00325549"/>
    <w:rsid w:val="00325879"/>
    <w:rsid w:val="00325C30"/>
    <w:rsid w:val="00325D87"/>
    <w:rsid w:val="00325FC4"/>
    <w:rsid w:val="003263C3"/>
    <w:rsid w:val="003263C4"/>
    <w:rsid w:val="0032640E"/>
    <w:rsid w:val="00326566"/>
    <w:rsid w:val="0032659D"/>
    <w:rsid w:val="0032672E"/>
    <w:rsid w:val="00326A4A"/>
    <w:rsid w:val="00326B58"/>
    <w:rsid w:val="00326C48"/>
    <w:rsid w:val="00326D7C"/>
    <w:rsid w:val="00326EFE"/>
    <w:rsid w:val="003271AC"/>
    <w:rsid w:val="003274E1"/>
    <w:rsid w:val="003274FC"/>
    <w:rsid w:val="00327933"/>
    <w:rsid w:val="00327A6A"/>
    <w:rsid w:val="00327A98"/>
    <w:rsid w:val="00327EBC"/>
    <w:rsid w:val="00327F98"/>
    <w:rsid w:val="00330013"/>
    <w:rsid w:val="00330084"/>
    <w:rsid w:val="0033025A"/>
    <w:rsid w:val="00330382"/>
    <w:rsid w:val="00330415"/>
    <w:rsid w:val="00330A00"/>
    <w:rsid w:val="00330AAD"/>
    <w:rsid w:val="00330C0E"/>
    <w:rsid w:val="003310A6"/>
    <w:rsid w:val="003310D8"/>
    <w:rsid w:val="0033120A"/>
    <w:rsid w:val="00331216"/>
    <w:rsid w:val="00331309"/>
    <w:rsid w:val="003314EA"/>
    <w:rsid w:val="003315C2"/>
    <w:rsid w:val="00331773"/>
    <w:rsid w:val="00331FD9"/>
    <w:rsid w:val="0033210A"/>
    <w:rsid w:val="003321FE"/>
    <w:rsid w:val="003322FC"/>
    <w:rsid w:val="003326B3"/>
    <w:rsid w:val="0033288E"/>
    <w:rsid w:val="003329DD"/>
    <w:rsid w:val="00332B23"/>
    <w:rsid w:val="00332DAA"/>
    <w:rsid w:val="00332E58"/>
    <w:rsid w:val="00333076"/>
    <w:rsid w:val="0033314F"/>
    <w:rsid w:val="00333423"/>
    <w:rsid w:val="003335FD"/>
    <w:rsid w:val="0033363F"/>
    <w:rsid w:val="003336ED"/>
    <w:rsid w:val="00333AD3"/>
    <w:rsid w:val="00333D34"/>
    <w:rsid w:val="0033441C"/>
    <w:rsid w:val="00334549"/>
    <w:rsid w:val="0033491E"/>
    <w:rsid w:val="00334CB5"/>
    <w:rsid w:val="00334D5E"/>
    <w:rsid w:val="00334F93"/>
    <w:rsid w:val="00335008"/>
    <w:rsid w:val="0033505B"/>
    <w:rsid w:val="003350B3"/>
    <w:rsid w:val="003350EA"/>
    <w:rsid w:val="0033511D"/>
    <w:rsid w:val="00335376"/>
    <w:rsid w:val="003354FE"/>
    <w:rsid w:val="0033559E"/>
    <w:rsid w:val="003356D7"/>
    <w:rsid w:val="00335720"/>
    <w:rsid w:val="0033580A"/>
    <w:rsid w:val="003359EB"/>
    <w:rsid w:val="0033600A"/>
    <w:rsid w:val="00336498"/>
    <w:rsid w:val="003364FC"/>
    <w:rsid w:val="0033663C"/>
    <w:rsid w:val="00336987"/>
    <w:rsid w:val="00336A52"/>
    <w:rsid w:val="00336B0E"/>
    <w:rsid w:val="00336BFF"/>
    <w:rsid w:val="00336C6F"/>
    <w:rsid w:val="0033704E"/>
    <w:rsid w:val="0033732A"/>
    <w:rsid w:val="00337BB4"/>
    <w:rsid w:val="00337DB2"/>
    <w:rsid w:val="00337EE8"/>
    <w:rsid w:val="00337FCD"/>
    <w:rsid w:val="003402AD"/>
    <w:rsid w:val="003403BF"/>
    <w:rsid w:val="003406C8"/>
    <w:rsid w:val="00340830"/>
    <w:rsid w:val="00340B4F"/>
    <w:rsid w:val="00340C09"/>
    <w:rsid w:val="00340C6D"/>
    <w:rsid w:val="00340E31"/>
    <w:rsid w:val="003410A5"/>
    <w:rsid w:val="0034123C"/>
    <w:rsid w:val="0034135F"/>
    <w:rsid w:val="0034155B"/>
    <w:rsid w:val="0034184C"/>
    <w:rsid w:val="0034195B"/>
    <w:rsid w:val="00341981"/>
    <w:rsid w:val="00341A62"/>
    <w:rsid w:val="00341B07"/>
    <w:rsid w:val="00341BE0"/>
    <w:rsid w:val="00341C7F"/>
    <w:rsid w:val="00341E58"/>
    <w:rsid w:val="00341F86"/>
    <w:rsid w:val="0034208C"/>
    <w:rsid w:val="003422C8"/>
    <w:rsid w:val="0034264D"/>
    <w:rsid w:val="00342C14"/>
    <w:rsid w:val="00342DC0"/>
    <w:rsid w:val="00342F99"/>
    <w:rsid w:val="00343028"/>
    <w:rsid w:val="0034315D"/>
    <w:rsid w:val="00343387"/>
    <w:rsid w:val="0034338D"/>
    <w:rsid w:val="00343412"/>
    <w:rsid w:val="0034341A"/>
    <w:rsid w:val="003434B3"/>
    <w:rsid w:val="0034355D"/>
    <w:rsid w:val="003435A3"/>
    <w:rsid w:val="003435FB"/>
    <w:rsid w:val="003436B4"/>
    <w:rsid w:val="00343785"/>
    <w:rsid w:val="00343886"/>
    <w:rsid w:val="00343983"/>
    <w:rsid w:val="00343AFF"/>
    <w:rsid w:val="00343CF0"/>
    <w:rsid w:val="003443F6"/>
    <w:rsid w:val="00344592"/>
    <w:rsid w:val="0034462A"/>
    <w:rsid w:val="00344793"/>
    <w:rsid w:val="003447C0"/>
    <w:rsid w:val="00344AF3"/>
    <w:rsid w:val="00344B7E"/>
    <w:rsid w:val="00344C75"/>
    <w:rsid w:val="00344CBA"/>
    <w:rsid w:val="003450ED"/>
    <w:rsid w:val="00345170"/>
    <w:rsid w:val="00345257"/>
    <w:rsid w:val="00345379"/>
    <w:rsid w:val="00345514"/>
    <w:rsid w:val="003456AB"/>
    <w:rsid w:val="00345DA0"/>
    <w:rsid w:val="00345F89"/>
    <w:rsid w:val="0034614A"/>
    <w:rsid w:val="0034663A"/>
    <w:rsid w:val="0034668F"/>
    <w:rsid w:val="00346970"/>
    <w:rsid w:val="00346985"/>
    <w:rsid w:val="00346C88"/>
    <w:rsid w:val="00346D00"/>
    <w:rsid w:val="00346EBD"/>
    <w:rsid w:val="00347210"/>
    <w:rsid w:val="0034728F"/>
    <w:rsid w:val="0034729D"/>
    <w:rsid w:val="003472A7"/>
    <w:rsid w:val="00347393"/>
    <w:rsid w:val="00347434"/>
    <w:rsid w:val="00347460"/>
    <w:rsid w:val="00347827"/>
    <w:rsid w:val="003479CE"/>
    <w:rsid w:val="00347E92"/>
    <w:rsid w:val="00350191"/>
    <w:rsid w:val="003503CB"/>
    <w:rsid w:val="00350A84"/>
    <w:rsid w:val="00350E2F"/>
    <w:rsid w:val="00350ED6"/>
    <w:rsid w:val="003511F3"/>
    <w:rsid w:val="003519EA"/>
    <w:rsid w:val="00351BAC"/>
    <w:rsid w:val="003521CC"/>
    <w:rsid w:val="0035221E"/>
    <w:rsid w:val="00352292"/>
    <w:rsid w:val="00352506"/>
    <w:rsid w:val="0035250D"/>
    <w:rsid w:val="0035257B"/>
    <w:rsid w:val="00352898"/>
    <w:rsid w:val="003528CD"/>
    <w:rsid w:val="00352D67"/>
    <w:rsid w:val="00352D9C"/>
    <w:rsid w:val="00352FCF"/>
    <w:rsid w:val="003532A6"/>
    <w:rsid w:val="003533A3"/>
    <w:rsid w:val="00353477"/>
    <w:rsid w:val="003534E8"/>
    <w:rsid w:val="003534E9"/>
    <w:rsid w:val="00353722"/>
    <w:rsid w:val="00353D33"/>
    <w:rsid w:val="00353DB5"/>
    <w:rsid w:val="00353DC7"/>
    <w:rsid w:val="003540C4"/>
    <w:rsid w:val="0035424B"/>
    <w:rsid w:val="00354403"/>
    <w:rsid w:val="0035452A"/>
    <w:rsid w:val="003547A9"/>
    <w:rsid w:val="0035484A"/>
    <w:rsid w:val="0035488E"/>
    <w:rsid w:val="003548BE"/>
    <w:rsid w:val="00354AED"/>
    <w:rsid w:val="00354F25"/>
    <w:rsid w:val="00354F9F"/>
    <w:rsid w:val="00354FA0"/>
    <w:rsid w:val="00355492"/>
    <w:rsid w:val="00355628"/>
    <w:rsid w:val="00355682"/>
    <w:rsid w:val="00355771"/>
    <w:rsid w:val="00355928"/>
    <w:rsid w:val="00355DFA"/>
    <w:rsid w:val="00355EF4"/>
    <w:rsid w:val="00356112"/>
    <w:rsid w:val="00356705"/>
    <w:rsid w:val="00356833"/>
    <w:rsid w:val="00356988"/>
    <w:rsid w:val="00356A81"/>
    <w:rsid w:val="00356CCD"/>
    <w:rsid w:val="00357103"/>
    <w:rsid w:val="00357241"/>
    <w:rsid w:val="00357382"/>
    <w:rsid w:val="003573BE"/>
    <w:rsid w:val="0035782A"/>
    <w:rsid w:val="00357994"/>
    <w:rsid w:val="00357B02"/>
    <w:rsid w:val="00357D70"/>
    <w:rsid w:val="00357F53"/>
    <w:rsid w:val="00360004"/>
    <w:rsid w:val="003600D0"/>
    <w:rsid w:val="003602B1"/>
    <w:rsid w:val="0036079B"/>
    <w:rsid w:val="00360AA3"/>
    <w:rsid w:val="00360D73"/>
    <w:rsid w:val="00360DC4"/>
    <w:rsid w:val="00360E74"/>
    <w:rsid w:val="00360E9D"/>
    <w:rsid w:val="00360EFC"/>
    <w:rsid w:val="00360F1D"/>
    <w:rsid w:val="003613B0"/>
    <w:rsid w:val="0036153A"/>
    <w:rsid w:val="003617B0"/>
    <w:rsid w:val="003618FB"/>
    <w:rsid w:val="003619E9"/>
    <w:rsid w:val="00361AB1"/>
    <w:rsid w:val="00361B88"/>
    <w:rsid w:val="00361BE0"/>
    <w:rsid w:val="00361C0B"/>
    <w:rsid w:val="00361C87"/>
    <w:rsid w:val="00361F9B"/>
    <w:rsid w:val="00362087"/>
    <w:rsid w:val="003620D0"/>
    <w:rsid w:val="0036220F"/>
    <w:rsid w:val="00362279"/>
    <w:rsid w:val="00362312"/>
    <w:rsid w:val="003623A5"/>
    <w:rsid w:val="0036265C"/>
    <w:rsid w:val="00362832"/>
    <w:rsid w:val="003629D5"/>
    <w:rsid w:val="00362BAF"/>
    <w:rsid w:val="00362DF0"/>
    <w:rsid w:val="00362ECA"/>
    <w:rsid w:val="00363595"/>
    <w:rsid w:val="0036369E"/>
    <w:rsid w:val="00363787"/>
    <w:rsid w:val="00363E03"/>
    <w:rsid w:val="00363E3E"/>
    <w:rsid w:val="00363EDB"/>
    <w:rsid w:val="00363F6B"/>
    <w:rsid w:val="0036412B"/>
    <w:rsid w:val="003643BD"/>
    <w:rsid w:val="0036465C"/>
    <w:rsid w:val="0036470C"/>
    <w:rsid w:val="003651AE"/>
    <w:rsid w:val="0036520D"/>
    <w:rsid w:val="00365459"/>
    <w:rsid w:val="003657EF"/>
    <w:rsid w:val="00365864"/>
    <w:rsid w:val="003658CF"/>
    <w:rsid w:val="00365ACC"/>
    <w:rsid w:val="00365B9E"/>
    <w:rsid w:val="00365CAD"/>
    <w:rsid w:val="00365D40"/>
    <w:rsid w:val="00365E30"/>
    <w:rsid w:val="003661BC"/>
    <w:rsid w:val="003663B2"/>
    <w:rsid w:val="00366631"/>
    <w:rsid w:val="003666A0"/>
    <w:rsid w:val="00366A52"/>
    <w:rsid w:val="00366AD1"/>
    <w:rsid w:val="00366BCB"/>
    <w:rsid w:val="00366DF2"/>
    <w:rsid w:val="00366E51"/>
    <w:rsid w:val="00366F69"/>
    <w:rsid w:val="0036707A"/>
    <w:rsid w:val="00367094"/>
    <w:rsid w:val="0036717F"/>
    <w:rsid w:val="003673B6"/>
    <w:rsid w:val="003673BB"/>
    <w:rsid w:val="00367570"/>
    <w:rsid w:val="00367A1A"/>
    <w:rsid w:val="00367D2F"/>
    <w:rsid w:val="0037017D"/>
    <w:rsid w:val="00370580"/>
    <w:rsid w:val="00370C81"/>
    <w:rsid w:val="00370D9E"/>
    <w:rsid w:val="00370E21"/>
    <w:rsid w:val="00370EBC"/>
    <w:rsid w:val="00371321"/>
    <w:rsid w:val="00371406"/>
    <w:rsid w:val="00371568"/>
    <w:rsid w:val="003716FE"/>
    <w:rsid w:val="003720BE"/>
    <w:rsid w:val="003726AF"/>
    <w:rsid w:val="00372827"/>
    <w:rsid w:val="00372DD7"/>
    <w:rsid w:val="00372F15"/>
    <w:rsid w:val="003730FF"/>
    <w:rsid w:val="0037312A"/>
    <w:rsid w:val="003734AA"/>
    <w:rsid w:val="003736C7"/>
    <w:rsid w:val="003738E9"/>
    <w:rsid w:val="00373DF8"/>
    <w:rsid w:val="00373E33"/>
    <w:rsid w:val="00374056"/>
    <w:rsid w:val="0037411A"/>
    <w:rsid w:val="0037441B"/>
    <w:rsid w:val="0037459F"/>
    <w:rsid w:val="003749AC"/>
    <w:rsid w:val="003749D4"/>
    <w:rsid w:val="00374E98"/>
    <w:rsid w:val="00374EBC"/>
    <w:rsid w:val="003750F7"/>
    <w:rsid w:val="003751C1"/>
    <w:rsid w:val="0037581E"/>
    <w:rsid w:val="003759F2"/>
    <w:rsid w:val="00375A2A"/>
    <w:rsid w:val="00375B7C"/>
    <w:rsid w:val="0037600F"/>
    <w:rsid w:val="0037687E"/>
    <w:rsid w:val="003768C2"/>
    <w:rsid w:val="003768D9"/>
    <w:rsid w:val="00376AFC"/>
    <w:rsid w:val="00376F74"/>
    <w:rsid w:val="00377098"/>
    <w:rsid w:val="003770B9"/>
    <w:rsid w:val="0037734C"/>
    <w:rsid w:val="0037739F"/>
    <w:rsid w:val="00377509"/>
    <w:rsid w:val="00377736"/>
    <w:rsid w:val="00377BFE"/>
    <w:rsid w:val="00377D42"/>
    <w:rsid w:val="00377F22"/>
    <w:rsid w:val="00377F5A"/>
    <w:rsid w:val="00377FF6"/>
    <w:rsid w:val="00380139"/>
    <w:rsid w:val="00380280"/>
    <w:rsid w:val="00380321"/>
    <w:rsid w:val="00380348"/>
    <w:rsid w:val="003804DA"/>
    <w:rsid w:val="003806B8"/>
    <w:rsid w:val="00380803"/>
    <w:rsid w:val="0038095A"/>
    <w:rsid w:val="00380A81"/>
    <w:rsid w:val="00380B1D"/>
    <w:rsid w:val="00380BB5"/>
    <w:rsid w:val="00380DF6"/>
    <w:rsid w:val="003810D9"/>
    <w:rsid w:val="00381301"/>
    <w:rsid w:val="003813CB"/>
    <w:rsid w:val="0038193C"/>
    <w:rsid w:val="00381944"/>
    <w:rsid w:val="00381ADB"/>
    <w:rsid w:val="00381AE1"/>
    <w:rsid w:val="00381AEC"/>
    <w:rsid w:val="00381C98"/>
    <w:rsid w:val="00381CB1"/>
    <w:rsid w:val="00382492"/>
    <w:rsid w:val="003826BE"/>
    <w:rsid w:val="00382873"/>
    <w:rsid w:val="00382B04"/>
    <w:rsid w:val="00382CA0"/>
    <w:rsid w:val="00382D9D"/>
    <w:rsid w:val="00383026"/>
    <w:rsid w:val="003830A5"/>
    <w:rsid w:val="00383171"/>
    <w:rsid w:val="00383932"/>
    <w:rsid w:val="00383B3F"/>
    <w:rsid w:val="0038425A"/>
    <w:rsid w:val="003843AC"/>
    <w:rsid w:val="003846AF"/>
    <w:rsid w:val="003848AA"/>
    <w:rsid w:val="00384A30"/>
    <w:rsid w:val="00384C25"/>
    <w:rsid w:val="00384D48"/>
    <w:rsid w:val="00384D4E"/>
    <w:rsid w:val="00384F6C"/>
    <w:rsid w:val="00385119"/>
    <w:rsid w:val="0038589B"/>
    <w:rsid w:val="00385C1A"/>
    <w:rsid w:val="00385CFB"/>
    <w:rsid w:val="00385DC1"/>
    <w:rsid w:val="00385DC9"/>
    <w:rsid w:val="00385F03"/>
    <w:rsid w:val="00385FAF"/>
    <w:rsid w:val="00386204"/>
    <w:rsid w:val="003863ED"/>
    <w:rsid w:val="00386497"/>
    <w:rsid w:val="00386693"/>
    <w:rsid w:val="0038674E"/>
    <w:rsid w:val="003869AB"/>
    <w:rsid w:val="00386B3C"/>
    <w:rsid w:val="00386B4B"/>
    <w:rsid w:val="00386ED6"/>
    <w:rsid w:val="003871BA"/>
    <w:rsid w:val="0038725A"/>
    <w:rsid w:val="0038746E"/>
    <w:rsid w:val="00387502"/>
    <w:rsid w:val="00387823"/>
    <w:rsid w:val="003878CF"/>
    <w:rsid w:val="00387A0A"/>
    <w:rsid w:val="00387A4E"/>
    <w:rsid w:val="00387D39"/>
    <w:rsid w:val="00390090"/>
    <w:rsid w:val="0039031A"/>
    <w:rsid w:val="0039042D"/>
    <w:rsid w:val="0039069B"/>
    <w:rsid w:val="003907AD"/>
    <w:rsid w:val="0039085B"/>
    <w:rsid w:val="003908A3"/>
    <w:rsid w:val="00390BC9"/>
    <w:rsid w:val="00390D0E"/>
    <w:rsid w:val="00390F55"/>
    <w:rsid w:val="00391247"/>
    <w:rsid w:val="003912C4"/>
    <w:rsid w:val="00391332"/>
    <w:rsid w:val="003913C7"/>
    <w:rsid w:val="00391A6E"/>
    <w:rsid w:val="00391C6D"/>
    <w:rsid w:val="00391CB2"/>
    <w:rsid w:val="00391CF1"/>
    <w:rsid w:val="003921B2"/>
    <w:rsid w:val="00392531"/>
    <w:rsid w:val="00392B48"/>
    <w:rsid w:val="00392DF4"/>
    <w:rsid w:val="00392E41"/>
    <w:rsid w:val="003933D3"/>
    <w:rsid w:val="003934A7"/>
    <w:rsid w:val="00393532"/>
    <w:rsid w:val="00393568"/>
    <w:rsid w:val="00393740"/>
    <w:rsid w:val="003937FE"/>
    <w:rsid w:val="00393A79"/>
    <w:rsid w:val="00393C90"/>
    <w:rsid w:val="00393D2D"/>
    <w:rsid w:val="00393DDB"/>
    <w:rsid w:val="00393F6E"/>
    <w:rsid w:val="00394BC6"/>
    <w:rsid w:val="00394BE9"/>
    <w:rsid w:val="00394E74"/>
    <w:rsid w:val="00395013"/>
    <w:rsid w:val="00395050"/>
    <w:rsid w:val="00395180"/>
    <w:rsid w:val="003952B6"/>
    <w:rsid w:val="003953E8"/>
    <w:rsid w:val="0039545B"/>
    <w:rsid w:val="00395499"/>
    <w:rsid w:val="0039556E"/>
    <w:rsid w:val="00395727"/>
    <w:rsid w:val="003957D4"/>
    <w:rsid w:val="00395AA6"/>
    <w:rsid w:val="00395B53"/>
    <w:rsid w:val="0039607E"/>
    <w:rsid w:val="003961E6"/>
    <w:rsid w:val="003965BA"/>
    <w:rsid w:val="003967E5"/>
    <w:rsid w:val="0039686B"/>
    <w:rsid w:val="0039691F"/>
    <w:rsid w:val="00396AB3"/>
    <w:rsid w:val="00396BA5"/>
    <w:rsid w:val="00396CBC"/>
    <w:rsid w:val="00396EB7"/>
    <w:rsid w:val="00396FC9"/>
    <w:rsid w:val="00397252"/>
    <w:rsid w:val="0039727A"/>
    <w:rsid w:val="0039734F"/>
    <w:rsid w:val="00397A3E"/>
    <w:rsid w:val="00397AEB"/>
    <w:rsid w:val="00397DDC"/>
    <w:rsid w:val="00397E18"/>
    <w:rsid w:val="00397E1F"/>
    <w:rsid w:val="00397EA9"/>
    <w:rsid w:val="003A00DD"/>
    <w:rsid w:val="003A036B"/>
    <w:rsid w:val="003A04FC"/>
    <w:rsid w:val="003A05EF"/>
    <w:rsid w:val="003A06A0"/>
    <w:rsid w:val="003A0A4E"/>
    <w:rsid w:val="003A1244"/>
    <w:rsid w:val="003A15D5"/>
    <w:rsid w:val="003A15F6"/>
    <w:rsid w:val="003A1674"/>
    <w:rsid w:val="003A1783"/>
    <w:rsid w:val="003A1865"/>
    <w:rsid w:val="003A1880"/>
    <w:rsid w:val="003A193D"/>
    <w:rsid w:val="003A1B3D"/>
    <w:rsid w:val="003A1B4E"/>
    <w:rsid w:val="003A1BC9"/>
    <w:rsid w:val="003A1BE2"/>
    <w:rsid w:val="003A1C4D"/>
    <w:rsid w:val="003A1FF3"/>
    <w:rsid w:val="003A2293"/>
    <w:rsid w:val="003A22EB"/>
    <w:rsid w:val="003A247D"/>
    <w:rsid w:val="003A25ED"/>
    <w:rsid w:val="003A2BDF"/>
    <w:rsid w:val="003A302D"/>
    <w:rsid w:val="003A33A7"/>
    <w:rsid w:val="003A3661"/>
    <w:rsid w:val="003A36BC"/>
    <w:rsid w:val="003A3C6A"/>
    <w:rsid w:val="003A3C8F"/>
    <w:rsid w:val="003A3D07"/>
    <w:rsid w:val="003A3DCA"/>
    <w:rsid w:val="003A3DDB"/>
    <w:rsid w:val="003A3E42"/>
    <w:rsid w:val="003A3E6C"/>
    <w:rsid w:val="003A3EE7"/>
    <w:rsid w:val="003A3F81"/>
    <w:rsid w:val="003A4549"/>
    <w:rsid w:val="003A45C9"/>
    <w:rsid w:val="003A4852"/>
    <w:rsid w:val="003A494B"/>
    <w:rsid w:val="003A4C70"/>
    <w:rsid w:val="003A4E42"/>
    <w:rsid w:val="003A4E72"/>
    <w:rsid w:val="003A4EC5"/>
    <w:rsid w:val="003A4FBD"/>
    <w:rsid w:val="003A50D1"/>
    <w:rsid w:val="003A5441"/>
    <w:rsid w:val="003A5546"/>
    <w:rsid w:val="003A5685"/>
    <w:rsid w:val="003A575F"/>
    <w:rsid w:val="003A5772"/>
    <w:rsid w:val="003A589F"/>
    <w:rsid w:val="003A58A8"/>
    <w:rsid w:val="003A58C7"/>
    <w:rsid w:val="003A58ED"/>
    <w:rsid w:val="003A5C4D"/>
    <w:rsid w:val="003A5DBF"/>
    <w:rsid w:val="003A605E"/>
    <w:rsid w:val="003A6128"/>
    <w:rsid w:val="003A617C"/>
    <w:rsid w:val="003A62D5"/>
    <w:rsid w:val="003A6696"/>
    <w:rsid w:val="003A6847"/>
    <w:rsid w:val="003A6957"/>
    <w:rsid w:val="003A6A87"/>
    <w:rsid w:val="003A6AF6"/>
    <w:rsid w:val="003A6B5A"/>
    <w:rsid w:val="003A72C9"/>
    <w:rsid w:val="003A74BD"/>
    <w:rsid w:val="003A74BF"/>
    <w:rsid w:val="003A751D"/>
    <w:rsid w:val="003A767E"/>
    <w:rsid w:val="003A7958"/>
    <w:rsid w:val="003A7A42"/>
    <w:rsid w:val="003A7F1F"/>
    <w:rsid w:val="003A7F3B"/>
    <w:rsid w:val="003B0167"/>
    <w:rsid w:val="003B01A7"/>
    <w:rsid w:val="003B037D"/>
    <w:rsid w:val="003B04F9"/>
    <w:rsid w:val="003B0536"/>
    <w:rsid w:val="003B0570"/>
    <w:rsid w:val="003B064D"/>
    <w:rsid w:val="003B0834"/>
    <w:rsid w:val="003B0A8D"/>
    <w:rsid w:val="003B1248"/>
    <w:rsid w:val="003B14AD"/>
    <w:rsid w:val="003B1604"/>
    <w:rsid w:val="003B18FF"/>
    <w:rsid w:val="003B19D0"/>
    <w:rsid w:val="003B1AC1"/>
    <w:rsid w:val="003B1E72"/>
    <w:rsid w:val="003B214D"/>
    <w:rsid w:val="003B24BC"/>
    <w:rsid w:val="003B255B"/>
    <w:rsid w:val="003B25B0"/>
    <w:rsid w:val="003B2702"/>
    <w:rsid w:val="003B2820"/>
    <w:rsid w:val="003B2BA5"/>
    <w:rsid w:val="003B2C5A"/>
    <w:rsid w:val="003B2E7D"/>
    <w:rsid w:val="003B3137"/>
    <w:rsid w:val="003B3B26"/>
    <w:rsid w:val="003B3ECC"/>
    <w:rsid w:val="003B3FFA"/>
    <w:rsid w:val="003B4140"/>
    <w:rsid w:val="003B4385"/>
    <w:rsid w:val="003B471A"/>
    <w:rsid w:val="003B4834"/>
    <w:rsid w:val="003B48CE"/>
    <w:rsid w:val="003B4EE5"/>
    <w:rsid w:val="003B4FB4"/>
    <w:rsid w:val="003B508D"/>
    <w:rsid w:val="003B5460"/>
    <w:rsid w:val="003B5625"/>
    <w:rsid w:val="003B583C"/>
    <w:rsid w:val="003B5865"/>
    <w:rsid w:val="003B5B98"/>
    <w:rsid w:val="003B5CB9"/>
    <w:rsid w:val="003B5E61"/>
    <w:rsid w:val="003B5FFD"/>
    <w:rsid w:val="003B60DD"/>
    <w:rsid w:val="003B6251"/>
    <w:rsid w:val="003B644A"/>
    <w:rsid w:val="003B652F"/>
    <w:rsid w:val="003B66AF"/>
    <w:rsid w:val="003B679A"/>
    <w:rsid w:val="003B681D"/>
    <w:rsid w:val="003B6862"/>
    <w:rsid w:val="003B6CF4"/>
    <w:rsid w:val="003B744E"/>
    <w:rsid w:val="003B749E"/>
    <w:rsid w:val="003B75C5"/>
    <w:rsid w:val="003B785F"/>
    <w:rsid w:val="003B7A44"/>
    <w:rsid w:val="003B7CD8"/>
    <w:rsid w:val="003B7D30"/>
    <w:rsid w:val="003C002B"/>
    <w:rsid w:val="003C0431"/>
    <w:rsid w:val="003C07EA"/>
    <w:rsid w:val="003C0959"/>
    <w:rsid w:val="003C0B57"/>
    <w:rsid w:val="003C0F0C"/>
    <w:rsid w:val="003C0FE1"/>
    <w:rsid w:val="003C113C"/>
    <w:rsid w:val="003C1264"/>
    <w:rsid w:val="003C135D"/>
    <w:rsid w:val="003C150F"/>
    <w:rsid w:val="003C1625"/>
    <w:rsid w:val="003C165F"/>
    <w:rsid w:val="003C2043"/>
    <w:rsid w:val="003C20B6"/>
    <w:rsid w:val="003C21ED"/>
    <w:rsid w:val="003C22DB"/>
    <w:rsid w:val="003C2595"/>
    <w:rsid w:val="003C2698"/>
    <w:rsid w:val="003C2738"/>
    <w:rsid w:val="003C27E4"/>
    <w:rsid w:val="003C2D3A"/>
    <w:rsid w:val="003C34F8"/>
    <w:rsid w:val="003C380E"/>
    <w:rsid w:val="003C382B"/>
    <w:rsid w:val="003C38F4"/>
    <w:rsid w:val="003C3A14"/>
    <w:rsid w:val="003C3C8A"/>
    <w:rsid w:val="003C4075"/>
    <w:rsid w:val="003C4199"/>
    <w:rsid w:val="003C42D8"/>
    <w:rsid w:val="003C42FC"/>
    <w:rsid w:val="003C4422"/>
    <w:rsid w:val="003C47D2"/>
    <w:rsid w:val="003C4AC3"/>
    <w:rsid w:val="003C4C09"/>
    <w:rsid w:val="003C4E1D"/>
    <w:rsid w:val="003C5444"/>
    <w:rsid w:val="003C5AC6"/>
    <w:rsid w:val="003C5BD0"/>
    <w:rsid w:val="003C5EBE"/>
    <w:rsid w:val="003C5F2C"/>
    <w:rsid w:val="003C5F3B"/>
    <w:rsid w:val="003C5F98"/>
    <w:rsid w:val="003C609C"/>
    <w:rsid w:val="003C6318"/>
    <w:rsid w:val="003C63A9"/>
    <w:rsid w:val="003C6401"/>
    <w:rsid w:val="003C6422"/>
    <w:rsid w:val="003C6576"/>
    <w:rsid w:val="003C697F"/>
    <w:rsid w:val="003C6A3E"/>
    <w:rsid w:val="003C6D42"/>
    <w:rsid w:val="003C6D9A"/>
    <w:rsid w:val="003C6F67"/>
    <w:rsid w:val="003C6FED"/>
    <w:rsid w:val="003C708A"/>
    <w:rsid w:val="003C71BF"/>
    <w:rsid w:val="003C7747"/>
    <w:rsid w:val="003C7841"/>
    <w:rsid w:val="003C7A0A"/>
    <w:rsid w:val="003C7BE1"/>
    <w:rsid w:val="003C7C7B"/>
    <w:rsid w:val="003C7F5B"/>
    <w:rsid w:val="003D020E"/>
    <w:rsid w:val="003D027A"/>
    <w:rsid w:val="003D0879"/>
    <w:rsid w:val="003D0F0E"/>
    <w:rsid w:val="003D0F57"/>
    <w:rsid w:val="003D10E2"/>
    <w:rsid w:val="003D13CD"/>
    <w:rsid w:val="003D14C4"/>
    <w:rsid w:val="003D14C7"/>
    <w:rsid w:val="003D175E"/>
    <w:rsid w:val="003D177D"/>
    <w:rsid w:val="003D1836"/>
    <w:rsid w:val="003D1B10"/>
    <w:rsid w:val="003D1B27"/>
    <w:rsid w:val="003D1D0D"/>
    <w:rsid w:val="003D1E36"/>
    <w:rsid w:val="003D1F63"/>
    <w:rsid w:val="003D2034"/>
    <w:rsid w:val="003D2251"/>
    <w:rsid w:val="003D2312"/>
    <w:rsid w:val="003D233A"/>
    <w:rsid w:val="003D2377"/>
    <w:rsid w:val="003D2442"/>
    <w:rsid w:val="003D24BE"/>
    <w:rsid w:val="003D2523"/>
    <w:rsid w:val="003D26B4"/>
    <w:rsid w:val="003D2888"/>
    <w:rsid w:val="003D29D6"/>
    <w:rsid w:val="003D304F"/>
    <w:rsid w:val="003D31B5"/>
    <w:rsid w:val="003D338D"/>
    <w:rsid w:val="003D343D"/>
    <w:rsid w:val="003D3EF4"/>
    <w:rsid w:val="003D3FB6"/>
    <w:rsid w:val="003D45C9"/>
    <w:rsid w:val="003D47E4"/>
    <w:rsid w:val="003D4CD5"/>
    <w:rsid w:val="003D4E76"/>
    <w:rsid w:val="003D5172"/>
    <w:rsid w:val="003D51F5"/>
    <w:rsid w:val="003D54A7"/>
    <w:rsid w:val="003D55AA"/>
    <w:rsid w:val="003D5973"/>
    <w:rsid w:val="003D59AF"/>
    <w:rsid w:val="003D5AB9"/>
    <w:rsid w:val="003D5C78"/>
    <w:rsid w:val="003D6528"/>
    <w:rsid w:val="003D6807"/>
    <w:rsid w:val="003D69B4"/>
    <w:rsid w:val="003D69D1"/>
    <w:rsid w:val="003D69EC"/>
    <w:rsid w:val="003D6AA1"/>
    <w:rsid w:val="003D6CCC"/>
    <w:rsid w:val="003D7286"/>
    <w:rsid w:val="003D74F2"/>
    <w:rsid w:val="003D7F4D"/>
    <w:rsid w:val="003E00FF"/>
    <w:rsid w:val="003E01AD"/>
    <w:rsid w:val="003E046A"/>
    <w:rsid w:val="003E0529"/>
    <w:rsid w:val="003E09BA"/>
    <w:rsid w:val="003E0AA8"/>
    <w:rsid w:val="003E0DD9"/>
    <w:rsid w:val="003E0F26"/>
    <w:rsid w:val="003E10F4"/>
    <w:rsid w:val="003E1281"/>
    <w:rsid w:val="003E1413"/>
    <w:rsid w:val="003E1527"/>
    <w:rsid w:val="003E160E"/>
    <w:rsid w:val="003E1926"/>
    <w:rsid w:val="003E1A3B"/>
    <w:rsid w:val="003E1A6E"/>
    <w:rsid w:val="003E1B8F"/>
    <w:rsid w:val="003E1C5F"/>
    <w:rsid w:val="003E1D4E"/>
    <w:rsid w:val="003E1E2D"/>
    <w:rsid w:val="003E1E65"/>
    <w:rsid w:val="003E2226"/>
    <w:rsid w:val="003E25D4"/>
    <w:rsid w:val="003E26C4"/>
    <w:rsid w:val="003E2A21"/>
    <w:rsid w:val="003E2D98"/>
    <w:rsid w:val="003E2F5D"/>
    <w:rsid w:val="003E2F6D"/>
    <w:rsid w:val="003E3105"/>
    <w:rsid w:val="003E3275"/>
    <w:rsid w:val="003E35ED"/>
    <w:rsid w:val="003E36DC"/>
    <w:rsid w:val="003E39D6"/>
    <w:rsid w:val="003E3E25"/>
    <w:rsid w:val="003E3EC1"/>
    <w:rsid w:val="003E3F68"/>
    <w:rsid w:val="003E3F75"/>
    <w:rsid w:val="003E3FC6"/>
    <w:rsid w:val="003E401A"/>
    <w:rsid w:val="003E42C3"/>
    <w:rsid w:val="003E42CC"/>
    <w:rsid w:val="003E44E9"/>
    <w:rsid w:val="003E4777"/>
    <w:rsid w:val="003E4911"/>
    <w:rsid w:val="003E4AFB"/>
    <w:rsid w:val="003E4B04"/>
    <w:rsid w:val="003E4B9D"/>
    <w:rsid w:val="003E5009"/>
    <w:rsid w:val="003E5542"/>
    <w:rsid w:val="003E562A"/>
    <w:rsid w:val="003E5696"/>
    <w:rsid w:val="003E5A13"/>
    <w:rsid w:val="003E5C09"/>
    <w:rsid w:val="003E5C1C"/>
    <w:rsid w:val="003E5C3A"/>
    <w:rsid w:val="003E5EAD"/>
    <w:rsid w:val="003E5EAE"/>
    <w:rsid w:val="003E5EEA"/>
    <w:rsid w:val="003E60D6"/>
    <w:rsid w:val="003E629E"/>
    <w:rsid w:val="003E6307"/>
    <w:rsid w:val="003E64E6"/>
    <w:rsid w:val="003E66C6"/>
    <w:rsid w:val="003E6760"/>
    <w:rsid w:val="003E6768"/>
    <w:rsid w:val="003E68B5"/>
    <w:rsid w:val="003E6C58"/>
    <w:rsid w:val="003E6C81"/>
    <w:rsid w:val="003E6F32"/>
    <w:rsid w:val="003E6F93"/>
    <w:rsid w:val="003E731A"/>
    <w:rsid w:val="003E73D1"/>
    <w:rsid w:val="003E7500"/>
    <w:rsid w:val="003E7506"/>
    <w:rsid w:val="003E754F"/>
    <w:rsid w:val="003E772A"/>
    <w:rsid w:val="003E7804"/>
    <w:rsid w:val="003E7944"/>
    <w:rsid w:val="003E7DF4"/>
    <w:rsid w:val="003E7E90"/>
    <w:rsid w:val="003E7FBE"/>
    <w:rsid w:val="003E7FDB"/>
    <w:rsid w:val="003F036D"/>
    <w:rsid w:val="003F06EB"/>
    <w:rsid w:val="003F09EC"/>
    <w:rsid w:val="003F0B8E"/>
    <w:rsid w:val="003F0BD0"/>
    <w:rsid w:val="003F1033"/>
    <w:rsid w:val="003F11C8"/>
    <w:rsid w:val="003F178B"/>
    <w:rsid w:val="003F1924"/>
    <w:rsid w:val="003F1C70"/>
    <w:rsid w:val="003F1DDE"/>
    <w:rsid w:val="003F1E74"/>
    <w:rsid w:val="003F1EBF"/>
    <w:rsid w:val="003F1F0A"/>
    <w:rsid w:val="003F2479"/>
    <w:rsid w:val="003F2712"/>
    <w:rsid w:val="003F27A9"/>
    <w:rsid w:val="003F286E"/>
    <w:rsid w:val="003F2917"/>
    <w:rsid w:val="003F2ADF"/>
    <w:rsid w:val="003F2AFD"/>
    <w:rsid w:val="003F2BD7"/>
    <w:rsid w:val="003F2BE7"/>
    <w:rsid w:val="003F2D33"/>
    <w:rsid w:val="003F305A"/>
    <w:rsid w:val="003F305D"/>
    <w:rsid w:val="003F30E8"/>
    <w:rsid w:val="003F35F6"/>
    <w:rsid w:val="003F39EA"/>
    <w:rsid w:val="003F3BF7"/>
    <w:rsid w:val="003F4099"/>
    <w:rsid w:val="003F4297"/>
    <w:rsid w:val="003F438E"/>
    <w:rsid w:val="003F4447"/>
    <w:rsid w:val="003F44C6"/>
    <w:rsid w:val="003F453E"/>
    <w:rsid w:val="003F46EF"/>
    <w:rsid w:val="003F4D16"/>
    <w:rsid w:val="003F4DC5"/>
    <w:rsid w:val="003F4EB1"/>
    <w:rsid w:val="003F50C7"/>
    <w:rsid w:val="003F523F"/>
    <w:rsid w:val="003F5405"/>
    <w:rsid w:val="003F56E1"/>
    <w:rsid w:val="003F592F"/>
    <w:rsid w:val="003F599B"/>
    <w:rsid w:val="003F5AB1"/>
    <w:rsid w:val="003F5B44"/>
    <w:rsid w:val="003F5DF1"/>
    <w:rsid w:val="003F5DF8"/>
    <w:rsid w:val="003F62A0"/>
    <w:rsid w:val="003F6B29"/>
    <w:rsid w:val="003F710A"/>
    <w:rsid w:val="003F7414"/>
    <w:rsid w:val="003F7B70"/>
    <w:rsid w:val="003F7DFA"/>
    <w:rsid w:val="003F7FE6"/>
    <w:rsid w:val="004003B6"/>
    <w:rsid w:val="004006CC"/>
    <w:rsid w:val="00400895"/>
    <w:rsid w:val="004008D8"/>
    <w:rsid w:val="00400B7F"/>
    <w:rsid w:val="00400F85"/>
    <w:rsid w:val="00400FFB"/>
    <w:rsid w:val="00401065"/>
    <w:rsid w:val="00401176"/>
    <w:rsid w:val="004011B3"/>
    <w:rsid w:val="00401311"/>
    <w:rsid w:val="0040133D"/>
    <w:rsid w:val="00401657"/>
    <w:rsid w:val="004016D2"/>
    <w:rsid w:val="00401704"/>
    <w:rsid w:val="004018DA"/>
    <w:rsid w:val="0040190E"/>
    <w:rsid w:val="00401B37"/>
    <w:rsid w:val="00401CCB"/>
    <w:rsid w:val="00402244"/>
    <w:rsid w:val="004023B1"/>
    <w:rsid w:val="004023BD"/>
    <w:rsid w:val="004023F8"/>
    <w:rsid w:val="0040256A"/>
    <w:rsid w:val="0040271F"/>
    <w:rsid w:val="00402730"/>
    <w:rsid w:val="004027AE"/>
    <w:rsid w:val="00402FE2"/>
    <w:rsid w:val="00403073"/>
    <w:rsid w:val="004030F1"/>
    <w:rsid w:val="0040357E"/>
    <w:rsid w:val="0040362D"/>
    <w:rsid w:val="004036B3"/>
    <w:rsid w:val="00403770"/>
    <w:rsid w:val="00403C4A"/>
    <w:rsid w:val="00403CBF"/>
    <w:rsid w:val="00404199"/>
    <w:rsid w:val="0040456F"/>
    <w:rsid w:val="00404932"/>
    <w:rsid w:val="00404ABE"/>
    <w:rsid w:val="00404D56"/>
    <w:rsid w:val="0040505E"/>
    <w:rsid w:val="004050BC"/>
    <w:rsid w:val="00405134"/>
    <w:rsid w:val="004052FB"/>
    <w:rsid w:val="0040536E"/>
    <w:rsid w:val="00405379"/>
    <w:rsid w:val="0040554B"/>
    <w:rsid w:val="0040558D"/>
    <w:rsid w:val="004057D2"/>
    <w:rsid w:val="004059E4"/>
    <w:rsid w:val="00405C09"/>
    <w:rsid w:val="00405CBC"/>
    <w:rsid w:val="00405FE3"/>
    <w:rsid w:val="004064BE"/>
    <w:rsid w:val="00406A5B"/>
    <w:rsid w:val="00406A6C"/>
    <w:rsid w:val="00406C2A"/>
    <w:rsid w:val="004070A4"/>
    <w:rsid w:val="004071B1"/>
    <w:rsid w:val="004072C5"/>
    <w:rsid w:val="0040745C"/>
    <w:rsid w:val="0040750D"/>
    <w:rsid w:val="004076B8"/>
    <w:rsid w:val="004077B6"/>
    <w:rsid w:val="0040785B"/>
    <w:rsid w:val="00407892"/>
    <w:rsid w:val="00407C98"/>
    <w:rsid w:val="00407D17"/>
    <w:rsid w:val="00407D70"/>
    <w:rsid w:val="00407DA7"/>
    <w:rsid w:val="00407E44"/>
    <w:rsid w:val="00407EE7"/>
    <w:rsid w:val="00407F9F"/>
    <w:rsid w:val="004100C6"/>
    <w:rsid w:val="004104BC"/>
    <w:rsid w:val="004109AC"/>
    <w:rsid w:val="00410D46"/>
    <w:rsid w:val="00410D90"/>
    <w:rsid w:val="00410F24"/>
    <w:rsid w:val="00410F43"/>
    <w:rsid w:val="004112AF"/>
    <w:rsid w:val="00411328"/>
    <w:rsid w:val="00411410"/>
    <w:rsid w:val="004115A2"/>
    <w:rsid w:val="00411F86"/>
    <w:rsid w:val="00412201"/>
    <w:rsid w:val="00412280"/>
    <w:rsid w:val="0041230D"/>
    <w:rsid w:val="00412585"/>
    <w:rsid w:val="0041278F"/>
    <w:rsid w:val="00412844"/>
    <w:rsid w:val="004128CE"/>
    <w:rsid w:val="00412A71"/>
    <w:rsid w:val="00412AB9"/>
    <w:rsid w:val="00412D86"/>
    <w:rsid w:val="00412FD3"/>
    <w:rsid w:val="004130F3"/>
    <w:rsid w:val="00413336"/>
    <w:rsid w:val="00413351"/>
    <w:rsid w:val="00413368"/>
    <w:rsid w:val="004139AA"/>
    <w:rsid w:val="00413BF9"/>
    <w:rsid w:val="00413D75"/>
    <w:rsid w:val="00413D8E"/>
    <w:rsid w:val="00413F55"/>
    <w:rsid w:val="00414742"/>
    <w:rsid w:val="00414785"/>
    <w:rsid w:val="00414839"/>
    <w:rsid w:val="00414851"/>
    <w:rsid w:val="00414CF3"/>
    <w:rsid w:val="00414D10"/>
    <w:rsid w:val="004151C0"/>
    <w:rsid w:val="00415334"/>
    <w:rsid w:val="004153A1"/>
    <w:rsid w:val="004155D3"/>
    <w:rsid w:val="00415CC4"/>
    <w:rsid w:val="00415EB2"/>
    <w:rsid w:val="00415F54"/>
    <w:rsid w:val="00415F9A"/>
    <w:rsid w:val="0041622A"/>
    <w:rsid w:val="004162CD"/>
    <w:rsid w:val="00416513"/>
    <w:rsid w:val="00416580"/>
    <w:rsid w:val="004165F1"/>
    <w:rsid w:val="00416821"/>
    <w:rsid w:val="0041686E"/>
    <w:rsid w:val="00416897"/>
    <w:rsid w:val="004168CF"/>
    <w:rsid w:val="00416EF8"/>
    <w:rsid w:val="00417120"/>
    <w:rsid w:val="0041724F"/>
    <w:rsid w:val="004173AA"/>
    <w:rsid w:val="004177FD"/>
    <w:rsid w:val="004179A0"/>
    <w:rsid w:val="00417AA5"/>
    <w:rsid w:val="00417ABA"/>
    <w:rsid w:val="00417BF6"/>
    <w:rsid w:val="00417DBB"/>
    <w:rsid w:val="00417F1D"/>
    <w:rsid w:val="004200B2"/>
    <w:rsid w:val="00420A64"/>
    <w:rsid w:val="00420CB6"/>
    <w:rsid w:val="00421475"/>
    <w:rsid w:val="00421589"/>
    <w:rsid w:val="0042167A"/>
    <w:rsid w:val="0042170D"/>
    <w:rsid w:val="004219EC"/>
    <w:rsid w:val="00421A4F"/>
    <w:rsid w:val="00421B73"/>
    <w:rsid w:val="00421B7B"/>
    <w:rsid w:val="00421CA8"/>
    <w:rsid w:val="00421E8E"/>
    <w:rsid w:val="004220A3"/>
    <w:rsid w:val="00422233"/>
    <w:rsid w:val="00422345"/>
    <w:rsid w:val="004226CB"/>
    <w:rsid w:val="004228AF"/>
    <w:rsid w:val="00422AEF"/>
    <w:rsid w:val="00422CAA"/>
    <w:rsid w:val="00422CD1"/>
    <w:rsid w:val="00422D35"/>
    <w:rsid w:val="00422DE1"/>
    <w:rsid w:val="0042307D"/>
    <w:rsid w:val="00423115"/>
    <w:rsid w:val="00423166"/>
    <w:rsid w:val="004233BC"/>
    <w:rsid w:val="00423556"/>
    <w:rsid w:val="004235CD"/>
    <w:rsid w:val="0042365E"/>
    <w:rsid w:val="0042378C"/>
    <w:rsid w:val="00423827"/>
    <w:rsid w:val="004238B1"/>
    <w:rsid w:val="00423BCC"/>
    <w:rsid w:val="00423C1E"/>
    <w:rsid w:val="00423F52"/>
    <w:rsid w:val="004240F3"/>
    <w:rsid w:val="00424142"/>
    <w:rsid w:val="0042422C"/>
    <w:rsid w:val="00424768"/>
    <w:rsid w:val="00424795"/>
    <w:rsid w:val="004247C9"/>
    <w:rsid w:val="00424817"/>
    <w:rsid w:val="004252B3"/>
    <w:rsid w:val="00425339"/>
    <w:rsid w:val="0042555E"/>
    <w:rsid w:val="0042557F"/>
    <w:rsid w:val="00425767"/>
    <w:rsid w:val="004257EE"/>
    <w:rsid w:val="00425957"/>
    <w:rsid w:val="00425968"/>
    <w:rsid w:val="00425B18"/>
    <w:rsid w:val="00425C71"/>
    <w:rsid w:val="00425CFA"/>
    <w:rsid w:val="00425DB0"/>
    <w:rsid w:val="00425EA7"/>
    <w:rsid w:val="00425F07"/>
    <w:rsid w:val="0042614D"/>
    <w:rsid w:val="00426212"/>
    <w:rsid w:val="004263EC"/>
    <w:rsid w:val="00426C2E"/>
    <w:rsid w:val="004271A1"/>
    <w:rsid w:val="0042740A"/>
    <w:rsid w:val="0042782A"/>
    <w:rsid w:val="0042786D"/>
    <w:rsid w:val="00427A61"/>
    <w:rsid w:val="00427A82"/>
    <w:rsid w:val="00427BFE"/>
    <w:rsid w:val="00427CA6"/>
    <w:rsid w:val="00427CC9"/>
    <w:rsid w:val="00427D87"/>
    <w:rsid w:val="00427FB6"/>
    <w:rsid w:val="00430111"/>
    <w:rsid w:val="00430662"/>
    <w:rsid w:val="004309D9"/>
    <w:rsid w:val="00430BC9"/>
    <w:rsid w:val="00430E30"/>
    <w:rsid w:val="00430EB9"/>
    <w:rsid w:val="00430FDC"/>
    <w:rsid w:val="00431240"/>
    <w:rsid w:val="004313F6"/>
    <w:rsid w:val="004315E4"/>
    <w:rsid w:val="0043162F"/>
    <w:rsid w:val="00431668"/>
    <w:rsid w:val="00431918"/>
    <w:rsid w:val="00431BF1"/>
    <w:rsid w:val="00431DBD"/>
    <w:rsid w:val="00431E14"/>
    <w:rsid w:val="00431E77"/>
    <w:rsid w:val="00431F69"/>
    <w:rsid w:val="004326E5"/>
    <w:rsid w:val="0043294F"/>
    <w:rsid w:val="00432A36"/>
    <w:rsid w:val="00432D12"/>
    <w:rsid w:val="00432ECE"/>
    <w:rsid w:val="004330A8"/>
    <w:rsid w:val="00433269"/>
    <w:rsid w:val="0043328A"/>
    <w:rsid w:val="004333A3"/>
    <w:rsid w:val="00433633"/>
    <w:rsid w:val="00433724"/>
    <w:rsid w:val="0043377E"/>
    <w:rsid w:val="00433AE7"/>
    <w:rsid w:val="00433CA7"/>
    <w:rsid w:val="00433D2A"/>
    <w:rsid w:val="00433D74"/>
    <w:rsid w:val="00433F5B"/>
    <w:rsid w:val="00434275"/>
    <w:rsid w:val="004342FE"/>
    <w:rsid w:val="00434364"/>
    <w:rsid w:val="0043453E"/>
    <w:rsid w:val="004349A9"/>
    <w:rsid w:val="004349B9"/>
    <w:rsid w:val="00434AA9"/>
    <w:rsid w:val="00434D0A"/>
    <w:rsid w:val="004350D7"/>
    <w:rsid w:val="00435222"/>
    <w:rsid w:val="00435262"/>
    <w:rsid w:val="00435404"/>
    <w:rsid w:val="00435503"/>
    <w:rsid w:val="0043574D"/>
    <w:rsid w:val="004357A2"/>
    <w:rsid w:val="004358A1"/>
    <w:rsid w:val="00435A18"/>
    <w:rsid w:val="00435A93"/>
    <w:rsid w:val="00435D1A"/>
    <w:rsid w:val="00435EC3"/>
    <w:rsid w:val="00435EF6"/>
    <w:rsid w:val="004361F1"/>
    <w:rsid w:val="00436326"/>
    <w:rsid w:val="004363AC"/>
    <w:rsid w:val="00436797"/>
    <w:rsid w:val="00436930"/>
    <w:rsid w:val="00436977"/>
    <w:rsid w:val="00436A32"/>
    <w:rsid w:val="00436B5C"/>
    <w:rsid w:val="00436EFE"/>
    <w:rsid w:val="0043706B"/>
    <w:rsid w:val="00437309"/>
    <w:rsid w:val="0043739D"/>
    <w:rsid w:val="004378F0"/>
    <w:rsid w:val="00437912"/>
    <w:rsid w:val="004379A0"/>
    <w:rsid w:val="00437C76"/>
    <w:rsid w:val="00440028"/>
    <w:rsid w:val="004400A9"/>
    <w:rsid w:val="004402B0"/>
    <w:rsid w:val="00440749"/>
    <w:rsid w:val="00440969"/>
    <w:rsid w:val="00440A25"/>
    <w:rsid w:val="00440B27"/>
    <w:rsid w:val="00440C7F"/>
    <w:rsid w:val="00440DC7"/>
    <w:rsid w:val="00440F17"/>
    <w:rsid w:val="00440FCA"/>
    <w:rsid w:val="00441132"/>
    <w:rsid w:val="004412F7"/>
    <w:rsid w:val="00441586"/>
    <w:rsid w:val="004418CB"/>
    <w:rsid w:val="00441DDB"/>
    <w:rsid w:val="00441E44"/>
    <w:rsid w:val="00441F6C"/>
    <w:rsid w:val="00441F6F"/>
    <w:rsid w:val="0044217A"/>
    <w:rsid w:val="00442330"/>
    <w:rsid w:val="00442755"/>
    <w:rsid w:val="00442997"/>
    <w:rsid w:val="00442A0A"/>
    <w:rsid w:val="0044329F"/>
    <w:rsid w:val="00443519"/>
    <w:rsid w:val="00443529"/>
    <w:rsid w:val="00443733"/>
    <w:rsid w:val="00443805"/>
    <w:rsid w:val="0044399C"/>
    <w:rsid w:val="00443A13"/>
    <w:rsid w:val="0044402E"/>
    <w:rsid w:val="00444206"/>
    <w:rsid w:val="004444E2"/>
    <w:rsid w:val="0044453F"/>
    <w:rsid w:val="004445E2"/>
    <w:rsid w:val="00444654"/>
    <w:rsid w:val="00444739"/>
    <w:rsid w:val="00444AF6"/>
    <w:rsid w:val="00444BAB"/>
    <w:rsid w:val="00444F49"/>
    <w:rsid w:val="00444FCC"/>
    <w:rsid w:val="00445288"/>
    <w:rsid w:val="0044531D"/>
    <w:rsid w:val="0044536F"/>
    <w:rsid w:val="00445412"/>
    <w:rsid w:val="00445A9D"/>
    <w:rsid w:val="00445B38"/>
    <w:rsid w:val="00445D48"/>
    <w:rsid w:val="00445D93"/>
    <w:rsid w:val="00446083"/>
    <w:rsid w:val="0044648A"/>
    <w:rsid w:val="004464E6"/>
    <w:rsid w:val="00446633"/>
    <w:rsid w:val="004466D3"/>
    <w:rsid w:val="00446A27"/>
    <w:rsid w:val="00446A6D"/>
    <w:rsid w:val="00446BEF"/>
    <w:rsid w:val="00446CB1"/>
    <w:rsid w:val="00446E45"/>
    <w:rsid w:val="0044753C"/>
    <w:rsid w:val="00447724"/>
    <w:rsid w:val="00447757"/>
    <w:rsid w:val="00447797"/>
    <w:rsid w:val="00447819"/>
    <w:rsid w:val="00447AB1"/>
    <w:rsid w:val="00447ED5"/>
    <w:rsid w:val="00450237"/>
    <w:rsid w:val="004502B6"/>
    <w:rsid w:val="00450397"/>
    <w:rsid w:val="004503CE"/>
    <w:rsid w:val="00450659"/>
    <w:rsid w:val="00450B15"/>
    <w:rsid w:val="00450B35"/>
    <w:rsid w:val="00450CC5"/>
    <w:rsid w:val="00450D5B"/>
    <w:rsid w:val="00450DEE"/>
    <w:rsid w:val="0045126E"/>
    <w:rsid w:val="004512C3"/>
    <w:rsid w:val="004512EF"/>
    <w:rsid w:val="0045158D"/>
    <w:rsid w:val="0045188A"/>
    <w:rsid w:val="00451A10"/>
    <w:rsid w:val="00451B01"/>
    <w:rsid w:val="00451D88"/>
    <w:rsid w:val="004520D4"/>
    <w:rsid w:val="004520EC"/>
    <w:rsid w:val="00452143"/>
    <w:rsid w:val="00452A80"/>
    <w:rsid w:val="00452D8B"/>
    <w:rsid w:val="00452F1A"/>
    <w:rsid w:val="00452FB6"/>
    <w:rsid w:val="00453272"/>
    <w:rsid w:val="00453391"/>
    <w:rsid w:val="00453472"/>
    <w:rsid w:val="004536AA"/>
    <w:rsid w:val="00453966"/>
    <w:rsid w:val="00453A2B"/>
    <w:rsid w:val="00453C5B"/>
    <w:rsid w:val="00453C6C"/>
    <w:rsid w:val="00453CE9"/>
    <w:rsid w:val="00453D15"/>
    <w:rsid w:val="00453FA9"/>
    <w:rsid w:val="00453FEE"/>
    <w:rsid w:val="00454122"/>
    <w:rsid w:val="00454137"/>
    <w:rsid w:val="00454165"/>
    <w:rsid w:val="00454210"/>
    <w:rsid w:val="004542B1"/>
    <w:rsid w:val="0045448E"/>
    <w:rsid w:val="00454650"/>
    <w:rsid w:val="004546F9"/>
    <w:rsid w:val="004547B5"/>
    <w:rsid w:val="00454A33"/>
    <w:rsid w:val="00454AD4"/>
    <w:rsid w:val="00454BD9"/>
    <w:rsid w:val="004551F6"/>
    <w:rsid w:val="0045541B"/>
    <w:rsid w:val="004556D1"/>
    <w:rsid w:val="004558F9"/>
    <w:rsid w:val="00455A1C"/>
    <w:rsid w:val="00455AD4"/>
    <w:rsid w:val="00455D6E"/>
    <w:rsid w:val="0045604D"/>
    <w:rsid w:val="00456060"/>
    <w:rsid w:val="004560A9"/>
    <w:rsid w:val="00456107"/>
    <w:rsid w:val="004561B6"/>
    <w:rsid w:val="004563B0"/>
    <w:rsid w:val="00456788"/>
    <w:rsid w:val="00456793"/>
    <w:rsid w:val="00456A11"/>
    <w:rsid w:val="00456AD4"/>
    <w:rsid w:val="00456D39"/>
    <w:rsid w:val="00456E11"/>
    <w:rsid w:val="00456FCA"/>
    <w:rsid w:val="00457080"/>
    <w:rsid w:val="00457173"/>
    <w:rsid w:val="00457298"/>
    <w:rsid w:val="004573F9"/>
    <w:rsid w:val="0045745C"/>
    <w:rsid w:val="00460196"/>
    <w:rsid w:val="0046025C"/>
    <w:rsid w:val="00460420"/>
    <w:rsid w:val="00460679"/>
    <w:rsid w:val="0046071F"/>
    <w:rsid w:val="00460797"/>
    <w:rsid w:val="004608E7"/>
    <w:rsid w:val="00460CD6"/>
    <w:rsid w:val="00460D18"/>
    <w:rsid w:val="00460EE7"/>
    <w:rsid w:val="004610B5"/>
    <w:rsid w:val="004615AF"/>
    <w:rsid w:val="0046168A"/>
    <w:rsid w:val="004617E6"/>
    <w:rsid w:val="004618B6"/>
    <w:rsid w:val="00461BE2"/>
    <w:rsid w:val="00461C26"/>
    <w:rsid w:val="004620DB"/>
    <w:rsid w:val="004621C9"/>
    <w:rsid w:val="00462252"/>
    <w:rsid w:val="004624C0"/>
    <w:rsid w:val="00462504"/>
    <w:rsid w:val="00462702"/>
    <w:rsid w:val="004627C6"/>
    <w:rsid w:val="00462B14"/>
    <w:rsid w:val="00462BAC"/>
    <w:rsid w:val="00462C5F"/>
    <w:rsid w:val="004631B4"/>
    <w:rsid w:val="00463652"/>
    <w:rsid w:val="004639BC"/>
    <w:rsid w:val="00463CCB"/>
    <w:rsid w:val="00463D32"/>
    <w:rsid w:val="00463E23"/>
    <w:rsid w:val="00463E9A"/>
    <w:rsid w:val="00464001"/>
    <w:rsid w:val="00464050"/>
    <w:rsid w:val="004642BB"/>
    <w:rsid w:val="004644A5"/>
    <w:rsid w:val="004644BB"/>
    <w:rsid w:val="0046478D"/>
    <w:rsid w:val="004648E3"/>
    <w:rsid w:val="00464931"/>
    <w:rsid w:val="0046496C"/>
    <w:rsid w:val="00464BBE"/>
    <w:rsid w:val="00464E7E"/>
    <w:rsid w:val="0046525C"/>
    <w:rsid w:val="00465321"/>
    <w:rsid w:val="00465475"/>
    <w:rsid w:val="00465485"/>
    <w:rsid w:val="0046548D"/>
    <w:rsid w:val="00465918"/>
    <w:rsid w:val="00465961"/>
    <w:rsid w:val="00466192"/>
    <w:rsid w:val="0046638E"/>
    <w:rsid w:val="004669E9"/>
    <w:rsid w:val="00466A54"/>
    <w:rsid w:val="00466C88"/>
    <w:rsid w:val="00466CC1"/>
    <w:rsid w:val="00466E57"/>
    <w:rsid w:val="00467685"/>
    <w:rsid w:val="0046770C"/>
    <w:rsid w:val="0046776D"/>
    <w:rsid w:val="00470A81"/>
    <w:rsid w:val="00470C7D"/>
    <w:rsid w:val="00470CF3"/>
    <w:rsid w:val="00470E89"/>
    <w:rsid w:val="00470F1D"/>
    <w:rsid w:val="0047118B"/>
    <w:rsid w:val="004711BD"/>
    <w:rsid w:val="004717F5"/>
    <w:rsid w:val="004718F4"/>
    <w:rsid w:val="00471B1C"/>
    <w:rsid w:val="00471EF3"/>
    <w:rsid w:val="00471F50"/>
    <w:rsid w:val="00472169"/>
    <w:rsid w:val="00472318"/>
    <w:rsid w:val="004725D4"/>
    <w:rsid w:val="0047268D"/>
    <w:rsid w:val="00472C16"/>
    <w:rsid w:val="00472CCB"/>
    <w:rsid w:val="00472CCE"/>
    <w:rsid w:val="004732D8"/>
    <w:rsid w:val="004740BA"/>
    <w:rsid w:val="004741DC"/>
    <w:rsid w:val="004743E4"/>
    <w:rsid w:val="0047454E"/>
    <w:rsid w:val="0047462F"/>
    <w:rsid w:val="004746FF"/>
    <w:rsid w:val="004747C5"/>
    <w:rsid w:val="0047497C"/>
    <w:rsid w:val="00474DA4"/>
    <w:rsid w:val="004750B7"/>
    <w:rsid w:val="00475284"/>
    <w:rsid w:val="00475589"/>
    <w:rsid w:val="0047560E"/>
    <w:rsid w:val="00475685"/>
    <w:rsid w:val="004756A6"/>
    <w:rsid w:val="0047584C"/>
    <w:rsid w:val="00475953"/>
    <w:rsid w:val="00475B75"/>
    <w:rsid w:val="00475BCE"/>
    <w:rsid w:val="00475BDD"/>
    <w:rsid w:val="00475C38"/>
    <w:rsid w:val="004760FA"/>
    <w:rsid w:val="00476161"/>
    <w:rsid w:val="0047623E"/>
    <w:rsid w:val="0047626C"/>
    <w:rsid w:val="004762F0"/>
    <w:rsid w:val="00476305"/>
    <w:rsid w:val="004763AE"/>
    <w:rsid w:val="00476445"/>
    <w:rsid w:val="004764A9"/>
    <w:rsid w:val="0047674D"/>
    <w:rsid w:val="00476A81"/>
    <w:rsid w:val="00476D70"/>
    <w:rsid w:val="0047704A"/>
    <w:rsid w:val="004776A0"/>
    <w:rsid w:val="00477756"/>
    <w:rsid w:val="00477952"/>
    <w:rsid w:val="004779C7"/>
    <w:rsid w:val="00477BCE"/>
    <w:rsid w:val="00477C85"/>
    <w:rsid w:val="00477D34"/>
    <w:rsid w:val="00477F74"/>
    <w:rsid w:val="00480200"/>
    <w:rsid w:val="00480A2A"/>
    <w:rsid w:val="00480A4A"/>
    <w:rsid w:val="00480ACB"/>
    <w:rsid w:val="00480EB7"/>
    <w:rsid w:val="00480F3B"/>
    <w:rsid w:val="004810C6"/>
    <w:rsid w:val="004811BC"/>
    <w:rsid w:val="00481237"/>
    <w:rsid w:val="004815DB"/>
    <w:rsid w:val="00481629"/>
    <w:rsid w:val="00481677"/>
    <w:rsid w:val="00481F46"/>
    <w:rsid w:val="004823F9"/>
    <w:rsid w:val="00482592"/>
    <w:rsid w:val="004825E4"/>
    <w:rsid w:val="0048260D"/>
    <w:rsid w:val="00482775"/>
    <w:rsid w:val="0048283A"/>
    <w:rsid w:val="00482AAC"/>
    <w:rsid w:val="00482B63"/>
    <w:rsid w:val="00482C24"/>
    <w:rsid w:val="00482F5F"/>
    <w:rsid w:val="00483026"/>
    <w:rsid w:val="004830DB"/>
    <w:rsid w:val="004834D7"/>
    <w:rsid w:val="00483619"/>
    <w:rsid w:val="00483690"/>
    <w:rsid w:val="00483745"/>
    <w:rsid w:val="00483747"/>
    <w:rsid w:val="004837F8"/>
    <w:rsid w:val="0048390E"/>
    <w:rsid w:val="00483A03"/>
    <w:rsid w:val="00483F24"/>
    <w:rsid w:val="004844EE"/>
    <w:rsid w:val="004844FB"/>
    <w:rsid w:val="00484698"/>
    <w:rsid w:val="004846A4"/>
    <w:rsid w:val="004848FC"/>
    <w:rsid w:val="00484A8A"/>
    <w:rsid w:val="00484AE4"/>
    <w:rsid w:val="00484F6C"/>
    <w:rsid w:val="00485591"/>
    <w:rsid w:val="00485619"/>
    <w:rsid w:val="004856DD"/>
    <w:rsid w:val="004856E7"/>
    <w:rsid w:val="00485B70"/>
    <w:rsid w:val="00485DB9"/>
    <w:rsid w:val="00486139"/>
    <w:rsid w:val="00486151"/>
    <w:rsid w:val="00486414"/>
    <w:rsid w:val="00486447"/>
    <w:rsid w:val="004866E9"/>
    <w:rsid w:val="00486787"/>
    <w:rsid w:val="004867AD"/>
    <w:rsid w:val="00486A1D"/>
    <w:rsid w:val="00486AA5"/>
    <w:rsid w:val="00486C7A"/>
    <w:rsid w:val="00486E08"/>
    <w:rsid w:val="00486E64"/>
    <w:rsid w:val="00487262"/>
    <w:rsid w:val="0048749F"/>
    <w:rsid w:val="0048751A"/>
    <w:rsid w:val="00487653"/>
    <w:rsid w:val="0048792D"/>
    <w:rsid w:val="00487961"/>
    <w:rsid w:val="00487A44"/>
    <w:rsid w:val="00487AE1"/>
    <w:rsid w:val="00487B37"/>
    <w:rsid w:val="00487D5C"/>
    <w:rsid w:val="00487D8A"/>
    <w:rsid w:val="00487EA9"/>
    <w:rsid w:val="00487F0A"/>
    <w:rsid w:val="00490789"/>
    <w:rsid w:val="00490942"/>
    <w:rsid w:val="004909EC"/>
    <w:rsid w:val="00490C17"/>
    <w:rsid w:val="00490C3A"/>
    <w:rsid w:val="00490C51"/>
    <w:rsid w:val="00490DF7"/>
    <w:rsid w:val="00490E97"/>
    <w:rsid w:val="004910C0"/>
    <w:rsid w:val="00491123"/>
    <w:rsid w:val="004912A3"/>
    <w:rsid w:val="0049143B"/>
    <w:rsid w:val="004917F1"/>
    <w:rsid w:val="00491A5D"/>
    <w:rsid w:val="00491AA6"/>
    <w:rsid w:val="00491BF8"/>
    <w:rsid w:val="00491FD9"/>
    <w:rsid w:val="00492022"/>
    <w:rsid w:val="00492034"/>
    <w:rsid w:val="0049222F"/>
    <w:rsid w:val="004929F5"/>
    <w:rsid w:val="00492B2E"/>
    <w:rsid w:val="0049321F"/>
    <w:rsid w:val="0049347B"/>
    <w:rsid w:val="004935AA"/>
    <w:rsid w:val="00493694"/>
    <w:rsid w:val="004939CF"/>
    <w:rsid w:val="00493A67"/>
    <w:rsid w:val="00493B3B"/>
    <w:rsid w:val="00493E4C"/>
    <w:rsid w:val="00493E95"/>
    <w:rsid w:val="00493F80"/>
    <w:rsid w:val="004940A0"/>
    <w:rsid w:val="00494179"/>
    <w:rsid w:val="004941CE"/>
    <w:rsid w:val="004945F6"/>
    <w:rsid w:val="00494E58"/>
    <w:rsid w:val="00494E8A"/>
    <w:rsid w:val="004952C5"/>
    <w:rsid w:val="00495334"/>
    <w:rsid w:val="0049573C"/>
    <w:rsid w:val="004957B8"/>
    <w:rsid w:val="0049592F"/>
    <w:rsid w:val="00495999"/>
    <w:rsid w:val="00495C64"/>
    <w:rsid w:val="00495D93"/>
    <w:rsid w:val="00495E0F"/>
    <w:rsid w:val="00495F14"/>
    <w:rsid w:val="00496027"/>
    <w:rsid w:val="00496252"/>
    <w:rsid w:val="00496312"/>
    <w:rsid w:val="0049644E"/>
    <w:rsid w:val="00496644"/>
    <w:rsid w:val="004966A5"/>
    <w:rsid w:val="004968EC"/>
    <w:rsid w:val="00496C58"/>
    <w:rsid w:val="00496C96"/>
    <w:rsid w:val="00497475"/>
    <w:rsid w:val="004975C9"/>
    <w:rsid w:val="00497750"/>
    <w:rsid w:val="004977EA"/>
    <w:rsid w:val="00497837"/>
    <w:rsid w:val="00497EA7"/>
    <w:rsid w:val="004A0050"/>
    <w:rsid w:val="004A039B"/>
    <w:rsid w:val="004A047E"/>
    <w:rsid w:val="004A04E8"/>
    <w:rsid w:val="004A0594"/>
    <w:rsid w:val="004A05F9"/>
    <w:rsid w:val="004A06D4"/>
    <w:rsid w:val="004A073B"/>
    <w:rsid w:val="004A073E"/>
    <w:rsid w:val="004A0748"/>
    <w:rsid w:val="004A0751"/>
    <w:rsid w:val="004A0766"/>
    <w:rsid w:val="004A09D0"/>
    <w:rsid w:val="004A0A4C"/>
    <w:rsid w:val="004A0A5E"/>
    <w:rsid w:val="004A0AA6"/>
    <w:rsid w:val="004A0C9D"/>
    <w:rsid w:val="004A0CCC"/>
    <w:rsid w:val="004A0E7E"/>
    <w:rsid w:val="004A0E97"/>
    <w:rsid w:val="004A0F19"/>
    <w:rsid w:val="004A102E"/>
    <w:rsid w:val="004A10A9"/>
    <w:rsid w:val="004A11BB"/>
    <w:rsid w:val="004A13C9"/>
    <w:rsid w:val="004A1493"/>
    <w:rsid w:val="004A171D"/>
    <w:rsid w:val="004A1795"/>
    <w:rsid w:val="004A17E4"/>
    <w:rsid w:val="004A1920"/>
    <w:rsid w:val="004A1BE9"/>
    <w:rsid w:val="004A1CDE"/>
    <w:rsid w:val="004A27F6"/>
    <w:rsid w:val="004A2A3B"/>
    <w:rsid w:val="004A2A96"/>
    <w:rsid w:val="004A2D28"/>
    <w:rsid w:val="004A2DC2"/>
    <w:rsid w:val="004A2DCB"/>
    <w:rsid w:val="004A31A9"/>
    <w:rsid w:val="004A3294"/>
    <w:rsid w:val="004A32AB"/>
    <w:rsid w:val="004A32BA"/>
    <w:rsid w:val="004A333E"/>
    <w:rsid w:val="004A3530"/>
    <w:rsid w:val="004A389F"/>
    <w:rsid w:val="004A39AB"/>
    <w:rsid w:val="004A3D7B"/>
    <w:rsid w:val="004A3E73"/>
    <w:rsid w:val="004A3EB7"/>
    <w:rsid w:val="004A3FE9"/>
    <w:rsid w:val="004A4044"/>
    <w:rsid w:val="004A42BF"/>
    <w:rsid w:val="004A4338"/>
    <w:rsid w:val="004A467C"/>
    <w:rsid w:val="004A4734"/>
    <w:rsid w:val="004A480B"/>
    <w:rsid w:val="004A4834"/>
    <w:rsid w:val="004A4950"/>
    <w:rsid w:val="004A566D"/>
    <w:rsid w:val="004A5A39"/>
    <w:rsid w:val="004A5C31"/>
    <w:rsid w:val="004A5F8F"/>
    <w:rsid w:val="004A6349"/>
    <w:rsid w:val="004A6416"/>
    <w:rsid w:val="004A665B"/>
    <w:rsid w:val="004A66A8"/>
    <w:rsid w:val="004A67C3"/>
    <w:rsid w:val="004A688B"/>
    <w:rsid w:val="004A6BC4"/>
    <w:rsid w:val="004A6C51"/>
    <w:rsid w:val="004A6CC5"/>
    <w:rsid w:val="004A6EDA"/>
    <w:rsid w:val="004A6F4B"/>
    <w:rsid w:val="004A7035"/>
    <w:rsid w:val="004A7105"/>
    <w:rsid w:val="004A7217"/>
    <w:rsid w:val="004A74C4"/>
    <w:rsid w:val="004A7543"/>
    <w:rsid w:val="004A7575"/>
    <w:rsid w:val="004A7A5C"/>
    <w:rsid w:val="004A7E1D"/>
    <w:rsid w:val="004B0230"/>
    <w:rsid w:val="004B027E"/>
    <w:rsid w:val="004B033E"/>
    <w:rsid w:val="004B03DB"/>
    <w:rsid w:val="004B0448"/>
    <w:rsid w:val="004B055B"/>
    <w:rsid w:val="004B06A9"/>
    <w:rsid w:val="004B0705"/>
    <w:rsid w:val="004B09F2"/>
    <w:rsid w:val="004B0CA8"/>
    <w:rsid w:val="004B0CBF"/>
    <w:rsid w:val="004B140A"/>
    <w:rsid w:val="004B1864"/>
    <w:rsid w:val="004B19B6"/>
    <w:rsid w:val="004B1A2D"/>
    <w:rsid w:val="004B20B9"/>
    <w:rsid w:val="004B2353"/>
    <w:rsid w:val="004B2425"/>
    <w:rsid w:val="004B257D"/>
    <w:rsid w:val="004B2710"/>
    <w:rsid w:val="004B288D"/>
    <w:rsid w:val="004B28B9"/>
    <w:rsid w:val="004B2AD4"/>
    <w:rsid w:val="004B2CB1"/>
    <w:rsid w:val="004B2CB5"/>
    <w:rsid w:val="004B34CC"/>
    <w:rsid w:val="004B358D"/>
    <w:rsid w:val="004B36E0"/>
    <w:rsid w:val="004B3E2E"/>
    <w:rsid w:val="004B3F41"/>
    <w:rsid w:val="004B3F4F"/>
    <w:rsid w:val="004B4160"/>
    <w:rsid w:val="004B4507"/>
    <w:rsid w:val="004B4792"/>
    <w:rsid w:val="004B47C2"/>
    <w:rsid w:val="004B47D9"/>
    <w:rsid w:val="004B48C5"/>
    <w:rsid w:val="004B4A1D"/>
    <w:rsid w:val="004B4C70"/>
    <w:rsid w:val="004B50D6"/>
    <w:rsid w:val="004B51B1"/>
    <w:rsid w:val="004B53EA"/>
    <w:rsid w:val="004B5418"/>
    <w:rsid w:val="004B5A7E"/>
    <w:rsid w:val="004B5D07"/>
    <w:rsid w:val="004B5F67"/>
    <w:rsid w:val="004B5FEF"/>
    <w:rsid w:val="004B6120"/>
    <w:rsid w:val="004B6582"/>
    <w:rsid w:val="004B66CE"/>
    <w:rsid w:val="004B6BF0"/>
    <w:rsid w:val="004B6D11"/>
    <w:rsid w:val="004B73D5"/>
    <w:rsid w:val="004B7435"/>
    <w:rsid w:val="004B7671"/>
    <w:rsid w:val="004B76FE"/>
    <w:rsid w:val="004B799B"/>
    <w:rsid w:val="004B7A8D"/>
    <w:rsid w:val="004B7AC8"/>
    <w:rsid w:val="004B7BCC"/>
    <w:rsid w:val="004B7C77"/>
    <w:rsid w:val="004B7E6D"/>
    <w:rsid w:val="004C013B"/>
    <w:rsid w:val="004C05B6"/>
    <w:rsid w:val="004C0702"/>
    <w:rsid w:val="004C0A14"/>
    <w:rsid w:val="004C0B1F"/>
    <w:rsid w:val="004C138A"/>
    <w:rsid w:val="004C142D"/>
    <w:rsid w:val="004C146C"/>
    <w:rsid w:val="004C160D"/>
    <w:rsid w:val="004C164F"/>
    <w:rsid w:val="004C1921"/>
    <w:rsid w:val="004C196C"/>
    <w:rsid w:val="004C19CB"/>
    <w:rsid w:val="004C1AB0"/>
    <w:rsid w:val="004C1DE0"/>
    <w:rsid w:val="004C20EA"/>
    <w:rsid w:val="004C21EC"/>
    <w:rsid w:val="004C2405"/>
    <w:rsid w:val="004C2463"/>
    <w:rsid w:val="004C2D7B"/>
    <w:rsid w:val="004C2E34"/>
    <w:rsid w:val="004C2F4E"/>
    <w:rsid w:val="004C30AE"/>
    <w:rsid w:val="004C3169"/>
    <w:rsid w:val="004C32F9"/>
    <w:rsid w:val="004C334E"/>
    <w:rsid w:val="004C34D4"/>
    <w:rsid w:val="004C399D"/>
    <w:rsid w:val="004C39AC"/>
    <w:rsid w:val="004C39EA"/>
    <w:rsid w:val="004C3A38"/>
    <w:rsid w:val="004C3CD4"/>
    <w:rsid w:val="004C3E8A"/>
    <w:rsid w:val="004C4359"/>
    <w:rsid w:val="004C43D0"/>
    <w:rsid w:val="004C4470"/>
    <w:rsid w:val="004C489C"/>
    <w:rsid w:val="004C4D63"/>
    <w:rsid w:val="004C4DB1"/>
    <w:rsid w:val="004C4DF4"/>
    <w:rsid w:val="004C4F46"/>
    <w:rsid w:val="004C4FB4"/>
    <w:rsid w:val="004C503D"/>
    <w:rsid w:val="004C52F7"/>
    <w:rsid w:val="004C5366"/>
    <w:rsid w:val="004C5975"/>
    <w:rsid w:val="004C5A73"/>
    <w:rsid w:val="004C5D33"/>
    <w:rsid w:val="004C5FCE"/>
    <w:rsid w:val="004C651D"/>
    <w:rsid w:val="004C68F7"/>
    <w:rsid w:val="004C69ED"/>
    <w:rsid w:val="004C6B33"/>
    <w:rsid w:val="004C6C8A"/>
    <w:rsid w:val="004C6DE1"/>
    <w:rsid w:val="004C6E36"/>
    <w:rsid w:val="004C706C"/>
    <w:rsid w:val="004C7280"/>
    <w:rsid w:val="004C73D8"/>
    <w:rsid w:val="004C76F3"/>
    <w:rsid w:val="004C7731"/>
    <w:rsid w:val="004C7920"/>
    <w:rsid w:val="004C7D28"/>
    <w:rsid w:val="004C7EAC"/>
    <w:rsid w:val="004C7ECE"/>
    <w:rsid w:val="004C7F43"/>
    <w:rsid w:val="004D00A0"/>
    <w:rsid w:val="004D0424"/>
    <w:rsid w:val="004D0481"/>
    <w:rsid w:val="004D04F7"/>
    <w:rsid w:val="004D060B"/>
    <w:rsid w:val="004D078A"/>
    <w:rsid w:val="004D0CB3"/>
    <w:rsid w:val="004D0D0D"/>
    <w:rsid w:val="004D0D74"/>
    <w:rsid w:val="004D1A38"/>
    <w:rsid w:val="004D1E39"/>
    <w:rsid w:val="004D1E89"/>
    <w:rsid w:val="004D24FB"/>
    <w:rsid w:val="004D2AE2"/>
    <w:rsid w:val="004D2B17"/>
    <w:rsid w:val="004D2BCE"/>
    <w:rsid w:val="004D2E00"/>
    <w:rsid w:val="004D31B5"/>
    <w:rsid w:val="004D31C1"/>
    <w:rsid w:val="004D37EF"/>
    <w:rsid w:val="004D3900"/>
    <w:rsid w:val="004D3A6C"/>
    <w:rsid w:val="004D3C3F"/>
    <w:rsid w:val="004D3D1E"/>
    <w:rsid w:val="004D4141"/>
    <w:rsid w:val="004D4265"/>
    <w:rsid w:val="004D43B8"/>
    <w:rsid w:val="004D4404"/>
    <w:rsid w:val="004D45FA"/>
    <w:rsid w:val="004D4B81"/>
    <w:rsid w:val="004D4BD8"/>
    <w:rsid w:val="004D4BE0"/>
    <w:rsid w:val="004D4CAA"/>
    <w:rsid w:val="004D4CAF"/>
    <w:rsid w:val="004D4CBC"/>
    <w:rsid w:val="004D4F01"/>
    <w:rsid w:val="004D5326"/>
    <w:rsid w:val="004D5392"/>
    <w:rsid w:val="004D545A"/>
    <w:rsid w:val="004D5731"/>
    <w:rsid w:val="004D574C"/>
    <w:rsid w:val="004D5850"/>
    <w:rsid w:val="004D5947"/>
    <w:rsid w:val="004D5B39"/>
    <w:rsid w:val="004D65EE"/>
    <w:rsid w:val="004D660B"/>
    <w:rsid w:val="004D694B"/>
    <w:rsid w:val="004D6D10"/>
    <w:rsid w:val="004D777A"/>
    <w:rsid w:val="004D79B8"/>
    <w:rsid w:val="004D7A2B"/>
    <w:rsid w:val="004D7CB8"/>
    <w:rsid w:val="004E031B"/>
    <w:rsid w:val="004E0557"/>
    <w:rsid w:val="004E057A"/>
    <w:rsid w:val="004E058F"/>
    <w:rsid w:val="004E0658"/>
    <w:rsid w:val="004E07A3"/>
    <w:rsid w:val="004E0812"/>
    <w:rsid w:val="004E08F9"/>
    <w:rsid w:val="004E0A23"/>
    <w:rsid w:val="004E0C28"/>
    <w:rsid w:val="004E0C30"/>
    <w:rsid w:val="004E0C94"/>
    <w:rsid w:val="004E0D6D"/>
    <w:rsid w:val="004E0E6F"/>
    <w:rsid w:val="004E0E8C"/>
    <w:rsid w:val="004E10BD"/>
    <w:rsid w:val="004E1550"/>
    <w:rsid w:val="004E1659"/>
    <w:rsid w:val="004E1703"/>
    <w:rsid w:val="004E1920"/>
    <w:rsid w:val="004E1AD6"/>
    <w:rsid w:val="004E2202"/>
    <w:rsid w:val="004E232C"/>
    <w:rsid w:val="004E2501"/>
    <w:rsid w:val="004E2DEA"/>
    <w:rsid w:val="004E2EFF"/>
    <w:rsid w:val="004E3167"/>
    <w:rsid w:val="004E34C1"/>
    <w:rsid w:val="004E36DE"/>
    <w:rsid w:val="004E37F3"/>
    <w:rsid w:val="004E3881"/>
    <w:rsid w:val="004E3DFE"/>
    <w:rsid w:val="004E402B"/>
    <w:rsid w:val="004E4322"/>
    <w:rsid w:val="004E4646"/>
    <w:rsid w:val="004E48A1"/>
    <w:rsid w:val="004E4A10"/>
    <w:rsid w:val="004E5023"/>
    <w:rsid w:val="004E50A5"/>
    <w:rsid w:val="004E5536"/>
    <w:rsid w:val="004E553D"/>
    <w:rsid w:val="004E56D5"/>
    <w:rsid w:val="004E57F7"/>
    <w:rsid w:val="004E5DAE"/>
    <w:rsid w:val="004E5ECF"/>
    <w:rsid w:val="004E5F1C"/>
    <w:rsid w:val="004E6014"/>
    <w:rsid w:val="004E6328"/>
    <w:rsid w:val="004E639B"/>
    <w:rsid w:val="004E6982"/>
    <w:rsid w:val="004E6BA0"/>
    <w:rsid w:val="004E6F53"/>
    <w:rsid w:val="004E6FDB"/>
    <w:rsid w:val="004E741A"/>
    <w:rsid w:val="004E75EC"/>
    <w:rsid w:val="004E7A51"/>
    <w:rsid w:val="004E7B33"/>
    <w:rsid w:val="004E7CD6"/>
    <w:rsid w:val="004E7E3B"/>
    <w:rsid w:val="004E7E43"/>
    <w:rsid w:val="004E7EDD"/>
    <w:rsid w:val="004F001A"/>
    <w:rsid w:val="004F0247"/>
    <w:rsid w:val="004F0454"/>
    <w:rsid w:val="004F0472"/>
    <w:rsid w:val="004F0526"/>
    <w:rsid w:val="004F0630"/>
    <w:rsid w:val="004F0CD1"/>
    <w:rsid w:val="004F0F16"/>
    <w:rsid w:val="004F0FC4"/>
    <w:rsid w:val="004F12A1"/>
    <w:rsid w:val="004F12F5"/>
    <w:rsid w:val="004F1317"/>
    <w:rsid w:val="004F13EF"/>
    <w:rsid w:val="004F1A45"/>
    <w:rsid w:val="004F1E7F"/>
    <w:rsid w:val="004F2344"/>
    <w:rsid w:val="004F248D"/>
    <w:rsid w:val="004F260F"/>
    <w:rsid w:val="004F26D7"/>
    <w:rsid w:val="004F2DEB"/>
    <w:rsid w:val="004F2EFD"/>
    <w:rsid w:val="004F2FAF"/>
    <w:rsid w:val="004F30D0"/>
    <w:rsid w:val="004F3701"/>
    <w:rsid w:val="004F37F8"/>
    <w:rsid w:val="004F38B2"/>
    <w:rsid w:val="004F38B4"/>
    <w:rsid w:val="004F3A31"/>
    <w:rsid w:val="004F3BCF"/>
    <w:rsid w:val="004F3C71"/>
    <w:rsid w:val="004F3FB6"/>
    <w:rsid w:val="004F41AD"/>
    <w:rsid w:val="004F46C8"/>
    <w:rsid w:val="004F4A5D"/>
    <w:rsid w:val="004F4C0F"/>
    <w:rsid w:val="004F4C22"/>
    <w:rsid w:val="004F4CF3"/>
    <w:rsid w:val="004F4E34"/>
    <w:rsid w:val="004F520C"/>
    <w:rsid w:val="004F5379"/>
    <w:rsid w:val="004F5471"/>
    <w:rsid w:val="004F5740"/>
    <w:rsid w:val="004F577D"/>
    <w:rsid w:val="004F57B2"/>
    <w:rsid w:val="004F5835"/>
    <w:rsid w:val="004F592A"/>
    <w:rsid w:val="004F59E4"/>
    <w:rsid w:val="004F5A2C"/>
    <w:rsid w:val="004F5B7F"/>
    <w:rsid w:val="004F5DA4"/>
    <w:rsid w:val="004F5F58"/>
    <w:rsid w:val="004F605B"/>
    <w:rsid w:val="004F6431"/>
    <w:rsid w:val="004F656D"/>
    <w:rsid w:val="004F65CF"/>
    <w:rsid w:val="004F66EF"/>
    <w:rsid w:val="004F6737"/>
    <w:rsid w:val="004F695B"/>
    <w:rsid w:val="004F6BF3"/>
    <w:rsid w:val="004F6E50"/>
    <w:rsid w:val="004F7042"/>
    <w:rsid w:val="004F74C8"/>
    <w:rsid w:val="004F750E"/>
    <w:rsid w:val="004F753B"/>
    <w:rsid w:val="004F76F2"/>
    <w:rsid w:val="004F7780"/>
    <w:rsid w:val="004F7AA6"/>
    <w:rsid w:val="004F7C6B"/>
    <w:rsid w:val="004F7CE8"/>
    <w:rsid w:val="004F7F19"/>
    <w:rsid w:val="004F7F2D"/>
    <w:rsid w:val="004F7FE2"/>
    <w:rsid w:val="00500142"/>
    <w:rsid w:val="00500285"/>
    <w:rsid w:val="00500936"/>
    <w:rsid w:val="005009FF"/>
    <w:rsid w:val="00500A10"/>
    <w:rsid w:val="00500B03"/>
    <w:rsid w:val="00500CE2"/>
    <w:rsid w:val="00500FD0"/>
    <w:rsid w:val="00501038"/>
    <w:rsid w:val="0050121D"/>
    <w:rsid w:val="00501B14"/>
    <w:rsid w:val="00501D68"/>
    <w:rsid w:val="00502099"/>
    <w:rsid w:val="0050239B"/>
    <w:rsid w:val="00502830"/>
    <w:rsid w:val="0050299E"/>
    <w:rsid w:val="00502D59"/>
    <w:rsid w:val="00502E0C"/>
    <w:rsid w:val="00502EB0"/>
    <w:rsid w:val="0050334F"/>
    <w:rsid w:val="0050335D"/>
    <w:rsid w:val="00503A7A"/>
    <w:rsid w:val="00503B2C"/>
    <w:rsid w:val="00503EB7"/>
    <w:rsid w:val="00504093"/>
    <w:rsid w:val="005042DD"/>
    <w:rsid w:val="005042E4"/>
    <w:rsid w:val="005043EF"/>
    <w:rsid w:val="00504433"/>
    <w:rsid w:val="00504549"/>
    <w:rsid w:val="0050454E"/>
    <w:rsid w:val="00504AAB"/>
    <w:rsid w:val="00504AE5"/>
    <w:rsid w:val="00504B0A"/>
    <w:rsid w:val="00504FA4"/>
    <w:rsid w:val="005055A7"/>
    <w:rsid w:val="00505870"/>
    <w:rsid w:val="00505B27"/>
    <w:rsid w:val="00505E41"/>
    <w:rsid w:val="00505FF2"/>
    <w:rsid w:val="005061C5"/>
    <w:rsid w:val="005064AE"/>
    <w:rsid w:val="00506D65"/>
    <w:rsid w:val="0050726B"/>
    <w:rsid w:val="005072AA"/>
    <w:rsid w:val="005072C7"/>
    <w:rsid w:val="00507766"/>
    <w:rsid w:val="00507C90"/>
    <w:rsid w:val="00507FE8"/>
    <w:rsid w:val="00507FF2"/>
    <w:rsid w:val="00510067"/>
    <w:rsid w:val="0051066A"/>
    <w:rsid w:val="00510898"/>
    <w:rsid w:val="00510D29"/>
    <w:rsid w:val="00510F12"/>
    <w:rsid w:val="0051107F"/>
    <w:rsid w:val="005110B2"/>
    <w:rsid w:val="005111F2"/>
    <w:rsid w:val="005112FA"/>
    <w:rsid w:val="00511337"/>
    <w:rsid w:val="005114FB"/>
    <w:rsid w:val="005115A3"/>
    <w:rsid w:val="005117A4"/>
    <w:rsid w:val="005118ED"/>
    <w:rsid w:val="00511913"/>
    <w:rsid w:val="00511BD1"/>
    <w:rsid w:val="00511CD2"/>
    <w:rsid w:val="00511DA7"/>
    <w:rsid w:val="005122EE"/>
    <w:rsid w:val="00512425"/>
    <w:rsid w:val="00512566"/>
    <w:rsid w:val="005126FD"/>
    <w:rsid w:val="005127B7"/>
    <w:rsid w:val="00512A0E"/>
    <w:rsid w:val="00512D23"/>
    <w:rsid w:val="00512E94"/>
    <w:rsid w:val="00512FF1"/>
    <w:rsid w:val="0051332E"/>
    <w:rsid w:val="005133FD"/>
    <w:rsid w:val="00513457"/>
    <w:rsid w:val="00513570"/>
    <w:rsid w:val="005138B6"/>
    <w:rsid w:val="00513D8F"/>
    <w:rsid w:val="00513F9B"/>
    <w:rsid w:val="00514066"/>
    <w:rsid w:val="0051479E"/>
    <w:rsid w:val="005147E4"/>
    <w:rsid w:val="00514B8F"/>
    <w:rsid w:val="00514D07"/>
    <w:rsid w:val="00514DD7"/>
    <w:rsid w:val="00514EA8"/>
    <w:rsid w:val="00514F0A"/>
    <w:rsid w:val="0051501F"/>
    <w:rsid w:val="00515028"/>
    <w:rsid w:val="0051520A"/>
    <w:rsid w:val="005152A1"/>
    <w:rsid w:val="00515388"/>
    <w:rsid w:val="00515537"/>
    <w:rsid w:val="00515594"/>
    <w:rsid w:val="0051580B"/>
    <w:rsid w:val="00515946"/>
    <w:rsid w:val="00515BE1"/>
    <w:rsid w:val="00516055"/>
    <w:rsid w:val="005162C6"/>
    <w:rsid w:val="0051633A"/>
    <w:rsid w:val="005164D9"/>
    <w:rsid w:val="0051676A"/>
    <w:rsid w:val="0051679A"/>
    <w:rsid w:val="00516858"/>
    <w:rsid w:val="0051695D"/>
    <w:rsid w:val="00516A01"/>
    <w:rsid w:val="00516A7C"/>
    <w:rsid w:val="00516B66"/>
    <w:rsid w:val="00516C17"/>
    <w:rsid w:val="00516FE0"/>
    <w:rsid w:val="0051703B"/>
    <w:rsid w:val="00517382"/>
    <w:rsid w:val="005173CE"/>
    <w:rsid w:val="005174AD"/>
    <w:rsid w:val="00517521"/>
    <w:rsid w:val="005176BD"/>
    <w:rsid w:val="00517ABC"/>
    <w:rsid w:val="00517D0A"/>
    <w:rsid w:val="00520004"/>
    <w:rsid w:val="0052000E"/>
    <w:rsid w:val="00520033"/>
    <w:rsid w:val="00520115"/>
    <w:rsid w:val="005201F3"/>
    <w:rsid w:val="00520645"/>
    <w:rsid w:val="005207E8"/>
    <w:rsid w:val="00520867"/>
    <w:rsid w:val="0052092A"/>
    <w:rsid w:val="00520971"/>
    <w:rsid w:val="00520B7D"/>
    <w:rsid w:val="00520BE2"/>
    <w:rsid w:val="00520BF8"/>
    <w:rsid w:val="00520E27"/>
    <w:rsid w:val="00520EB7"/>
    <w:rsid w:val="00520F20"/>
    <w:rsid w:val="00520F57"/>
    <w:rsid w:val="00521B93"/>
    <w:rsid w:val="00521D28"/>
    <w:rsid w:val="00521D40"/>
    <w:rsid w:val="00521EBD"/>
    <w:rsid w:val="00522008"/>
    <w:rsid w:val="00522275"/>
    <w:rsid w:val="005222B0"/>
    <w:rsid w:val="005223E9"/>
    <w:rsid w:val="005224D5"/>
    <w:rsid w:val="005228D7"/>
    <w:rsid w:val="005228EF"/>
    <w:rsid w:val="00522ADB"/>
    <w:rsid w:val="00522E56"/>
    <w:rsid w:val="005230C2"/>
    <w:rsid w:val="00523154"/>
    <w:rsid w:val="00523586"/>
    <w:rsid w:val="005236B9"/>
    <w:rsid w:val="00523762"/>
    <w:rsid w:val="005239CF"/>
    <w:rsid w:val="00523A18"/>
    <w:rsid w:val="00523BB4"/>
    <w:rsid w:val="00523C36"/>
    <w:rsid w:val="00523C7E"/>
    <w:rsid w:val="00523F71"/>
    <w:rsid w:val="00524048"/>
    <w:rsid w:val="00524272"/>
    <w:rsid w:val="005242A0"/>
    <w:rsid w:val="005244F1"/>
    <w:rsid w:val="0052466B"/>
    <w:rsid w:val="00524A87"/>
    <w:rsid w:val="00524DB5"/>
    <w:rsid w:val="00524DE7"/>
    <w:rsid w:val="00525064"/>
    <w:rsid w:val="005250E3"/>
    <w:rsid w:val="005253FE"/>
    <w:rsid w:val="00525893"/>
    <w:rsid w:val="00525942"/>
    <w:rsid w:val="00525E3B"/>
    <w:rsid w:val="0052615D"/>
    <w:rsid w:val="00526E8B"/>
    <w:rsid w:val="005270B7"/>
    <w:rsid w:val="0052718A"/>
    <w:rsid w:val="005271A9"/>
    <w:rsid w:val="005274C7"/>
    <w:rsid w:val="00527591"/>
    <w:rsid w:val="005278C2"/>
    <w:rsid w:val="00527B74"/>
    <w:rsid w:val="00527D78"/>
    <w:rsid w:val="00527F54"/>
    <w:rsid w:val="00527F62"/>
    <w:rsid w:val="00527FE3"/>
    <w:rsid w:val="00530225"/>
    <w:rsid w:val="0053045E"/>
    <w:rsid w:val="005304FF"/>
    <w:rsid w:val="005305ED"/>
    <w:rsid w:val="00530617"/>
    <w:rsid w:val="0053085C"/>
    <w:rsid w:val="005308F0"/>
    <w:rsid w:val="00530984"/>
    <w:rsid w:val="00530AAA"/>
    <w:rsid w:val="00530C4D"/>
    <w:rsid w:val="00530DB8"/>
    <w:rsid w:val="00531255"/>
    <w:rsid w:val="00531356"/>
    <w:rsid w:val="005316A8"/>
    <w:rsid w:val="00531CC7"/>
    <w:rsid w:val="00531E97"/>
    <w:rsid w:val="00531EE2"/>
    <w:rsid w:val="005322BF"/>
    <w:rsid w:val="005322EA"/>
    <w:rsid w:val="005324B7"/>
    <w:rsid w:val="005329CC"/>
    <w:rsid w:val="00532EFA"/>
    <w:rsid w:val="00532FB3"/>
    <w:rsid w:val="00533397"/>
    <w:rsid w:val="0053349E"/>
    <w:rsid w:val="00533699"/>
    <w:rsid w:val="0053388D"/>
    <w:rsid w:val="00533D30"/>
    <w:rsid w:val="00534106"/>
    <w:rsid w:val="00534240"/>
    <w:rsid w:val="0053461E"/>
    <w:rsid w:val="00534B6E"/>
    <w:rsid w:val="00534FD7"/>
    <w:rsid w:val="00535024"/>
    <w:rsid w:val="00535155"/>
    <w:rsid w:val="00535256"/>
    <w:rsid w:val="005353B7"/>
    <w:rsid w:val="0053593E"/>
    <w:rsid w:val="005359AA"/>
    <w:rsid w:val="00535A9A"/>
    <w:rsid w:val="00535BBB"/>
    <w:rsid w:val="00535FF3"/>
    <w:rsid w:val="00536081"/>
    <w:rsid w:val="005360D7"/>
    <w:rsid w:val="005361AA"/>
    <w:rsid w:val="005361E0"/>
    <w:rsid w:val="0053632F"/>
    <w:rsid w:val="005364CE"/>
    <w:rsid w:val="0053652D"/>
    <w:rsid w:val="00536988"/>
    <w:rsid w:val="00536A2B"/>
    <w:rsid w:val="00536AA9"/>
    <w:rsid w:val="00536B07"/>
    <w:rsid w:val="00536B6C"/>
    <w:rsid w:val="0053711F"/>
    <w:rsid w:val="005372B4"/>
    <w:rsid w:val="005375AC"/>
    <w:rsid w:val="0053794E"/>
    <w:rsid w:val="00537B15"/>
    <w:rsid w:val="00537C1C"/>
    <w:rsid w:val="00537DF7"/>
    <w:rsid w:val="00540283"/>
    <w:rsid w:val="0054050B"/>
    <w:rsid w:val="00540718"/>
    <w:rsid w:val="0054095F"/>
    <w:rsid w:val="005409C4"/>
    <w:rsid w:val="00540A2C"/>
    <w:rsid w:val="00540AA7"/>
    <w:rsid w:val="005410DF"/>
    <w:rsid w:val="0054140D"/>
    <w:rsid w:val="0054182F"/>
    <w:rsid w:val="00541A79"/>
    <w:rsid w:val="0054264B"/>
    <w:rsid w:val="00542B52"/>
    <w:rsid w:val="00542BF3"/>
    <w:rsid w:val="00542CF3"/>
    <w:rsid w:val="00543079"/>
    <w:rsid w:val="00543194"/>
    <w:rsid w:val="00543238"/>
    <w:rsid w:val="005433CA"/>
    <w:rsid w:val="00543560"/>
    <w:rsid w:val="00543654"/>
    <w:rsid w:val="00543756"/>
    <w:rsid w:val="005437A5"/>
    <w:rsid w:val="00543983"/>
    <w:rsid w:val="00543AE8"/>
    <w:rsid w:val="00544029"/>
    <w:rsid w:val="005446E1"/>
    <w:rsid w:val="00544753"/>
    <w:rsid w:val="00544778"/>
    <w:rsid w:val="005447FC"/>
    <w:rsid w:val="00544D4F"/>
    <w:rsid w:val="00544DC7"/>
    <w:rsid w:val="005450B7"/>
    <w:rsid w:val="00545229"/>
    <w:rsid w:val="0054556D"/>
    <w:rsid w:val="00545906"/>
    <w:rsid w:val="00545946"/>
    <w:rsid w:val="005459A0"/>
    <w:rsid w:val="00545B15"/>
    <w:rsid w:val="00545B32"/>
    <w:rsid w:val="00545CAD"/>
    <w:rsid w:val="00545F31"/>
    <w:rsid w:val="00546327"/>
    <w:rsid w:val="0054679C"/>
    <w:rsid w:val="00546811"/>
    <w:rsid w:val="00546D13"/>
    <w:rsid w:val="005471D8"/>
    <w:rsid w:val="005471F4"/>
    <w:rsid w:val="00547508"/>
    <w:rsid w:val="00547558"/>
    <w:rsid w:val="00547561"/>
    <w:rsid w:val="00547605"/>
    <w:rsid w:val="00547666"/>
    <w:rsid w:val="005479F8"/>
    <w:rsid w:val="00547AAD"/>
    <w:rsid w:val="00547C8E"/>
    <w:rsid w:val="00547CF6"/>
    <w:rsid w:val="0055001F"/>
    <w:rsid w:val="00550032"/>
    <w:rsid w:val="0055007D"/>
    <w:rsid w:val="005500B3"/>
    <w:rsid w:val="00550109"/>
    <w:rsid w:val="005501BC"/>
    <w:rsid w:val="0055046C"/>
    <w:rsid w:val="005505B1"/>
    <w:rsid w:val="005509C2"/>
    <w:rsid w:val="00550A10"/>
    <w:rsid w:val="00550FC2"/>
    <w:rsid w:val="005511F9"/>
    <w:rsid w:val="005512C5"/>
    <w:rsid w:val="005513CA"/>
    <w:rsid w:val="00551401"/>
    <w:rsid w:val="00551580"/>
    <w:rsid w:val="005518F3"/>
    <w:rsid w:val="005519CA"/>
    <w:rsid w:val="00551A03"/>
    <w:rsid w:val="00551A24"/>
    <w:rsid w:val="00551CE4"/>
    <w:rsid w:val="00551EDE"/>
    <w:rsid w:val="00551FA1"/>
    <w:rsid w:val="0055208D"/>
    <w:rsid w:val="005520B9"/>
    <w:rsid w:val="00552598"/>
    <w:rsid w:val="005525D4"/>
    <w:rsid w:val="00552695"/>
    <w:rsid w:val="005526F4"/>
    <w:rsid w:val="00552717"/>
    <w:rsid w:val="0055280D"/>
    <w:rsid w:val="0055282D"/>
    <w:rsid w:val="00552835"/>
    <w:rsid w:val="005528E7"/>
    <w:rsid w:val="00552A64"/>
    <w:rsid w:val="00552D82"/>
    <w:rsid w:val="00552E6B"/>
    <w:rsid w:val="00552FF4"/>
    <w:rsid w:val="00553031"/>
    <w:rsid w:val="00553240"/>
    <w:rsid w:val="005532C5"/>
    <w:rsid w:val="005533F9"/>
    <w:rsid w:val="00553764"/>
    <w:rsid w:val="005537B3"/>
    <w:rsid w:val="00553830"/>
    <w:rsid w:val="00553BFA"/>
    <w:rsid w:val="00553C32"/>
    <w:rsid w:val="00553C6B"/>
    <w:rsid w:val="00553CDE"/>
    <w:rsid w:val="00553D9E"/>
    <w:rsid w:val="0055416E"/>
    <w:rsid w:val="005541CF"/>
    <w:rsid w:val="00554354"/>
    <w:rsid w:val="005545B4"/>
    <w:rsid w:val="00554865"/>
    <w:rsid w:val="005548FA"/>
    <w:rsid w:val="005549D8"/>
    <w:rsid w:val="00554B8E"/>
    <w:rsid w:val="00554EBE"/>
    <w:rsid w:val="00554F02"/>
    <w:rsid w:val="00554F17"/>
    <w:rsid w:val="005550C4"/>
    <w:rsid w:val="005551D1"/>
    <w:rsid w:val="0055529A"/>
    <w:rsid w:val="005552A5"/>
    <w:rsid w:val="005553CB"/>
    <w:rsid w:val="0055584A"/>
    <w:rsid w:val="00555960"/>
    <w:rsid w:val="00555AEB"/>
    <w:rsid w:val="00555B1F"/>
    <w:rsid w:val="00555BBB"/>
    <w:rsid w:val="00555C8F"/>
    <w:rsid w:val="0055601E"/>
    <w:rsid w:val="0055614D"/>
    <w:rsid w:val="005566BC"/>
    <w:rsid w:val="005569B4"/>
    <w:rsid w:val="00556E8B"/>
    <w:rsid w:val="00556EBD"/>
    <w:rsid w:val="00557109"/>
    <w:rsid w:val="005572EB"/>
    <w:rsid w:val="005577AA"/>
    <w:rsid w:val="00557916"/>
    <w:rsid w:val="00557C44"/>
    <w:rsid w:val="00557D3D"/>
    <w:rsid w:val="00557E82"/>
    <w:rsid w:val="005601FE"/>
    <w:rsid w:val="00560368"/>
    <w:rsid w:val="005603B9"/>
    <w:rsid w:val="005603EF"/>
    <w:rsid w:val="005604D0"/>
    <w:rsid w:val="0056063A"/>
    <w:rsid w:val="00560685"/>
    <w:rsid w:val="00560778"/>
    <w:rsid w:val="0056095A"/>
    <w:rsid w:val="00560C12"/>
    <w:rsid w:val="00560D5E"/>
    <w:rsid w:val="00560E7F"/>
    <w:rsid w:val="00560EDA"/>
    <w:rsid w:val="00560F78"/>
    <w:rsid w:val="005610AC"/>
    <w:rsid w:val="005610C8"/>
    <w:rsid w:val="005611DE"/>
    <w:rsid w:val="00561311"/>
    <w:rsid w:val="0056200F"/>
    <w:rsid w:val="0056227B"/>
    <w:rsid w:val="00562587"/>
    <w:rsid w:val="005625F3"/>
    <w:rsid w:val="00562C39"/>
    <w:rsid w:val="00562E96"/>
    <w:rsid w:val="00563220"/>
    <w:rsid w:val="00563330"/>
    <w:rsid w:val="0056365E"/>
    <w:rsid w:val="00563681"/>
    <w:rsid w:val="005637F8"/>
    <w:rsid w:val="00563971"/>
    <w:rsid w:val="00563984"/>
    <w:rsid w:val="00563BA6"/>
    <w:rsid w:val="00563BEA"/>
    <w:rsid w:val="00563C10"/>
    <w:rsid w:val="00563CE7"/>
    <w:rsid w:val="00563CF1"/>
    <w:rsid w:val="00563F13"/>
    <w:rsid w:val="0056402B"/>
    <w:rsid w:val="00564260"/>
    <w:rsid w:val="005643CB"/>
    <w:rsid w:val="00565002"/>
    <w:rsid w:val="005653AD"/>
    <w:rsid w:val="005653DE"/>
    <w:rsid w:val="00565525"/>
    <w:rsid w:val="00565586"/>
    <w:rsid w:val="005656B2"/>
    <w:rsid w:val="00565837"/>
    <w:rsid w:val="0056583A"/>
    <w:rsid w:val="005658ED"/>
    <w:rsid w:val="00565954"/>
    <w:rsid w:val="00565989"/>
    <w:rsid w:val="00566333"/>
    <w:rsid w:val="00566534"/>
    <w:rsid w:val="00566682"/>
    <w:rsid w:val="005667F8"/>
    <w:rsid w:val="0056688F"/>
    <w:rsid w:val="00566BC7"/>
    <w:rsid w:val="00566C97"/>
    <w:rsid w:val="00566DB2"/>
    <w:rsid w:val="00567039"/>
    <w:rsid w:val="005670A4"/>
    <w:rsid w:val="00567163"/>
    <w:rsid w:val="00567408"/>
    <w:rsid w:val="0056748C"/>
    <w:rsid w:val="005677CF"/>
    <w:rsid w:val="00567A1D"/>
    <w:rsid w:val="00567B2B"/>
    <w:rsid w:val="00567C8A"/>
    <w:rsid w:val="00567DD2"/>
    <w:rsid w:val="00567EEF"/>
    <w:rsid w:val="00570594"/>
    <w:rsid w:val="005706D9"/>
    <w:rsid w:val="00570874"/>
    <w:rsid w:val="00570A86"/>
    <w:rsid w:val="00570C14"/>
    <w:rsid w:val="00570CDC"/>
    <w:rsid w:val="00570ECB"/>
    <w:rsid w:val="00570F2E"/>
    <w:rsid w:val="00571073"/>
    <w:rsid w:val="00571101"/>
    <w:rsid w:val="0057148C"/>
    <w:rsid w:val="00571577"/>
    <w:rsid w:val="00571A5D"/>
    <w:rsid w:val="00571CEB"/>
    <w:rsid w:val="00571D35"/>
    <w:rsid w:val="00571EC8"/>
    <w:rsid w:val="00571ED0"/>
    <w:rsid w:val="00572142"/>
    <w:rsid w:val="005723C0"/>
    <w:rsid w:val="00572433"/>
    <w:rsid w:val="00572474"/>
    <w:rsid w:val="005725B8"/>
    <w:rsid w:val="005729D4"/>
    <w:rsid w:val="00572C76"/>
    <w:rsid w:val="00572EFB"/>
    <w:rsid w:val="00572FC9"/>
    <w:rsid w:val="0057301A"/>
    <w:rsid w:val="00573125"/>
    <w:rsid w:val="0057319A"/>
    <w:rsid w:val="00573230"/>
    <w:rsid w:val="00573265"/>
    <w:rsid w:val="0057347E"/>
    <w:rsid w:val="00573577"/>
    <w:rsid w:val="0057363D"/>
    <w:rsid w:val="005736F6"/>
    <w:rsid w:val="0057392A"/>
    <w:rsid w:val="00573A22"/>
    <w:rsid w:val="00573E86"/>
    <w:rsid w:val="00573F9E"/>
    <w:rsid w:val="0057413F"/>
    <w:rsid w:val="00574457"/>
    <w:rsid w:val="005744B0"/>
    <w:rsid w:val="005748E4"/>
    <w:rsid w:val="005749EE"/>
    <w:rsid w:val="00574A2C"/>
    <w:rsid w:val="00574C6E"/>
    <w:rsid w:val="00574F0F"/>
    <w:rsid w:val="00574F8B"/>
    <w:rsid w:val="00574FFC"/>
    <w:rsid w:val="00574FFD"/>
    <w:rsid w:val="0057514B"/>
    <w:rsid w:val="00575216"/>
    <w:rsid w:val="005759F9"/>
    <w:rsid w:val="00575ABB"/>
    <w:rsid w:val="00575C4A"/>
    <w:rsid w:val="00575E84"/>
    <w:rsid w:val="00576032"/>
    <w:rsid w:val="00576224"/>
    <w:rsid w:val="00576249"/>
    <w:rsid w:val="005762EE"/>
    <w:rsid w:val="00576709"/>
    <w:rsid w:val="00576796"/>
    <w:rsid w:val="0057689B"/>
    <w:rsid w:val="00576A7E"/>
    <w:rsid w:val="00576C39"/>
    <w:rsid w:val="00576DAD"/>
    <w:rsid w:val="00576F7C"/>
    <w:rsid w:val="00577194"/>
    <w:rsid w:val="00577328"/>
    <w:rsid w:val="0057739A"/>
    <w:rsid w:val="005778B9"/>
    <w:rsid w:val="005779D1"/>
    <w:rsid w:val="00577B9F"/>
    <w:rsid w:val="00577CB7"/>
    <w:rsid w:val="00577CF6"/>
    <w:rsid w:val="005803E7"/>
    <w:rsid w:val="005805E6"/>
    <w:rsid w:val="00580843"/>
    <w:rsid w:val="005808E5"/>
    <w:rsid w:val="00580ABF"/>
    <w:rsid w:val="00581832"/>
    <w:rsid w:val="00581F10"/>
    <w:rsid w:val="00581F8B"/>
    <w:rsid w:val="0058201E"/>
    <w:rsid w:val="00582042"/>
    <w:rsid w:val="00582085"/>
    <w:rsid w:val="005821FC"/>
    <w:rsid w:val="00582298"/>
    <w:rsid w:val="005823AF"/>
    <w:rsid w:val="0058282F"/>
    <w:rsid w:val="0058283F"/>
    <w:rsid w:val="0058284D"/>
    <w:rsid w:val="00582BBE"/>
    <w:rsid w:val="00583152"/>
    <w:rsid w:val="00583499"/>
    <w:rsid w:val="00583554"/>
    <w:rsid w:val="005835B2"/>
    <w:rsid w:val="005838B6"/>
    <w:rsid w:val="005838F2"/>
    <w:rsid w:val="00583BE6"/>
    <w:rsid w:val="00583C50"/>
    <w:rsid w:val="00583C5D"/>
    <w:rsid w:val="00583F5A"/>
    <w:rsid w:val="0058412E"/>
    <w:rsid w:val="00584343"/>
    <w:rsid w:val="00584AC2"/>
    <w:rsid w:val="00584E7A"/>
    <w:rsid w:val="00584F00"/>
    <w:rsid w:val="00584F34"/>
    <w:rsid w:val="00584FC5"/>
    <w:rsid w:val="0058523B"/>
    <w:rsid w:val="005853B8"/>
    <w:rsid w:val="005853D8"/>
    <w:rsid w:val="00585411"/>
    <w:rsid w:val="00585478"/>
    <w:rsid w:val="0058553F"/>
    <w:rsid w:val="0058554B"/>
    <w:rsid w:val="00585714"/>
    <w:rsid w:val="00585761"/>
    <w:rsid w:val="0058597B"/>
    <w:rsid w:val="00585A11"/>
    <w:rsid w:val="00585A54"/>
    <w:rsid w:val="00585C67"/>
    <w:rsid w:val="00586035"/>
    <w:rsid w:val="005860FF"/>
    <w:rsid w:val="005862AC"/>
    <w:rsid w:val="005862AE"/>
    <w:rsid w:val="0058630F"/>
    <w:rsid w:val="00586363"/>
    <w:rsid w:val="0058645E"/>
    <w:rsid w:val="005868DF"/>
    <w:rsid w:val="00586F40"/>
    <w:rsid w:val="00586F68"/>
    <w:rsid w:val="00587993"/>
    <w:rsid w:val="00587B86"/>
    <w:rsid w:val="00587E14"/>
    <w:rsid w:val="00587FBE"/>
    <w:rsid w:val="0059003A"/>
    <w:rsid w:val="005900CD"/>
    <w:rsid w:val="00590295"/>
    <w:rsid w:val="00590305"/>
    <w:rsid w:val="005903C8"/>
    <w:rsid w:val="005904B7"/>
    <w:rsid w:val="0059064F"/>
    <w:rsid w:val="00590696"/>
    <w:rsid w:val="00590CDD"/>
    <w:rsid w:val="00590D17"/>
    <w:rsid w:val="00590DCE"/>
    <w:rsid w:val="00591092"/>
    <w:rsid w:val="005911B3"/>
    <w:rsid w:val="005916A6"/>
    <w:rsid w:val="00591795"/>
    <w:rsid w:val="005917C9"/>
    <w:rsid w:val="00591A45"/>
    <w:rsid w:val="005920A2"/>
    <w:rsid w:val="0059222D"/>
    <w:rsid w:val="0059224D"/>
    <w:rsid w:val="00592501"/>
    <w:rsid w:val="005925BF"/>
    <w:rsid w:val="0059287E"/>
    <w:rsid w:val="00592A3A"/>
    <w:rsid w:val="00592C64"/>
    <w:rsid w:val="00592E82"/>
    <w:rsid w:val="00593237"/>
    <w:rsid w:val="00593BA2"/>
    <w:rsid w:val="00593C7D"/>
    <w:rsid w:val="00593CCC"/>
    <w:rsid w:val="00593F02"/>
    <w:rsid w:val="0059412E"/>
    <w:rsid w:val="0059437A"/>
    <w:rsid w:val="005943B0"/>
    <w:rsid w:val="00594B6C"/>
    <w:rsid w:val="00594D3C"/>
    <w:rsid w:val="00594DCF"/>
    <w:rsid w:val="00594DF9"/>
    <w:rsid w:val="00594DFF"/>
    <w:rsid w:val="00595293"/>
    <w:rsid w:val="005952A7"/>
    <w:rsid w:val="0059531F"/>
    <w:rsid w:val="005955F5"/>
    <w:rsid w:val="00595749"/>
    <w:rsid w:val="0059591C"/>
    <w:rsid w:val="00595AC7"/>
    <w:rsid w:val="00595B3A"/>
    <w:rsid w:val="00595C23"/>
    <w:rsid w:val="00595D2A"/>
    <w:rsid w:val="00595FB4"/>
    <w:rsid w:val="00596127"/>
    <w:rsid w:val="00596139"/>
    <w:rsid w:val="00596188"/>
    <w:rsid w:val="00596279"/>
    <w:rsid w:val="00596319"/>
    <w:rsid w:val="005963D0"/>
    <w:rsid w:val="00596C5D"/>
    <w:rsid w:val="00596F18"/>
    <w:rsid w:val="0059712A"/>
    <w:rsid w:val="00597467"/>
    <w:rsid w:val="00597481"/>
    <w:rsid w:val="0059749B"/>
    <w:rsid w:val="005974A1"/>
    <w:rsid w:val="0059752F"/>
    <w:rsid w:val="00597C92"/>
    <w:rsid w:val="005A0090"/>
    <w:rsid w:val="005A0360"/>
    <w:rsid w:val="005A07CB"/>
    <w:rsid w:val="005A0A4E"/>
    <w:rsid w:val="005A0B1E"/>
    <w:rsid w:val="005A0B5B"/>
    <w:rsid w:val="005A0C19"/>
    <w:rsid w:val="005A0DCE"/>
    <w:rsid w:val="005A0E88"/>
    <w:rsid w:val="005A0F49"/>
    <w:rsid w:val="005A0F75"/>
    <w:rsid w:val="005A139C"/>
    <w:rsid w:val="005A1664"/>
    <w:rsid w:val="005A1717"/>
    <w:rsid w:val="005A18FD"/>
    <w:rsid w:val="005A190A"/>
    <w:rsid w:val="005A1A0B"/>
    <w:rsid w:val="005A1A9E"/>
    <w:rsid w:val="005A1B71"/>
    <w:rsid w:val="005A1E39"/>
    <w:rsid w:val="005A2069"/>
    <w:rsid w:val="005A20DE"/>
    <w:rsid w:val="005A20DF"/>
    <w:rsid w:val="005A25EF"/>
    <w:rsid w:val="005A26CB"/>
    <w:rsid w:val="005A2755"/>
    <w:rsid w:val="005A2919"/>
    <w:rsid w:val="005A2C13"/>
    <w:rsid w:val="005A2E7F"/>
    <w:rsid w:val="005A2F28"/>
    <w:rsid w:val="005A2FB4"/>
    <w:rsid w:val="005A30CA"/>
    <w:rsid w:val="005A32EF"/>
    <w:rsid w:val="005A37D3"/>
    <w:rsid w:val="005A3841"/>
    <w:rsid w:val="005A3877"/>
    <w:rsid w:val="005A39E1"/>
    <w:rsid w:val="005A39E8"/>
    <w:rsid w:val="005A3BEF"/>
    <w:rsid w:val="005A3C99"/>
    <w:rsid w:val="005A3D0D"/>
    <w:rsid w:val="005A4023"/>
    <w:rsid w:val="005A456B"/>
    <w:rsid w:val="005A45A5"/>
    <w:rsid w:val="005A45E3"/>
    <w:rsid w:val="005A49B6"/>
    <w:rsid w:val="005A4D86"/>
    <w:rsid w:val="005A4DF1"/>
    <w:rsid w:val="005A4E86"/>
    <w:rsid w:val="005A4FB5"/>
    <w:rsid w:val="005A5038"/>
    <w:rsid w:val="005A5197"/>
    <w:rsid w:val="005A52AE"/>
    <w:rsid w:val="005A55B8"/>
    <w:rsid w:val="005A577B"/>
    <w:rsid w:val="005A57EA"/>
    <w:rsid w:val="005A5EDF"/>
    <w:rsid w:val="005A5F78"/>
    <w:rsid w:val="005A5FE6"/>
    <w:rsid w:val="005A60B2"/>
    <w:rsid w:val="005A631F"/>
    <w:rsid w:val="005A6467"/>
    <w:rsid w:val="005A669D"/>
    <w:rsid w:val="005A6ED5"/>
    <w:rsid w:val="005A6FCE"/>
    <w:rsid w:val="005A7070"/>
    <w:rsid w:val="005A7526"/>
    <w:rsid w:val="005A763F"/>
    <w:rsid w:val="005A765B"/>
    <w:rsid w:val="005A771E"/>
    <w:rsid w:val="005A7988"/>
    <w:rsid w:val="005A7C5C"/>
    <w:rsid w:val="005B0094"/>
    <w:rsid w:val="005B0126"/>
    <w:rsid w:val="005B023A"/>
    <w:rsid w:val="005B03C0"/>
    <w:rsid w:val="005B03C4"/>
    <w:rsid w:val="005B053F"/>
    <w:rsid w:val="005B0A13"/>
    <w:rsid w:val="005B0B52"/>
    <w:rsid w:val="005B0C93"/>
    <w:rsid w:val="005B0CEA"/>
    <w:rsid w:val="005B0D30"/>
    <w:rsid w:val="005B103C"/>
    <w:rsid w:val="005B1318"/>
    <w:rsid w:val="005B1399"/>
    <w:rsid w:val="005B13AE"/>
    <w:rsid w:val="005B161A"/>
    <w:rsid w:val="005B16AE"/>
    <w:rsid w:val="005B1911"/>
    <w:rsid w:val="005B1E72"/>
    <w:rsid w:val="005B1EF7"/>
    <w:rsid w:val="005B1F4F"/>
    <w:rsid w:val="005B266F"/>
    <w:rsid w:val="005B26D5"/>
    <w:rsid w:val="005B2734"/>
    <w:rsid w:val="005B2766"/>
    <w:rsid w:val="005B280F"/>
    <w:rsid w:val="005B28AC"/>
    <w:rsid w:val="005B2A6C"/>
    <w:rsid w:val="005B2A87"/>
    <w:rsid w:val="005B2AB9"/>
    <w:rsid w:val="005B2C91"/>
    <w:rsid w:val="005B3006"/>
    <w:rsid w:val="005B30AF"/>
    <w:rsid w:val="005B33B4"/>
    <w:rsid w:val="005B33F8"/>
    <w:rsid w:val="005B3434"/>
    <w:rsid w:val="005B3466"/>
    <w:rsid w:val="005B3506"/>
    <w:rsid w:val="005B38AE"/>
    <w:rsid w:val="005B3E1D"/>
    <w:rsid w:val="005B3FE0"/>
    <w:rsid w:val="005B4213"/>
    <w:rsid w:val="005B48AD"/>
    <w:rsid w:val="005B4C8E"/>
    <w:rsid w:val="005B4CAB"/>
    <w:rsid w:val="005B4CAC"/>
    <w:rsid w:val="005B4CE4"/>
    <w:rsid w:val="005B4D37"/>
    <w:rsid w:val="005B4DFB"/>
    <w:rsid w:val="005B509A"/>
    <w:rsid w:val="005B534F"/>
    <w:rsid w:val="005B53E0"/>
    <w:rsid w:val="005B608E"/>
    <w:rsid w:val="005B6198"/>
    <w:rsid w:val="005B637C"/>
    <w:rsid w:val="005B6535"/>
    <w:rsid w:val="005B6754"/>
    <w:rsid w:val="005B6F42"/>
    <w:rsid w:val="005B7513"/>
    <w:rsid w:val="005B790D"/>
    <w:rsid w:val="005C00F7"/>
    <w:rsid w:val="005C0102"/>
    <w:rsid w:val="005C0163"/>
    <w:rsid w:val="005C08FA"/>
    <w:rsid w:val="005C094D"/>
    <w:rsid w:val="005C0A5D"/>
    <w:rsid w:val="005C0C36"/>
    <w:rsid w:val="005C0D07"/>
    <w:rsid w:val="005C0F14"/>
    <w:rsid w:val="005C113E"/>
    <w:rsid w:val="005C1388"/>
    <w:rsid w:val="005C14E4"/>
    <w:rsid w:val="005C15A8"/>
    <w:rsid w:val="005C189D"/>
    <w:rsid w:val="005C1BA8"/>
    <w:rsid w:val="005C1D7D"/>
    <w:rsid w:val="005C1E99"/>
    <w:rsid w:val="005C1F5D"/>
    <w:rsid w:val="005C1F94"/>
    <w:rsid w:val="005C1FE5"/>
    <w:rsid w:val="005C237B"/>
    <w:rsid w:val="005C2960"/>
    <w:rsid w:val="005C2BB1"/>
    <w:rsid w:val="005C2D7C"/>
    <w:rsid w:val="005C307E"/>
    <w:rsid w:val="005C3347"/>
    <w:rsid w:val="005C33DC"/>
    <w:rsid w:val="005C35FD"/>
    <w:rsid w:val="005C37C0"/>
    <w:rsid w:val="005C38BF"/>
    <w:rsid w:val="005C3C3A"/>
    <w:rsid w:val="005C3EC4"/>
    <w:rsid w:val="005C40EB"/>
    <w:rsid w:val="005C42F3"/>
    <w:rsid w:val="005C432E"/>
    <w:rsid w:val="005C438A"/>
    <w:rsid w:val="005C4451"/>
    <w:rsid w:val="005C4480"/>
    <w:rsid w:val="005C4944"/>
    <w:rsid w:val="005C5162"/>
    <w:rsid w:val="005C51D8"/>
    <w:rsid w:val="005C5345"/>
    <w:rsid w:val="005C5484"/>
    <w:rsid w:val="005C564A"/>
    <w:rsid w:val="005C56FB"/>
    <w:rsid w:val="005C57E7"/>
    <w:rsid w:val="005C58FE"/>
    <w:rsid w:val="005C5AC0"/>
    <w:rsid w:val="005C5DD1"/>
    <w:rsid w:val="005C64A2"/>
    <w:rsid w:val="005C65AF"/>
    <w:rsid w:val="005C663B"/>
    <w:rsid w:val="005C6688"/>
    <w:rsid w:val="005C6894"/>
    <w:rsid w:val="005C68D9"/>
    <w:rsid w:val="005C6951"/>
    <w:rsid w:val="005C6DA4"/>
    <w:rsid w:val="005C6DBA"/>
    <w:rsid w:val="005C6FF6"/>
    <w:rsid w:val="005C72FC"/>
    <w:rsid w:val="005C73E4"/>
    <w:rsid w:val="005C76A0"/>
    <w:rsid w:val="005C79DB"/>
    <w:rsid w:val="005C7A5D"/>
    <w:rsid w:val="005C7B62"/>
    <w:rsid w:val="005D0369"/>
    <w:rsid w:val="005D041D"/>
    <w:rsid w:val="005D0604"/>
    <w:rsid w:val="005D0A67"/>
    <w:rsid w:val="005D0BE8"/>
    <w:rsid w:val="005D0D0A"/>
    <w:rsid w:val="005D0D59"/>
    <w:rsid w:val="005D0F91"/>
    <w:rsid w:val="005D12BD"/>
    <w:rsid w:val="005D145E"/>
    <w:rsid w:val="005D146F"/>
    <w:rsid w:val="005D1555"/>
    <w:rsid w:val="005D1A14"/>
    <w:rsid w:val="005D1A51"/>
    <w:rsid w:val="005D1DAD"/>
    <w:rsid w:val="005D2020"/>
    <w:rsid w:val="005D2074"/>
    <w:rsid w:val="005D2248"/>
    <w:rsid w:val="005D2263"/>
    <w:rsid w:val="005D2353"/>
    <w:rsid w:val="005D2465"/>
    <w:rsid w:val="005D2D98"/>
    <w:rsid w:val="005D2DB2"/>
    <w:rsid w:val="005D3645"/>
    <w:rsid w:val="005D3728"/>
    <w:rsid w:val="005D3790"/>
    <w:rsid w:val="005D391E"/>
    <w:rsid w:val="005D3B1D"/>
    <w:rsid w:val="005D3E67"/>
    <w:rsid w:val="005D4465"/>
    <w:rsid w:val="005D4499"/>
    <w:rsid w:val="005D4762"/>
    <w:rsid w:val="005D479C"/>
    <w:rsid w:val="005D489F"/>
    <w:rsid w:val="005D49FF"/>
    <w:rsid w:val="005D4B70"/>
    <w:rsid w:val="005D4B93"/>
    <w:rsid w:val="005D4C10"/>
    <w:rsid w:val="005D4FD5"/>
    <w:rsid w:val="005D525B"/>
    <w:rsid w:val="005D54E4"/>
    <w:rsid w:val="005D559D"/>
    <w:rsid w:val="005D5815"/>
    <w:rsid w:val="005D58C8"/>
    <w:rsid w:val="005D58F9"/>
    <w:rsid w:val="005D5907"/>
    <w:rsid w:val="005D59CA"/>
    <w:rsid w:val="005D59EC"/>
    <w:rsid w:val="005D5F9E"/>
    <w:rsid w:val="005D669C"/>
    <w:rsid w:val="005D6CCD"/>
    <w:rsid w:val="005D6F92"/>
    <w:rsid w:val="005D7285"/>
    <w:rsid w:val="005D7401"/>
    <w:rsid w:val="005D7434"/>
    <w:rsid w:val="005D753D"/>
    <w:rsid w:val="005D754C"/>
    <w:rsid w:val="005D7554"/>
    <w:rsid w:val="005D767F"/>
    <w:rsid w:val="005D7A2B"/>
    <w:rsid w:val="005D7B01"/>
    <w:rsid w:val="005D7BE7"/>
    <w:rsid w:val="005D7D96"/>
    <w:rsid w:val="005D7DFA"/>
    <w:rsid w:val="005E024F"/>
    <w:rsid w:val="005E0727"/>
    <w:rsid w:val="005E0DEC"/>
    <w:rsid w:val="005E117B"/>
    <w:rsid w:val="005E126E"/>
    <w:rsid w:val="005E13AB"/>
    <w:rsid w:val="005E13E3"/>
    <w:rsid w:val="005E1418"/>
    <w:rsid w:val="005E1583"/>
    <w:rsid w:val="005E170B"/>
    <w:rsid w:val="005E18EA"/>
    <w:rsid w:val="005E1AEB"/>
    <w:rsid w:val="005E1C28"/>
    <w:rsid w:val="005E1DB9"/>
    <w:rsid w:val="005E1F3D"/>
    <w:rsid w:val="005E1F4A"/>
    <w:rsid w:val="005E1F95"/>
    <w:rsid w:val="005E2206"/>
    <w:rsid w:val="005E22E2"/>
    <w:rsid w:val="005E235D"/>
    <w:rsid w:val="005E241F"/>
    <w:rsid w:val="005E2C4D"/>
    <w:rsid w:val="005E2D2A"/>
    <w:rsid w:val="005E321F"/>
    <w:rsid w:val="005E322C"/>
    <w:rsid w:val="005E32A3"/>
    <w:rsid w:val="005E3338"/>
    <w:rsid w:val="005E34DC"/>
    <w:rsid w:val="005E38E3"/>
    <w:rsid w:val="005E3B9A"/>
    <w:rsid w:val="005E4412"/>
    <w:rsid w:val="005E4453"/>
    <w:rsid w:val="005E45C7"/>
    <w:rsid w:val="005E45CC"/>
    <w:rsid w:val="005E4619"/>
    <w:rsid w:val="005E4716"/>
    <w:rsid w:val="005E4768"/>
    <w:rsid w:val="005E47DB"/>
    <w:rsid w:val="005E48BC"/>
    <w:rsid w:val="005E4B3D"/>
    <w:rsid w:val="005E4BB1"/>
    <w:rsid w:val="005E4C1E"/>
    <w:rsid w:val="005E4D4F"/>
    <w:rsid w:val="005E4D74"/>
    <w:rsid w:val="005E4F9E"/>
    <w:rsid w:val="005E5198"/>
    <w:rsid w:val="005E5250"/>
    <w:rsid w:val="005E53F1"/>
    <w:rsid w:val="005E5405"/>
    <w:rsid w:val="005E5678"/>
    <w:rsid w:val="005E5F87"/>
    <w:rsid w:val="005E5FDF"/>
    <w:rsid w:val="005E6004"/>
    <w:rsid w:val="005E6095"/>
    <w:rsid w:val="005E6119"/>
    <w:rsid w:val="005E65B2"/>
    <w:rsid w:val="005E66FB"/>
    <w:rsid w:val="005E6924"/>
    <w:rsid w:val="005E6973"/>
    <w:rsid w:val="005E6984"/>
    <w:rsid w:val="005E6CBE"/>
    <w:rsid w:val="005E6DE3"/>
    <w:rsid w:val="005E6E49"/>
    <w:rsid w:val="005E6F78"/>
    <w:rsid w:val="005E6FCD"/>
    <w:rsid w:val="005E7264"/>
    <w:rsid w:val="005E72C0"/>
    <w:rsid w:val="005E76CD"/>
    <w:rsid w:val="005E777C"/>
    <w:rsid w:val="005E779D"/>
    <w:rsid w:val="005E7C9B"/>
    <w:rsid w:val="005E7FB7"/>
    <w:rsid w:val="005F01AD"/>
    <w:rsid w:val="005F06BB"/>
    <w:rsid w:val="005F0821"/>
    <w:rsid w:val="005F0AFE"/>
    <w:rsid w:val="005F0B5F"/>
    <w:rsid w:val="005F0BD5"/>
    <w:rsid w:val="005F0C7F"/>
    <w:rsid w:val="005F0C88"/>
    <w:rsid w:val="005F0F79"/>
    <w:rsid w:val="005F11E8"/>
    <w:rsid w:val="005F1611"/>
    <w:rsid w:val="005F1836"/>
    <w:rsid w:val="005F18D3"/>
    <w:rsid w:val="005F20A0"/>
    <w:rsid w:val="005F225A"/>
    <w:rsid w:val="005F243B"/>
    <w:rsid w:val="005F246D"/>
    <w:rsid w:val="005F2581"/>
    <w:rsid w:val="005F2890"/>
    <w:rsid w:val="005F297C"/>
    <w:rsid w:val="005F29B8"/>
    <w:rsid w:val="005F2AAC"/>
    <w:rsid w:val="005F2B1A"/>
    <w:rsid w:val="005F2B33"/>
    <w:rsid w:val="005F2BFC"/>
    <w:rsid w:val="005F2CE9"/>
    <w:rsid w:val="005F2EA9"/>
    <w:rsid w:val="005F3289"/>
    <w:rsid w:val="005F35EF"/>
    <w:rsid w:val="005F37D7"/>
    <w:rsid w:val="005F3C23"/>
    <w:rsid w:val="005F3C8B"/>
    <w:rsid w:val="005F4857"/>
    <w:rsid w:val="005F4CC5"/>
    <w:rsid w:val="005F4D0A"/>
    <w:rsid w:val="005F531E"/>
    <w:rsid w:val="005F54BF"/>
    <w:rsid w:val="005F55BD"/>
    <w:rsid w:val="005F57D2"/>
    <w:rsid w:val="005F5EC0"/>
    <w:rsid w:val="005F5FEB"/>
    <w:rsid w:val="005F6612"/>
    <w:rsid w:val="005F67EF"/>
    <w:rsid w:val="005F67FC"/>
    <w:rsid w:val="005F6CF3"/>
    <w:rsid w:val="005F6EDA"/>
    <w:rsid w:val="005F7038"/>
    <w:rsid w:val="005F72BF"/>
    <w:rsid w:val="005F77B4"/>
    <w:rsid w:val="005F785C"/>
    <w:rsid w:val="005F7B24"/>
    <w:rsid w:val="005F7C56"/>
    <w:rsid w:val="005F7C86"/>
    <w:rsid w:val="005F7E64"/>
    <w:rsid w:val="005F7F80"/>
    <w:rsid w:val="00600115"/>
    <w:rsid w:val="00600132"/>
    <w:rsid w:val="00600252"/>
    <w:rsid w:val="0060062F"/>
    <w:rsid w:val="0060090E"/>
    <w:rsid w:val="00600BE0"/>
    <w:rsid w:val="00600E64"/>
    <w:rsid w:val="00600F10"/>
    <w:rsid w:val="00600FD7"/>
    <w:rsid w:val="00601018"/>
    <w:rsid w:val="00601116"/>
    <w:rsid w:val="006013FA"/>
    <w:rsid w:val="0060155F"/>
    <w:rsid w:val="006015AA"/>
    <w:rsid w:val="0060194A"/>
    <w:rsid w:val="0060195A"/>
    <w:rsid w:val="00601D44"/>
    <w:rsid w:val="00602072"/>
    <w:rsid w:val="006020E0"/>
    <w:rsid w:val="006024CC"/>
    <w:rsid w:val="006028FB"/>
    <w:rsid w:val="00602947"/>
    <w:rsid w:val="00602CE5"/>
    <w:rsid w:val="00602F12"/>
    <w:rsid w:val="00603237"/>
    <w:rsid w:val="00603714"/>
    <w:rsid w:val="0060382E"/>
    <w:rsid w:val="00603996"/>
    <w:rsid w:val="00603A5E"/>
    <w:rsid w:val="00603B38"/>
    <w:rsid w:val="00603B7C"/>
    <w:rsid w:val="00603E09"/>
    <w:rsid w:val="00603FC3"/>
    <w:rsid w:val="0060408C"/>
    <w:rsid w:val="006042BE"/>
    <w:rsid w:val="00604658"/>
    <w:rsid w:val="00604706"/>
    <w:rsid w:val="006048A2"/>
    <w:rsid w:val="00604946"/>
    <w:rsid w:val="00604969"/>
    <w:rsid w:val="00604A89"/>
    <w:rsid w:val="00605308"/>
    <w:rsid w:val="006055DB"/>
    <w:rsid w:val="00605B24"/>
    <w:rsid w:val="00605E30"/>
    <w:rsid w:val="00605F77"/>
    <w:rsid w:val="006060D0"/>
    <w:rsid w:val="006061BC"/>
    <w:rsid w:val="0060630B"/>
    <w:rsid w:val="0060643B"/>
    <w:rsid w:val="0060645D"/>
    <w:rsid w:val="00606531"/>
    <w:rsid w:val="006065BB"/>
    <w:rsid w:val="006066AD"/>
    <w:rsid w:val="00606735"/>
    <w:rsid w:val="006067A9"/>
    <w:rsid w:val="00606CA0"/>
    <w:rsid w:val="00606CCB"/>
    <w:rsid w:val="006070A1"/>
    <w:rsid w:val="0060738C"/>
    <w:rsid w:val="00607871"/>
    <w:rsid w:val="00607BAE"/>
    <w:rsid w:val="00607D46"/>
    <w:rsid w:val="00607F02"/>
    <w:rsid w:val="00607F21"/>
    <w:rsid w:val="00610029"/>
    <w:rsid w:val="006100EB"/>
    <w:rsid w:val="00610275"/>
    <w:rsid w:val="006105CD"/>
    <w:rsid w:val="006106A9"/>
    <w:rsid w:val="006108A0"/>
    <w:rsid w:val="00610B40"/>
    <w:rsid w:val="00610C7C"/>
    <w:rsid w:val="00610C9C"/>
    <w:rsid w:val="00610DE6"/>
    <w:rsid w:val="00610EBE"/>
    <w:rsid w:val="00610F8C"/>
    <w:rsid w:val="006110A6"/>
    <w:rsid w:val="0061119E"/>
    <w:rsid w:val="0061133D"/>
    <w:rsid w:val="00611505"/>
    <w:rsid w:val="006115FC"/>
    <w:rsid w:val="0061175A"/>
    <w:rsid w:val="0061176C"/>
    <w:rsid w:val="00611897"/>
    <w:rsid w:val="00611F15"/>
    <w:rsid w:val="00612061"/>
    <w:rsid w:val="00612492"/>
    <w:rsid w:val="006125CA"/>
    <w:rsid w:val="00612949"/>
    <w:rsid w:val="00612C59"/>
    <w:rsid w:val="00612D00"/>
    <w:rsid w:val="00613368"/>
    <w:rsid w:val="0061336C"/>
    <w:rsid w:val="006134DE"/>
    <w:rsid w:val="006136B3"/>
    <w:rsid w:val="0061380B"/>
    <w:rsid w:val="006138E0"/>
    <w:rsid w:val="00613ABC"/>
    <w:rsid w:val="00613AD6"/>
    <w:rsid w:val="00613BE7"/>
    <w:rsid w:val="00613FEA"/>
    <w:rsid w:val="006140A3"/>
    <w:rsid w:val="0061426E"/>
    <w:rsid w:val="0061433F"/>
    <w:rsid w:val="00614601"/>
    <w:rsid w:val="00614CA1"/>
    <w:rsid w:val="00614DB0"/>
    <w:rsid w:val="00614E05"/>
    <w:rsid w:val="00614F73"/>
    <w:rsid w:val="00614F97"/>
    <w:rsid w:val="0061513A"/>
    <w:rsid w:val="00615991"/>
    <w:rsid w:val="00615A4E"/>
    <w:rsid w:val="00615B9C"/>
    <w:rsid w:val="00615CD7"/>
    <w:rsid w:val="00615F0B"/>
    <w:rsid w:val="00615F4C"/>
    <w:rsid w:val="00616025"/>
    <w:rsid w:val="006160DB"/>
    <w:rsid w:val="0061661C"/>
    <w:rsid w:val="00616646"/>
    <w:rsid w:val="0061695B"/>
    <w:rsid w:val="00616AE3"/>
    <w:rsid w:val="00616B43"/>
    <w:rsid w:val="00616C7A"/>
    <w:rsid w:val="006177AD"/>
    <w:rsid w:val="00617A31"/>
    <w:rsid w:val="00617A4A"/>
    <w:rsid w:val="00617A69"/>
    <w:rsid w:val="00617C7C"/>
    <w:rsid w:val="00617C90"/>
    <w:rsid w:val="00620121"/>
    <w:rsid w:val="006201C3"/>
    <w:rsid w:val="006202AD"/>
    <w:rsid w:val="00620332"/>
    <w:rsid w:val="006204BB"/>
    <w:rsid w:val="00620502"/>
    <w:rsid w:val="0062052C"/>
    <w:rsid w:val="0062054B"/>
    <w:rsid w:val="00620639"/>
    <w:rsid w:val="00620840"/>
    <w:rsid w:val="006208D4"/>
    <w:rsid w:val="00620945"/>
    <w:rsid w:val="00620CE2"/>
    <w:rsid w:val="00620EAF"/>
    <w:rsid w:val="00620FB7"/>
    <w:rsid w:val="00620FD8"/>
    <w:rsid w:val="00621059"/>
    <w:rsid w:val="00621070"/>
    <w:rsid w:val="006213B8"/>
    <w:rsid w:val="006213C9"/>
    <w:rsid w:val="00621B72"/>
    <w:rsid w:val="00621BEA"/>
    <w:rsid w:val="00621EDF"/>
    <w:rsid w:val="006221BE"/>
    <w:rsid w:val="006224F5"/>
    <w:rsid w:val="00622573"/>
    <w:rsid w:val="006226E8"/>
    <w:rsid w:val="00622708"/>
    <w:rsid w:val="00622782"/>
    <w:rsid w:val="006228B3"/>
    <w:rsid w:val="00622BA5"/>
    <w:rsid w:val="006232B7"/>
    <w:rsid w:val="00623527"/>
    <w:rsid w:val="0062352F"/>
    <w:rsid w:val="00623572"/>
    <w:rsid w:val="006236A7"/>
    <w:rsid w:val="006238BA"/>
    <w:rsid w:val="0062403B"/>
    <w:rsid w:val="006243DC"/>
    <w:rsid w:val="0062474E"/>
    <w:rsid w:val="00624A00"/>
    <w:rsid w:val="00624CF9"/>
    <w:rsid w:val="00624FCA"/>
    <w:rsid w:val="0062527D"/>
    <w:rsid w:val="0062534F"/>
    <w:rsid w:val="00625B14"/>
    <w:rsid w:val="00625BCC"/>
    <w:rsid w:val="00626324"/>
    <w:rsid w:val="00626494"/>
    <w:rsid w:val="00626600"/>
    <w:rsid w:val="00626678"/>
    <w:rsid w:val="006266B0"/>
    <w:rsid w:val="00626AA9"/>
    <w:rsid w:val="00626AC5"/>
    <w:rsid w:val="00626CC8"/>
    <w:rsid w:val="00626DDE"/>
    <w:rsid w:val="006271A9"/>
    <w:rsid w:val="0062757F"/>
    <w:rsid w:val="0062768A"/>
    <w:rsid w:val="00627C63"/>
    <w:rsid w:val="0063007D"/>
    <w:rsid w:val="00630295"/>
    <w:rsid w:val="006304D4"/>
    <w:rsid w:val="006307E0"/>
    <w:rsid w:val="00630DDE"/>
    <w:rsid w:val="00631109"/>
    <w:rsid w:val="00631504"/>
    <w:rsid w:val="00631556"/>
    <w:rsid w:val="00631566"/>
    <w:rsid w:val="00631616"/>
    <w:rsid w:val="006316A5"/>
    <w:rsid w:val="006316F2"/>
    <w:rsid w:val="00631A2B"/>
    <w:rsid w:val="00631A6E"/>
    <w:rsid w:val="006323C9"/>
    <w:rsid w:val="0063258C"/>
    <w:rsid w:val="0063269B"/>
    <w:rsid w:val="006326E9"/>
    <w:rsid w:val="00632E1E"/>
    <w:rsid w:val="00632EE7"/>
    <w:rsid w:val="00633165"/>
    <w:rsid w:val="0063321A"/>
    <w:rsid w:val="006333E3"/>
    <w:rsid w:val="00633882"/>
    <w:rsid w:val="006339E7"/>
    <w:rsid w:val="00633BB4"/>
    <w:rsid w:val="00633C00"/>
    <w:rsid w:val="00633C4A"/>
    <w:rsid w:val="00634070"/>
    <w:rsid w:val="006342FA"/>
    <w:rsid w:val="006344CB"/>
    <w:rsid w:val="00634680"/>
    <w:rsid w:val="006346D3"/>
    <w:rsid w:val="006346DA"/>
    <w:rsid w:val="00634791"/>
    <w:rsid w:val="006347F4"/>
    <w:rsid w:val="00634958"/>
    <w:rsid w:val="00634ADF"/>
    <w:rsid w:val="00634DF8"/>
    <w:rsid w:val="00635029"/>
    <w:rsid w:val="00635227"/>
    <w:rsid w:val="00635268"/>
    <w:rsid w:val="0063537B"/>
    <w:rsid w:val="00635711"/>
    <w:rsid w:val="00635781"/>
    <w:rsid w:val="00635897"/>
    <w:rsid w:val="006359FD"/>
    <w:rsid w:val="00635AF2"/>
    <w:rsid w:val="00635CF8"/>
    <w:rsid w:val="00635E14"/>
    <w:rsid w:val="00635EE5"/>
    <w:rsid w:val="006361C2"/>
    <w:rsid w:val="00636384"/>
    <w:rsid w:val="006363AA"/>
    <w:rsid w:val="006366C5"/>
    <w:rsid w:val="0063681F"/>
    <w:rsid w:val="006368A2"/>
    <w:rsid w:val="00636974"/>
    <w:rsid w:val="00636B4A"/>
    <w:rsid w:val="00636B9E"/>
    <w:rsid w:val="00636BC6"/>
    <w:rsid w:val="00636BD4"/>
    <w:rsid w:val="0063704A"/>
    <w:rsid w:val="00637208"/>
    <w:rsid w:val="006372EC"/>
    <w:rsid w:val="006373DF"/>
    <w:rsid w:val="00637402"/>
    <w:rsid w:val="00637543"/>
    <w:rsid w:val="006375C2"/>
    <w:rsid w:val="0063774A"/>
    <w:rsid w:val="0063780D"/>
    <w:rsid w:val="00637FA4"/>
    <w:rsid w:val="0064020F"/>
    <w:rsid w:val="00640330"/>
    <w:rsid w:val="00640340"/>
    <w:rsid w:val="006406AC"/>
    <w:rsid w:val="0064094A"/>
    <w:rsid w:val="00640AC0"/>
    <w:rsid w:val="00640C35"/>
    <w:rsid w:val="00640F6B"/>
    <w:rsid w:val="00641015"/>
    <w:rsid w:val="006410F3"/>
    <w:rsid w:val="0064179B"/>
    <w:rsid w:val="006417DE"/>
    <w:rsid w:val="00641853"/>
    <w:rsid w:val="0064198A"/>
    <w:rsid w:val="00641C24"/>
    <w:rsid w:val="00641DAC"/>
    <w:rsid w:val="00641DD5"/>
    <w:rsid w:val="00641E9B"/>
    <w:rsid w:val="00642148"/>
    <w:rsid w:val="00642167"/>
    <w:rsid w:val="00642277"/>
    <w:rsid w:val="00642351"/>
    <w:rsid w:val="006424AA"/>
    <w:rsid w:val="0064267B"/>
    <w:rsid w:val="00642690"/>
    <w:rsid w:val="00642A78"/>
    <w:rsid w:val="00642B9D"/>
    <w:rsid w:val="00642C0E"/>
    <w:rsid w:val="0064339F"/>
    <w:rsid w:val="00643520"/>
    <w:rsid w:val="0064363F"/>
    <w:rsid w:val="00643662"/>
    <w:rsid w:val="00643775"/>
    <w:rsid w:val="00643B36"/>
    <w:rsid w:val="00643B7B"/>
    <w:rsid w:val="00643C3F"/>
    <w:rsid w:val="00643D0C"/>
    <w:rsid w:val="00643D3C"/>
    <w:rsid w:val="00643EDF"/>
    <w:rsid w:val="00643F0B"/>
    <w:rsid w:val="00643F4D"/>
    <w:rsid w:val="0064403F"/>
    <w:rsid w:val="006442BC"/>
    <w:rsid w:val="00644570"/>
    <w:rsid w:val="006445D1"/>
    <w:rsid w:val="0064471F"/>
    <w:rsid w:val="0064483A"/>
    <w:rsid w:val="006448C0"/>
    <w:rsid w:val="00644A7A"/>
    <w:rsid w:val="00644C7C"/>
    <w:rsid w:val="006450C9"/>
    <w:rsid w:val="0064549A"/>
    <w:rsid w:val="006455B3"/>
    <w:rsid w:val="00645774"/>
    <w:rsid w:val="00645804"/>
    <w:rsid w:val="00645874"/>
    <w:rsid w:val="0064590B"/>
    <w:rsid w:val="00645AB2"/>
    <w:rsid w:val="00645C6D"/>
    <w:rsid w:val="00645E65"/>
    <w:rsid w:val="00645EAA"/>
    <w:rsid w:val="006460F0"/>
    <w:rsid w:val="00646828"/>
    <w:rsid w:val="00646B0C"/>
    <w:rsid w:val="00646B5B"/>
    <w:rsid w:val="00646EDF"/>
    <w:rsid w:val="006470B2"/>
    <w:rsid w:val="00647201"/>
    <w:rsid w:val="006472A9"/>
    <w:rsid w:val="006472D6"/>
    <w:rsid w:val="0064740F"/>
    <w:rsid w:val="006475D8"/>
    <w:rsid w:val="006476AF"/>
    <w:rsid w:val="006476E8"/>
    <w:rsid w:val="00647705"/>
    <w:rsid w:val="00647A8B"/>
    <w:rsid w:val="00647BC9"/>
    <w:rsid w:val="00647C44"/>
    <w:rsid w:val="00647D24"/>
    <w:rsid w:val="00650A9D"/>
    <w:rsid w:val="00650B85"/>
    <w:rsid w:val="00650BC5"/>
    <w:rsid w:val="00650BEC"/>
    <w:rsid w:val="00650C55"/>
    <w:rsid w:val="00650DD9"/>
    <w:rsid w:val="0065106F"/>
    <w:rsid w:val="0065108C"/>
    <w:rsid w:val="00651215"/>
    <w:rsid w:val="006512ED"/>
    <w:rsid w:val="00651530"/>
    <w:rsid w:val="00651562"/>
    <w:rsid w:val="00651582"/>
    <w:rsid w:val="006515F0"/>
    <w:rsid w:val="00651782"/>
    <w:rsid w:val="00651815"/>
    <w:rsid w:val="0065183F"/>
    <w:rsid w:val="006518BE"/>
    <w:rsid w:val="00651F52"/>
    <w:rsid w:val="00652172"/>
    <w:rsid w:val="0065218F"/>
    <w:rsid w:val="00652B3F"/>
    <w:rsid w:val="00652BA1"/>
    <w:rsid w:val="00652BD4"/>
    <w:rsid w:val="00652CCB"/>
    <w:rsid w:val="00652DE7"/>
    <w:rsid w:val="00652E06"/>
    <w:rsid w:val="00652EDF"/>
    <w:rsid w:val="006531CF"/>
    <w:rsid w:val="006531DC"/>
    <w:rsid w:val="0065366E"/>
    <w:rsid w:val="00653836"/>
    <w:rsid w:val="00653CC8"/>
    <w:rsid w:val="00653F99"/>
    <w:rsid w:val="0065417F"/>
    <w:rsid w:val="006545F7"/>
    <w:rsid w:val="006546FE"/>
    <w:rsid w:val="0065477E"/>
    <w:rsid w:val="00654A24"/>
    <w:rsid w:val="00654A27"/>
    <w:rsid w:val="00654D94"/>
    <w:rsid w:val="00654EFE"/>
    <w:rsid w:val="00654FB4"/>
    <w:rsid w:val="0065515E"/>
    <w:rsid w:val="006552B5"/>
    <w:rsid w:val="006553AC"/>
    <w:rsid w:val="0065545E"/>
    <w:rsid w:val="0065546E"/>
    <w:rsid w:val="00655890"/>
    <w:rsid w:val="0065595E"/>
    <w:rsid w:val="00655A3C"/>
    <w:rsid w:val="00655C23"/>
    <w:rsid w:val="00655EEA"/>
    <w:rsid w:val="0065601D"/>
    <w:rsid w:val="0065607A"/>
    <w:rsid w:val="00656198"/>
    <w:rsid w:val="006563BB"/>
    <w:rsid w:val="00656721"/>
    <w:rsid w:val="00656F22"/>
    <w:rsid w:val="00657005"/>
    <w:rsid w:val="006570A2"/>
    <w:rsid w:val="006576BB"/>
    <w:rsid w:val="00657861"/>
    <w:rsid w:val="00657A1A"/>
    <w:rsid w:val="00657A9C"/>
    <w:rsid w:val="00657F31"/>
    <w:rsid w:val="006601CB"/>
    <w:rsid w:val="006604EA"/>
    <w:rsid w:val="0066053A"/>
    <w:rsid w:val="00660965"/>
    <w:rsid w:val="006609C6"/>
    <w:rsid w:val="00660BEB"/>
    <w:rsid w:val="00660D9D"/>
    <w:rsid w:val="00660DC6"/>
    <w:rsid w:val="0066108F"/>
    <w:rsid w:val="0066183B"/>
    <w:rsid w:val="0066190F"/>
    <w:rsid w:val="00661D3D"/>
    <w:rsid w:val="00662304"/>
    <w:rsid w:val="00662450"/>
    <w:rsid w:val="006625CF"/>
    <w:rsid w:val="006628A1"/>
    <w:rsid w:val="00662B77"/>
    <w:rsid w:val="00662B8F"/>
    <w:rsid w:val="00662BBA"/>
    <w:rsid w:val="00662D79"/>
    <w:rsid w:val="00662E32"/>
    <w:rsid w:val="00662FF8"/>
    <w:rsid w:val="0066303C"/>
    <w:rsid w:val="0066312E"/>
    <w:rsid w:val="00663295"/>
    <w:rsid w:val="0066333D"/>
    <w:rsid w:val="006636B4"/>
    <w:rsid w:val="006637B0"/>
    <w:rsid w:val="00663A25"/>
    <w:rsid w:val="00663B46"/>
    <w:rsid w:val="00663BBC"/>
    <w:rsid w:val="00663C74"/>
    <w:rsid w:val="00663CD7"/>
    <w:rsid w:val="00663F27"/>
    <w:rsid w:val="006641AC"/>
    <w:rsid w:val="0066436A"/>
    <w:rsid w:val="0066454C"/>
    <w:rsid w:val="00664628"/>
    <w:rsid w:val="00664A34"/>
    <w:rsid w:val="00664AA3"/>
    <w:rsid w:val="00664C2C"/>
    <w:rsid w:val="00664DF3"/>
    <w:rsid w:val="00664F93"/>
    <w:rsid w:val="00664FFA"/>
    <w:rsid w:val="0066527A"/>
    <w:rsid w:val="006653F3"/>
    <w:rsid w:val="00665431"/>
    <w:rsid w:val="0066555D"/>
    <w:rsid w:val="00665688"/>
    <w:rsid w:val="00665779"/>
    <w:rsid w:val="0066594E"/>
    <w:rsid w:val="006659C9"/>
    <w:rsid w:val="006659D7"/>
    <w:rsid w:val="00665C25"/>
    <w:rsid w:val="00665DD1"/>
    <w:rsid w:val="00665E9C"/>
    <w:rsid w:val="00665FDC"/>
    <w:rsid w:val="00666014"/>
    <w:rsid w:val="0066627A"/>
    <w:rsid w:val="006664CE"/>
    <w:rsid w:val="006665C6"/>
    <w:rsid w:val="00666604"/>
    <w:rsid w:val="00666B32"/>
    <w:rsid w:val="00666C09"/>
    <w:rsid w:val="0066732D"/>
    <w:rsid w:val="006673ED"/>
    <w:rsid w:val="006674FB"/>
    <w:rsid w:val="00667523"/>
    <w:rsid w:val="0066756E"/>
    <w:rsid w:val="00667685"/>
    <w:rsid w:val="00667B17"/>
    <w:rsid w:val="00667E8E"/>
    <w:rsid w:val="00667FD2"/>
    <w:rsid w:val="00670186"/>
    <w:rsid w:val="00670610"/>
    <w:rsid w:val="00670750"/>
    <w:rsid w:val="0067078C"/>
    <w:rsid w:val="00670792"/>
    <w:rsid w:val="0067095C"/>
    <w:rsid w:val="00671077"/>
    <w:rsid w:val="00671665"/>
    <w:rsid w:val="006716F6"/>
    <w:rsid w:val="0067199A"/>
    <w:rsid w:val="00671ACB"/>
    <w:rsid w:val="00671BF8"/>
    <w:rsid w:val="006720EC"/>
    <w:rsid w:val="00672133"/>
    <w:rsid w:val="006723B4"/>
    <w:rsid w:val="006724BF"/>
    <w:rsid w:val="00672784"/>
    <w:rsid w:val="006727FC"/>
    <w:rsid w:val="00672847"/>
    <w:rsid w:val="006728B7"/>
    <w:rsid w:val="00672C2E"/>
    <w:rsid w:val="00672C39"/>
    <w:rsid w:val="00672EF3"/>
    <w:rsid w:val="00672F56"/>
    <w:rsid w:val="006736BB"/>
    <w:rsid w:val="006737BC"/>
    <w:rsid w:val="006737FC"/>
    <w:rsid w:val="00673A3D"/>
    <w:rsid w:val="00673B7C"/>
    <w:rsid w:val="00673C13"/>
    <w:rsid w:val="00673C16"/>
    <w:rsid w:val="00673E6A"/>
    <w:rsid w:val="00673E8C"/>
    <w:rsid w:val="00673EFF"/>
    <w:rsid w:val="00673FA2"/>
    <w:rsid w:val="00674162"/>
    <w:rsid w:val="00674211"/>
    <w:rsid w:val="00674346"/>
    <w:rsid w:val="0067435D"/>
    <w:rsid w:val="0067451D"/>
    <w:rsid w:val="006747D3"/>
    <w:rsid w:val="00674AAA"/>
    <w:rsid w:val="00674B22"/>
    <w:rsid w:val="00674B2F"/>
    <w:rsid w:val="00674B55"/>
    <w:rsid w:val="00675198"/>
    <w:rsid w:val="00675209"/>
    <w:rsid w:val="006752C3"/>
    <w:rsid w:val="00675419"/>
    <w:rsid w:val="006756B4"/>
    <w:rsid w:val="00675762"/>
    <w:rsid w:val="00675A9E"/>
    <w:rsid w:val="00675AE6"/>
    <w:rsid w:val="00675B36"/>
    <w:rsid w:val="00675B51"/>
    <w:rsid w:val="00675BA4"/>
    <w:rsid w:val="00675BAA"/>
    <w:rsid w:val="00675D55"/>
    <w:rsid w:val="00675ED9"/>
    <w:rsid w:val="0067608C"/>
    <w:rsid w:val="0067614A"/>
    <w:rsid w:val="006763EC"/>
    <w:rsid w:val="006765AE"/>
    <w:rsid w:val="00676753"/>
    <w:rsid w:val="00676785"/>
    <w:rsid w:val="006767B2"/>
    <w:rsid w:val="00676AFF"/>
    <w:rsid w:val="00676F06"/>
    <w:rsid w:val="00676F46"/>
    <w:rsid w:val="0067718C"/>
    <w:rsid w:val="00677361"/>
    <w:rsid w:val="006776B0"/>
    <w:rsid w:val="0067774B"/>
    <w:rsid w:val="006777DA"/>
    <w:rsid w:val="006778A5"/>
    <w:rsid w:val="00677CCB"/>
    <w:rsid w:val="00677CFD"/>
    <w:rsid w:val="00677E57"/>
    <w:rsid w:val="00677F63"/>
    <w:rsid w:val="0068019E"/>
    <w:rsid w:val="0068037A"/>
    <w:rsid w:val="0068095C"/>
    <w:rsid w:val="00680A32"/>
    <w:rsid w:val="00680AE6"/>
    <w:rsid w:val="00680BAA"/>
    <w:rsid w:val="00680C65"/>
    <w:rsid w:val="00680C74"/>
    <w:rsid w:val="00680CE0"/>
    <w:rsid w:val="006810A8"/>
    <w:rsid w:val="006811B3"/>
    <w:rsid w:val="0068142C"/>
    <w:rsid w:val="006815F9"/>
    <w:rsid w:val="006816EE"/>
    <w:rsid w:val="0068197C"/>
    <w:rsid w:val="00681B0B"/>
    <w:rsid w:val="00681B9E"/>
    <w:rsid w:val="00681BEF"/>
    <w:rsid w:val="00681D1E"/>
    <w:rsid w:val="006823C7"/>
    <w:rsid w:val="00682563"/>
    <w:rsid w:val="006827E4"/>
    <w:rsid w:val="00682E19"/>
    <w:rsid w:val="00683400"/>
    <w:rsid w:val="0068364C"/>
    <w:rsid w:val="00683765"/>
    <w:rsid w:val="00683874"/>
    <w:rsid w:val="006838E9"/>
    <w:rsid w:val="00683929"/>
    <w:rsid w:val="0068392C"/>
    <w:rsid w:val="00683A87"/>
    <w:rsid w:val="00683B87"/>
    <w:rsid w:val="00683CDA"/>
    <w:rsid w:val="00683E6A"/>
    <w:rsid w:val="00683F4D"/>
    <w:rsid w:val="006840CA"/>
    <w:rsid w:val="006845EE"/>
    <w:rsid w:val="00684869"/>
    <w:rsid w:val="006849CF"/>
    <w:rsid w:val="00684D8B"/>
    <w:rsid w:val="00684DA0"/>
    <w:rsid w:val="00685020"/>
    <w:rsid w:val="0068503D"/>
    <w:rsid w:val="006850BC"/>
    <w:rsid w:val="00685267"/>
    <w:rsid w:val="00685669"/>
    <w:rsid w:val="00685A20"/>
    <w:rsid w:val="00685B64"/>
    <w:rsid w:val="00685B8A"/>
    <w:rsid w:val="006861C4"/>
    <w:rsid w:val="006864F7"/>
    <w:rsid w:val="006865D9"/>
    <w:rsid w:val="006866A3"/>
    <w:rsid w:val="0068676D"/>
    <w:rsid w:val="00686A1D"/>
    <w:rsid w:val="00686AC6"/>
    <w:rsid w:val="00686B75"/>
    <w:rsid w:val="00686B97"/>
    <w:rsid w:val="00686C49"/>
    <w:rsid w:val="00687041"/>
    <w:rsid w:val="006874F5"/>
    <w:rsid w:val="00687ACA"/>
    <w:rsid w:val="00687D15"/>
    <w:rsid w:val="00687E9F"/>
    <w:rsid w:val="00690009"/>
    <w:rsid w:val="00690745"/>
    <w:rsid w:val="0069080D"/>
    <w:rsid w:val="00690A5F"/>
    <w:rsid w:val="00690A75"/>
    <w:rsid w:val="00690B8F"/>
    <w:rsid w:val="00690ECD"/>
    <w:rsid w:val="006910ED"/>
    <w:rsid w:val="0069125B"/>
    <w:rsid w:val="006912DC"/>
    <w:rsid w:val="006913D6"/>
    <w:rsid w:val="00691623"/>
    <w:rsid w:val="0069165F"/>
    <w:rsid w:val="006919C1"/>
    <w:rsid w:val="0069209A"/>
    <w:rsid w:val="00692429"/>
    <w:rsid w:val="00692482"/>
    <w:rsid w:val="00692567"/>
    <w:rsid w:val="00692A4B"/>
    <w:rsid w:val="00692D07"/>
    <w:rsid w:val="00692E4E"/>
    <w:rsid w:val="006932A6"/>
    <w:rsid w:val="006934DD"/>
    <w:rsid w:val="00693864"/>
    <w:rsid w:val="00693955"/>
    <w:rsid w:val="006939C3"/>
    <w:rsid w:val="00693A21"/>
    <w:rsid w:val="00693AF0"/>
    <w:rsid w:val="00693B44"/>
    <w:rsid w:val="00693B72"/>
    <w:rsid w:val="00693B94"/>
    <w:rsid w:val="00693C10"/>
    <w:rsid w:val="00694110"/>
    <w:rsid w:val="00694526"/>
    <w:rsid w:val="0069472C"/>
    <w:rsid w:val="006948E9"/>
    <w:rsid w:val="0069498C"/>
    <w:rsid w:val="00694CF8"/>
    <w:rsid w:val="00694FFC"/>
    <w:rsid w:val="006954DD"/>
    <w:rsid w:val="0069567D"/>
    <w:rsid w:val="0069572E"/>
    <w:rsid w:val="006957B8"/>
    <w:rsid w:val="00695928"/>
    <w:rsid w:val="00695A6D"/>
    <w:rsid w:val="00695CD6"/>
    <w:rsid w:val="00695E76"/>
    <w:rsid w:val="00695F98"/>
    <w:rsid w:val="00695F9A"/>
    <w:rsid w:val="00696102"/>
    <w:rsid w:val="00696146"/>
    <w:rsid w:val="006962AA"/>
    <w:rsid w:val="006962EC"/>
    <w:rsid w:val="0069631E"/>
    <w:rsid w:val="006963AB"/>
    <w:rsid w:val="0069657E"/>
    <w:rsid w:val="0069659E"/>
    <w:rsid w:val="00696662"/>
    <w:rsid w:val="0069672B"/>
    <w:rsid w:val="00696951"/>
    <w:rsid w:val="00696BBB"/>
    <w:rsid w:val="006970D9"/>
    <w:rsid w:val="006974AA"/>
    <w:rsid w:val="006974DE"/>
    <w:rsid w:val="0069753F"/>
    <w:rsid w:val="00697956"/>
    <w:rsid w:val="00697B52"/>
    <w:rsid w:val="00697C0C"/>
    <w:rsid w:val="00697F2A"/>
    <w:rsid w:val="006A0317"/>
    <w:rsid w:val="006A03C9"/>
    <w:rsid w:val="006A03FA"/>
    <w:rsid w:val="006A05CC"/>
    <w:rsid w:val="006A0663"/>
    <w:rsid w:val="006A0A04"/>
    <w:rsid w:val="006A0EBD"/>
    <w:rsid w:val="006A11EF"/>
    <w:rsid w:val="006A1237"/>
    <w:rsid w:val="006A1380"/>
    <w:rsid w:val="006A1420"/>
    <w:rsid w:val="006A1558"/>
    <w:rsid w:val="006A1636"/>
    <w:rsid w:val="006A17A8"/>
    <w:rsid w:val="006A1AFB"/>
    <w:rsid w:val="006A1B68"/>
    <w:rsid w:val="006A1CC8"/>
    <w:rsid w:val="006A1DC8"/>
    <w:rsid w:val="006A2189"/>
    <w:rsid w:val="006A2605"/>
    <w:rsid w:val="006A2718"/>
    <w:rsid w:val="006A285D"/>
    <w:rsid w:val="006A28C3"/>
    <w:rsid w:val="006A2AE5"/>
    <w:rsid w:val="006A2B0E"/>
    <w:rsid w:val="006A2C19"/>
    <w:rsid w:val="006A2D3A"/>
    <w:rsid w:val="006A2E0D"/>
    <w:rsid w:val="006A31A5"/>
    <w:rsid w:val="006A3420"/>
    <w:rsid w:val="006A3560"/>
    <w:rsid w:val="006A36D3"/>
    <w:rsid w:val="006A3773"/>
    <w:rsid w:val="006A3DBA"/>
    <w:rsid w:val="006A3ED1"/>
    <w:rsid w:val="006A447A"/>
    <w:rsid w:val="006A4571"/>
    <w:rsid w:val="006A4852"/>
    <w:rsid w:val="006A499D"/>
    <w:rsid w:val="006A4E69"/>
    <w:rsid w:val="006A4FEA"/>
    <w:rsid w:val="006A5024"/>
    <w:rsid w:val="006A509F"/>
    <w:rsid w:val="006A5358"/>
    <w:rsid w:val="006A57CC"/>
    <w:rsid w:val="006A5AB2"/>
    <w:rsid w:val="006A5B2B"/>
    <w:rsid w:val="006A5D21"/>
    <w:rsid w:val="006A63DC"/>
    <w:rsid w:val="006A648C"/>
    <w:rsid w:val="006A65DA"/>
    <w:rsid w:val="006A66DB"/>
    <w:rsid w:val="006A68DF"/>
    <w:rsid w:val="006A68F2"/>
    <w:rsid w:val="006A6924"/>
    <w:rsid w:val="006A6B28"/>
    <w:rsid w:val="006A6DF8"/>
    <w:rsid w:val="006A6F24"/>
    <w:rsid w:val="006A7087"/>
    <w:rsid w:val="006A7146"/>
    <w:rsid w:val="006A716D"/>
    <w:rsid w:val="006A7195"/>
    <w:rsid w:val="006A7309"/>
    <w:rsid w:val="006A7568"/>
    <w:rsid w:val="006A79D9"/>
    <w:rsid w:val="006A7BE6"/>
    <w:rsid w:val="006A7DF8"/>
    <w:rsid w:val="006B02AB"/>
    <w:rsid w:val="006B0311"/>
    <w:rsid w:val="006B05C3"/>
    <w:rsid w:val="006B05D6"/>
    <w:rsid w:val="006B0838"/>
    <w:rsid w:val="006B0A26"/>
    <w:rsid w:val="006B0B8D"/>
    <w:rsid w:val="006B0B9E"/>
    <w:rsid w:val="006B0BBA"/>
    <w:rsid w:val="006B0CD1"/>
    <w:rsid w:val="006B0DB3"/>
    <w:rsid w:val="006B10F4"/>
    <w:rsid w:val="006B10F9"/>
    <w:rsid w:val="006B17EA"/>
    <w:rsid w:val="006B212E"/>
    <w:rsid w:val="006B22D2"/>
    <w:rsid w:val="006B242B"/>
    <w:rsid w:val="006B27C0"/>
    <w:rsid w:val="006B28D1"/>
    <w:rsid w:val="006B28E1"/>
    <w:rsid w:val="006B2EA3"/>
    <w:rsid w:val="006B2F1C"/>
    <w:rsid w:val="006B3128"/>
    <w:rsid w:val="006B3141"/>
    <w:rsid w:val="006B317E"/>
    <w:rsid w:val="006B3552"/>
    <w:rsid w:val="006B367D"/>
    <w:rsid w:val="006B368F"/>
    <w:rsid w:val="006B3690"/>
    <w:rsid w:val="006B3967"/>
    <w:rsid w:val="006B3BB9"/>
    <w:rsid w:val="006B3C90"/>
    <w:rsid w:val="006B3D9C"/>
    <w:rsid w:val="006B3E29"/>
    <w:rsid w:val="006B3E7F"/>
    <w:rsid w:val="006B4344"/>
    <w:rsid w:val="006B43C1"/>
    <w:rsid w:val="006B43C5"/>
    <w:rsid w:val="006B43CE"/>
    <w:rsid w:val="006B47C5"/>
    <w:rsid w:val="006B4A51"/>
    <w:rsid w:val="006B4AC3"/>
    <w:rsid w:val="006B4AE5"/>
    <w:rsid w:val="006B4B6A"/>
    <w:rsid w:val="006B4CF8"/>
    <w:rsid w:val="006B4D0A"/>
    <w:rsid w:val="006B5109"/>
    <w:rsid w:val="006B5324"/>
    <w:rsid w:val="006B5326"/>
    <w:rsid w:val="006B54B5"/>
    <w:rsid w:val="006B59F1"/>
    <w:rsid w:val="006B5AD6"/>
    <w:rsid w:val="006B5C65"/>
    <w:rsid w:val="006B5DE6"/>
    <w:rsid w:val="006B642B"/>
    <w:rsid w:val="006B65CF"/>
    <w:rsid w:val="006B6618"/>
    <w:rsid w:val="006B684F"/>
    <w:rsid w:val="006B69CA"/>
    <w:rsid w:val="006B6CEE"/>
    <w:rsid w:val="006B7161"/>
    <w:rsid w:val="006B780A"/>
    <w:rsid w:val="006B793B"/>
    <w:rsid w:val="006B7C81"/>
    <w:rsid w:val="006B7CE2"/>
    <w:rsid w:val="006B7D14"/>
    <w:rsid w:val="006B7E20"/>
    <w:rsid w:val="006C0324"/>
    <w:rsid w:val="006C0466"/>
    <w:rsid w:val="006C052F"/>
    <w:rsid w:val="006C0CB7"/>
    <w:rsid w:val="006C10EA"/>
    <w:rsid w:val="006C1196"/>
    <w:rsid w:val="006C1615"/>
    <w:rsid w:val="006C1BD2"/>
    <w:rsid w:val="006C1F9C"/>
    <w:rsid w:val="006C2144"/>
    <w:rsid w:val="006C21CF"/>
    <w:rsid w:val="006C22A8"/>
    <w:rsid w:val="006C230B"/>
    <w:rsid w:val="006C235B"/>
    <w:rsid w:val="006C239D"/>
    <w:rsid w:val="006C245D"/>
    <w:rsid w:val="006C2728"/>
    <w:rsid w:val="006C290D"/>
    <w:rsid w:val="006C29B2"/>
    <w:rsid w:val="006C29FB"/>
    <w:rsid w:val="006C2B18"/>
    <w:rsid w:val="006C2C8D"/>
    <w:rsid w:val="006C2DB4"/>
    <w:rsid w:val="006C3094"/>
    <w:rsid w:val="006C3105"/>
    <w:rsid w:val="006C311A"/>
    <w:rsid w:val="006C31A3"/>
    <w:rsid w:val="006C36EE"/>
    <w:rsid w:val="006C370C"/>
    <w:rsid w:val="006C3756"/>
    <w:rsid w:val="006C39E4"/>
    <w:rsid w:val="006C3BD1"/>
    <w:rsid w:val="006C3E68"/>
    <w:rsid w:val="006C434D"/>
    <w:rsid w:val="006C45A5"/>
    <w:rsid w:val="006C47F3"/>
    <w:rsid w:val="006C490A"/>
    <w:rsid w:val="006C4934"/>
    <w:rsid w:val="006C517D"/>
    <w:rsid w:val="006C5183"/>
    <w:rsid w:val="006C51AF"/>
    <w:rsid w:val="006C5385"/>
    <w:rsid w:val="006C54AA"/>
    <w:rsid w:val="006C55F0"/>
    <w:rsid w:val="006C581E"/>
    <w:rsid w:val="006C5B64"/>
    <w:rsid w:val="006C6264"/>
    <w:rsid w:val="006C6321"/>
    <w:rsid w:val="006C639C"/>
    <w:rsid w:val="006C6441"/>
    <w:rsid w:val="006C657A"/>
    <w:rsid w:val="006C65F2"/>
    <w:rsid w:val="006C6683"/>
    <w:rsid w:val="006C6777"/>
    <w:rsid w:val="006C6836"/>
    <w:rsid w:val="006C6A09"/>
    <w:rsid w:val="006C6B24"/>
    <w:rsid w:val="006C6C1B"/>
    <w:rsid w:val="006C720A"/>
    <w:rsid w:val="006C7477"/>
    <w:rsid w:val="006C753D"/>
    <w:rsid w:val="006C76ED"/>
    <w:rsid w:val="006C78D7"/>
    <w:rsid w:val="006C7955"/>
    <w:rsid w:val="006C7E1D"/>
    <w:rsid w:val="006D0447"/>
    <w:rsid w:val="006D05AA"/>
    <w:rsid w:val="006D0619"/>
    <w:rsid w:val="006D0A5D"/>
    <w:rsid w:val="006D0B8D"/>
    <w:rsid w:val="006D0C8E"/>
    <w:rsid w:val="006D0CDD"/>
    <w:rsid w:val="006D0DD5"/>
    <w:rsid w:val="006D0EB8"/>
    <w:rsid w:val="006D0ECC"/>
    <w:rsid w:val="006D105E"/>
    <w:rsid w:val="006D11C2"/>
    <w:rsid w:val="006D1A26"/>
    <w:rsid w:val="006D1CB2"/>
    <w:rsid w:val="006D1E56"/>
    <w:rsid w:val="006D1EEB"/>
    <w:rsid w:val="006D24D0"/>
    <w:rsid w:val="006D2638"/>
    <w:rsid w:val="006D2AF1"/>
    <w:rsid w:val="006D2F2B"/>
    <w:rsid w:val="006D311E"/>
    <w:rsid w:val="006D319D"/>
    <w:rsid w:val="006D3243"/>
    <w:rsid w:val="006D3249"/>
    <w:rsid w:val="006D3336"/>
    <w:rsid w:val="006D34C3"/>
    <w:rsid w:val="006D3653"/>
    <w:rsid w:val="006D3A35"/>
    <w:rsid w:val="006D3D20"/>
    <w:rsid w:val="006D4211"/>
    <w:rsid w:val="006D4342"/>
    <w:rsid w:val="006D4502"/>
    <w:rsid w:val="006D4769"/>
    <w:rsid w:val="006D4A95"/>
    <w:rsid w:val="006D4E08"/>
    <w:rsid w:val="006D4E84"/>
    <w:rsid w:val="006D5044"/>
    <w:rsid w:val="006D511E"/>
    <w:rsid w:val="006D56C9"/>
    <w:rsid w:val="006D5710"/>
    <w:rsid w:val="006D59ED"/>
    <w:rsid w:val="006D5AB0"/>
    <w:rsid w:val="006D5C0C"/>
    <w:rsid w:val="006D5C3D"/>
    <w:rsid w:val="006D5E46"/>
    <w:rsid w:val="006D5FBF"/>
    <w:rsid w:val="006D6047"/>
    <w:rsid w:val="006D622A"/>
    <w:rsid w:val="006D671D"/>
    <w:rsid w:val="006D67BB"/>
    <w:rsid w:val="006D6A7A"/>
    <w:rsid w:val="006D6F49"/>
    <w:rsid w:val="006D707C"/>
    <w:rsid w:val="006D70E2"/>
    <w:rsid w:val="006D7178"/>
    <w:rsid w:val="006D7531"/>
    <w:rsid w:val="006D7845"/>
    <w:rsid w:val="006D79A1"/>
    <w:rsid w:val="006D7A2D"/>
    <w:rsid w:val="006E029B"/>
    <w:rsid w:val="006E030A"/>
    <w:rsid w:val="006E066B"/>
    <w:rsid w:val="006E06E6"/>
    <w:rsid w:val="006E099D"/>
    <w:rsid w:val="006E0CA8"/>
    <w:rsid w:val="006E0DB4"/>
    <w:rsid w:val="006E136C"/>
    <w:rsid w:val="006E14E2"/>
    <w:rsid w:val="006E16D0"/>
    <w:rsid w:val="006E16DC"/>
    <w:rsid w:val="006E179A"/>
    <w:rsid w:val="006E18B3"/>
    <w:rsid w:val="006E1905"/>
    <w:rsid w:val="006E1A69"/>
    <w:rsid w:val="006E1AE0"/>
    <w:rsid w:val="006E1DFC"/>
    <w:rsid w:val="006E237E"/>
    <w:rsid w:val="006E26EF"/>
    <w:rsid w:val="006E2717"/>
    <w:rsid w:val="006E2CE3"/>
    <w:rsid w:val="006E31A1"/>
    <w:rsid w:val="006E3403"/>
    <w:rsid w:val="006E34C5"/>
    <w:rsid w:val="006E3599"/>
    <w:rsid w:val="006E359F"/>
    <w:rsid w:val="006E3620"/>
    <w:rsid w:val="006E3B5D"/>
    <w:rsid w:val="006E3BB5"/>
    <w:rsid w:val="006E3BD3"/>
    <w:rsid w:val="006E3DBE"/>
    <w:rsid w:val="006E3E84"/>
    <w:rsid w:val="006E3F3B"/>
    <w:rsid w:val="006E3F9C"/>
    <w:rsid w:val="006E415F"/>
    <w:rsid w:val="006E4194"/>
    <w:rsid w:val="006E41B2"/>
    <w:rsid w:val="006E428B"/>
    <w:rsid w:val="006E42D0"/>
    <w:rsid w:val="006E440E"/>
    <w:rsid w:val="006E459E"/>
    <w:rsid w:val="006E4991"/>
    <w:rsid w:val="006E49EC"/>
    <w:rsid w:val="006E4A83"/>
    <w:rsid w:val="006E5100"/>
    <w:rsid w:val="006E55D4"/>
    <w:rsid w:val="006E569F"/>
    <w:rsid w:val="006E5824"/>
    <w:rsid w:val="006E5B34"/>
    <w:rsid w:val="006E5DC1"/>
    <w:rsid w:val="006E5E17"/>
    <w:rsid w:val="006E5E5F"/>
    <w:rsid w:val="006E602E"/>
    <w:rsid w:val="006E61AB"/>
    <w:rsid w:val="006E62F0"/>
    <w:rsid w:val="006E673C"/>
    <w:rsid w:val="006E67BD"/>
    <w:rsid w:val="006E6FFB"/>
    <w:rsid w:val="006E74D4"/>
    <w:rsid w:val="006E7543"/>
    <w:rsid w:val="006E7758"/>
    <w:rsid w:val="006E7768"/>
    <w:rsid w:val="006E777E"/>
    <w:rsid w:val="006E792E"/>
    <w:rsid w:val="006E7A4B"/>
    <w:rsid w:val="006E7B28"/>
    <w:rsid w:val="006E7B2C"/>
    <w:rsid w:val="006E7DC1"/>
    <w:rsid w:val="006F01FD"/>
    <w:rsid w:val="006F0301"/>
    <w:rsid w:val="006F0367"/>
    <w:rsid w:val="006F0525"/>
    <w:rsid w:val="006F05A0"/>
    <w:rsid w:val="006F05F2"/>
    <w:rsid w:val="006F08F9"/>
    <w:rsid w:val="006F0951"/>
    <w:rsid w:val="006F0B92"/>
    <w:rsid w:val="006F0EB1"/>
    <w:rsid w:val="006F0EE8"/>
    <w:rsid w:val="006F0FA0"/>
    <w:rsid w:val="006F1009"/>
    <w:rsid w:val="006F15CC"/>
    <w:rsid w:val="006F1913"/>
    <w:rsid w:val="006F1F18"/>
    <w:rsid w:val="006F266B"/>
    <w:rsid w:val="006F27E4"/>
    <w:rsid w:val="006F2A2B"/>
    <w:rsid w:val="006F2A87"/>
    <w:rsid w:val="006F2AE6"/>
    <w:rsid w:val="006F2C50"/>
    <w:rsid w:val="006F2CDA"/>
    <w:rsid w:val="006F2D50"/>
    <w:rsid w:val="006F3064"/>
    <w:rsid w:val="006F33FB"/>
    <w:rsid w:val="006F37C6"/>
    <w:rsid w:val="006F3842"/>
    <w:rsid w:val="006F3872"/>
    <w:rsid w:val="006F3B7C"/>
    <w:rsid w:val="006F3D2B"/>
    <w:rsid w:val="006F3F96"/>
    <w:rsid w:val="006F4507"/>
    <w:rsid w:val="006F455C"/>
    <w:rsid w:val="006F461F"/>
    <w:rsid w:val="006F47C1"/>
    <w:rsid w:val="006F4957"/>
    <w:rsid w:val="006F4B41"/>
    <w:rsid w:val="006F4C5A"/>
    <w:rsid w:val="006F5151"/>
    <w:rsid w:val="006F5339"/>
    <w:rsid w:val="006F55C0"/>
    <w:rsid w:val="006F5621"/>
    <w:rsid w:val="006F5636"/>
    <w:rsid w:val="006F574A"/>
    <w:rsid w:val="006F59E1"/>
    <w:rsid w:val="006F5E52"/>
    <w:rsid w:val="006F5E82"/>
    <w:rsid w:val="006F5E9F"/>
    <w:rsid w:val="006F5F2A"/>
    <w:rsid w:val="006F647B"/>
    <w:rsid w:val="006F64C2"/>
    <w:rsid w:val="006F655E"/>
    <w:rsid w:val="006F6660"/>
    <w:rsid w:val="006F6797"/>
    <w:rsid w:val="006F69BF"/>
    <w:rsid w:val="006F6E54"/>
    <w:rsid w:val="006F6F0F"/>
    <w:rsid w:val="006F7331"/>
    <w:rsid w:val="006F75B1"/>
    <w:rsid w:val="006F78E3"/>
    <w:rsid w:val="006F7B57"/>
    <w:rsid w:val="006F7C6B"/>
    <w:rsid w:val="006F7F2A"/>
    <w:rsid w:val="006F7FE4"/>
    <w:rsid w:val="00700527"/>
    <w:rsid w:val="007006A4"/>
    <w:rsid w:val="007006FC"/>
    <w:rsid w:val="007009B4"/>
    <w:rsid w:val="00700A73"/>
    <w:rsid w:val="00700BE4"/>
    <w:rsid w:val="00700BFE"/>
    <w:rsid w:val="00700C01"/>
    <w:rsid w:val="00700C3F"/>
    <w:rsid w:val="00700D37"/>
    <w:rsid w:val="00700DA1"/>
    <w:rsid w:val="00700F0B"/>
    <w:rsid w:val="00701012"/>
    <w:rsid w:val="007016DF"/>
    <w:rsid w:val="007016EB"/>
    <w:rsid w:val="007017CF"/>
    <w:rsid w:val="00701AE0"/>
    <w:rsid w:val="00701DA3"/>
    <w:rsid w:val="00701DB2"/>
    <w:rsid w:val="00702157"/>
    <w:rsid w:val="007022EF"/>
    <w:rsid w:val="007026B8"/>
    <w:rsid w:val="007027DF"/>
    <w:rsid w:val="007027EF"/>
    <w:rsid w:val="0070298D"/>
    <w:rsid w:val="00702B9C"/>
    <w:rsid w:val="00702CFE"/>
    <w:rsid w:val="00702D34"/>
    <w:rsid w:val="00702DD8"/>
    <w:rsid w:val="00702E19"/>
    <w:rsid w:val="00702E7D"/>
    <w:rsid w:val="00702F6C"/>
    <w:rsid w:val="0070315F"/>
    <w:rsid w:val="00703211"/>
    <w:rsid w:val="00703798"/>
    <w:rsid w:val="00703868"/>
    <w:rsid w:val="007039FC"/>
    <w:rsid w:val="00703A70"/>
    <w:rsid w:val="00703C99"/>
    <w:rsid w:val="00703D00"/>
    <w:rsid w:val="00703FDD"/>
    <w:rsid w:val="00704036"/>
    <w:rsid w:val="007040D1"/>
    <w:rsid w:val="007042CF"/>
    <w:rsid w:val="0070457A"/>
    <w:rsid w:val="0070473B"/>
    <w:rsid w:val="007048BA"/>
    <w:rsid w:val="00704A88"/>
    <w:rsid w:val="0070519D"/>
    <w:rsid w:val="007052BF"/>
    <w:rsid w:val="0070539F"/>
    <w:rsid w:val="00705480"/>
    <w:rsid w:val="00705781"/>
    <w:rsid w:val="00705BAA"/>
    <w:rsid w:val="00705D3D"/>
    <w:rsid w:val="00705EFC"/>
    <w:rsid w:val="00706193"/>
    <w:rsid w:val="007061C0"/>
    <w:rsid w:val="0070654F"/>
    <w:rsid w:val="00706743"/>
    <w:rsid w:val="0070674A"/>
    <w:rsid w:val="0070686B"/>
    <w:rsid w:val="00706B0D"/>
    <w:rsid w:val="007072FB"/>
    <w:rsid w:val="007073BD"/>
    <w:rsid w:val="00707912"/>
    <w:rsid w:val="00707D67"/>
    <w:rsid w:val="00707E17"/>
    <w:rsid w:val="00707F85"/>
    <w:rsid w:val="00707FA0"/>
    <w:rsid w:val="007100B2"/>
    <w:rsid w:val="007102A2"/>
    <w:rsid w:val="007103FD"/>
    <w:rsid w:val="00710413"/>
    <w:rsid w:val="00710488"/>
    <w:rsid w:val="007104D9"/>
    <w:rsid w:val="00710BBF"/>
    <w:rsid w:val="00710C44"/>
    <w:rsid w:val="00711217"/>
    <w:rsid w:val="00711732"/>
    <w:rsid w:val="00711798"/>
    <w:rsid w:val="007119FA"/>
    <w:rsid w:val="00711E95"/>
    <w:rsid w:val="00711FFC"/>
    <w:rsid w:val="007120C6"/>
    <w:rsid w:val="0071219D"/>
    <w:rsid w:val="0071247F"/>
    <w:rsid w:val="0071255C"/>
    <w:rsid w:val="0071263F"/>
    <w:rsid w:val="0071265E"/>
    <w:rsid w:val="00712996"/>
    <w:rsid w:val="00713143"/>
    <w:rsid w:val="00713AAD"/>
    <w:rsid w:val="00713B70"/>
    <w:rsid w:val="00713C8A"/>
    <w:rsid w:val="00713F90"/>
    <w:rsid w:val="00713F9A"/>
    <w:rsid w:val="00714112"/>
    <w:rsid w:val="00714148"/>
    <w:rsid w:val="00714173"/>
    <w:rsid w:val="0071417F"/>
    <w:rsid w:val="00714305"/>
    <w:rsid w:val="00714455"/>
    <w:rsid w:val="00714494"/>
    <w:rsid w:val="00714F42"/>
    <w:rsid w:val="00714FFB"/>
    <w:rsid w:val="00715135"/>
    <w:rsid w:val="0071524A"/>
    <w:rsid w:val="0071529B"/>
    <w:rsid w:val="007153F4"/>
    <w:rsid w:val="0071544C"/>
    <w:rsid w:val="007154FD"/>
    <w:rsid w:val="0071569F"/>
    <w:rsid w:val="007158B3"/>
    <w:rsid w:val="00715D5E"/>
    <w:rsid w:val="0071602C"/>
    <w:rsid w:val="00716451"/>
    <w:rsid w:val="0071665F"/>
    <w:rsid w:val="007167C9"/>
    <w:rsid w:val="007167F2"/>
    <w:rsid w:val="007169DF"/>
    <w:rsid w:val="00716A21"/>
    <w:rsid w:val="00716AB2"/>
    <w:rsid w:val="00716AF5"/>
    <w:rsid w:val="00716B60"/>
    <w:rsid w:val="00716D30"/>
    <w:rsid w:val="00716E82"/>
    <w:rsid w:val="0071707B"/>
    <w:rsid w:val="00717585"/>
    <w:rsid w:val="0071761D"/>
    <w:rsid w:val="007176B7"/>
    <w:rsid w:val="00717875"/>
    <w:rsid w:val="00717ACD"/>
    <w:rsid w:val="00717B4E"/>
    <w:rsid w:val="00717B7F"/>
    <w:rsid w:val="00717ED6"/>
    <w:rsid w:val="00720069"/>
    <w:rsid w:val="00720232"/>
    <w:rsid w:val="0072028D"/>
    <w:rsid w:val="0072059B"/>
    <w:rsid w:val="007207BB"/>
    <w:rsid w:val="007207BC"/>
    <w:rsid w:val="007208F8"/>
    <w:rsid w:val="00720A08"/>
    <w:rsid w:val="00720D95"/>
    <w:rsid w:val="00720DCC"/>
    <w:rsid w:val="00720E7B"/>
    <w:rsid w:val="00720F2A"/>
    <w:rsid w:val="00721132"/>
    <w:rsid w:val="007211C0"/>
    <w:rsid w:val="00721201"/>
    <w:rsid w:val="007216D0"/>
    <w:rsid w:val="007218A8"/>
    <w:rsid w:val="00721A1F"/>
    <w:rsid w:val="00721AE0"/>
    <w:rsid w:val="00721B10"/>
    <w:rsid w:val="00721C45"/>
    <w:rsid w:val="00721D35"/>
    <w:rsid w:val="00721EB8"/>
    <w:rsid w:val="007221B9"/>
    <w:rsid w:val="00722263"/>
    <w:rsid w:val="0072230E"/>
    <w:rsid w:val="0072260E"/>
    <w:rsid w:val="007226C1"/>
    <w:rsid w:val="00722728"/>
    <w:rsid w:val="00722AE1"/>
    <w:rsid w:val="00722AE5"/>
    <w:rsid w:val="00722C23"/>
    <w:rsid w:val="00722CC6"/>
    <w:rsid w:val="0072394C"/>
    <w:rsid w:val="0072399D"/>
    <w:rsid w:val="00723B88"/>
    <w:rsid w:val="00723CFC"/>
    <w:rsid w:val="00723D5D"/>
    <w:rsid w:val="007240ED"/>
    <w:rsid w:val="0072431E"/>
    <w:rsid w:val="007243BF"/>
    <w:rsid w:val="0072463E"/>
    <w:rsid w:val="00724717"/>
    <w:rsid w:val="0072477D"/>
    <w:rsid w:val="007247E6"/>
    <w:rsid w:val="00724B3A"/>
    <w:rsid w:val="00724B97"/>
    <w:rsid w:val="00724DFF"/>
    <w:rsid w:val="00724E76"/>
    <w:rsid w:val="00724F47"/>
    <w:rsid w:val="00724F51"/>
    <w:rsid w:val="0072507E"/>
    <w:rsid w:val="00725308"/>
    <w:rsid w:val="00725311"/>
    <w:rsid w:val="00725353"/>
    <w:rsid w:val="0072540B"/>
    <w:rsid w:val="0072567C"/>
    <w:rsid w:val="00725710"/>
    <w:rsid w:val="00725A96"/>
    <w:rsid w:val="00725AD5"/>
    <w:rsid w:val="00725B38"/>
    <w:rsid w:val="00725EE4"/>
    <w:rsid w:val="00725F0B"/>
    <w:rsid w:val="00726345"/>
    <w:rsid w:val="00726349"/>
    <w:rsid w:val="0072635A"/>
    <w:rsid w:val="0072656E"/>
    <w:rsid w:val="007266E6"/>
    <w:rsid w:val="0072681B"/>
    <w:rsid w:val="0072684A"/>
    <w:rsid w:val="00726889"/>
    <w:rsid w:val="00726A64"/>
    <w:rsid w:val="00726AE5"/>
    <w:rsid w:val="00726BE8"/>
    <w:rsid w:val="00726C04"/>
    <w:rsid w:val="00726EF2"/>
    <w:rsid w:val="0072704B"/>
    <w:rsid w:val="0072725D"/>
    <w:rsid w:val="007274AC"/>
    <w:rsid w:val="007275A4"/>
    <w:rsid w:val="00727A78"/>
    <w:rsid w:val="00727A9A"/>
    <w:rsid w:val="00727D13"/>
    <w:rsid w:val="007300C5"/>
    <w:rsid w:val="00730178"/>
    <w:rsid w:val="00730263"/>
    <w:rsid w:val="00730390"/>
    <w:rsid w:val="007303A2"/>
    <w:rsid w:val="0073073F"/>
    <w:rsid w:val="00730906"/>
    <w:rsid w:val="00730995"/>
    <w:rsid w:val="00730A94"/>
    <w:rsid w:val="00730E71"/>
    <w:rsid w:val="00731142"/>
    <w:rsid w:val="00731467"/>
    <w:rsid w:val="00731727"/>
    <w:rsid w:val="007319E5"/>
    <w:rsid w:val="00731CE6"/>
    <w:rsid w:val="00731D6E"/>
    <w:rsid w:val="00731DAC"/>
    <w:rsid w:val="007322F6"/>
    <w:rsid w:val="0073245A"/>
    <w:rsid w:val="00732536"/>
    <w:rsid w:val="00732731"/>
    <w:rsid w:val="00732853"/>
    <w:rsid w:val="007328A8"/>
    <w:rsid w:val="00732931"/>
    <w:rsid w:val="00732AC6"/>
    <w:rsid w:val="00732B20"/>
    <w:rsid w:val="00732B45"/>
    <w:rsid w:val="00732BB9"/>
    <w:rsid w:val="00732E75"/>
    <w:rsid w:val="007331BD"/>
    <w:rsid w:val="007336B7"/>
    <w:rsid w:val="00733B0F"/>
    <w:rsid w:val="00733C04"/>
    <w:rsid w:val="00733F0F"/>
    <w:rsid w:val="0073440B"/>
    <w:rsid w:val="007344E0"/>
    <w:rsid w:val="007345AA"/>
    <w:rsid w:val="007345CA"/>
    <w:rsid w:val="00734673"/>
    <w:rsid w:val="0073468F"/>
    <w:rsid w:val="00734821"/>
    <w:rsid w:val="007348BB"/>
    <w:rsid w:val="00734937"/>
    <w:rsid w:val="00734939"/>
    <w:rsid w:val="007349D8"/>
    <w:rsid w:val="00734A76"/>
    <w:rsid w:val="00734AB9"/>
    <w:rsid w:val="00734B01"/>
    <w:rsid w:val="00734CBF"/>
    <w:rsid w:val="00734DE5"/>
    <w:rsid w:val="00734E86"/>
    <w:rsid w:val="00735043"/>
    <w:rsid w:val="0073523E"/>
    <w:rsid w:val="00735352"/>
    <w:rsid w:val="00735468"/>
    <w:rsid w:val="00735642"/>
    <w:rsid w:val="007357F1"/>
    <w:rsid w:val="00735852"/>
    <w:rsid w:val="00735955"/>
    <w:rsid w:val="00735DBD"/>
    <w:rsid w:val="0073610F"/>
    <w:rsid w:val="0073660B"/>
    <w:rsid w:val="00736A8D"/>
    <w:rsid w:val="00736D9D"/>
    <w:rsid w:val="00736E30"/>
    <w:rsid w:val="00736E32"/>
    <w:rsid w:val="00736EF0"/>
    <w:rsid w:val="00737280"/>
    <w:rsid w:val="007372DA"/>
    <w:rsid w:val="007372F0"/>
    <w:rsid w:val="0073738F"/>
    <w:rsid w:val="00737605"/>
    <w:rsid w:val="007378D1"/>
    <w:rsid w:val="00737B44"/>
    <w:rsid w:val="00737D4F"/>
    <w:rsid w:val="00737E85"/>
    <w:rsid w:val="007403FB"/>
    <w:rsid w:val="00740403"/>
    <w:rsid w:val="00740BB9"/>
    <w:rsid w:val="00740BF5"/>
    <w:rsid w:val="007410AC"/>
    <w:rsid w:val="00741119"/>
    <w:rsid w:val="007411FC"/>
    <w:rsid w:val="00741259"/>
    <w:rsid w:val="00741306"/>
    <w:rsid w:val="00741489"/>
    <w:rsid w:val="0074148D"/>
    <w:rsid w:val="007416F4"/>
    <w:rsid w:val="00741B84"/>
    <w:rsid w:val="00741E13"/>
    <w:rsid w:val="00741E8B"/>
    <w:rsid w:val="0074207F"/>
    <w:rsid w:val="00742244"/>
    <w:rsid w:val="007423DB"/>
    <w:rsid w:val="0074244B"/>
    <w:rsid w:val="00742666"/>
    <w:rsid w:val="00742A37"/>
    <w:rsid w:val="00742A96"/>
    <w:rsid w:val="00742BAA"/>
    <w:rsid w:val="00742D0C"/>
    <w:rsid w:val="00742D6B"/>
    <w:rsid w:val="00742F65"/>
    <w:rsid w:val="00743147"/>
    <w:rsid w:val="007431DB"/>
    <w:rsid w:val="00743450"/>
    <w:rsid w:val="007434C3"/>
    <w:rsid w:val="0074369D"/>
    <w:rsid w:val="00743A93"/>
    <w:rsid w:val="00743ADA"/>
    <w:rsid w:val="00743D55"/>
    <w:rsid w:val="00743F6F"/>
    <w:rsid w:val="007440E0"/>
    <w:rsid w:val="007441A2"/>
    <w:rsid w:val="007441E2"/>
    <w:rsid w:val="00744242"/>
    <w:rsid w:val="00744284"/>
    <w:rsid w:val="00744285"/>
    <w:rsid w:val="0074451F"/>
    <w:rsid w:val="00744574"/>
    <w:rsid w:val="007447DD"/>
    <w:rsid w:val="0074483D"/>
    <w:rsid w:val="00744F82"/>
    <w:rsid w:val="0074503B"/>
    <w:rsid w:val="0074504C"/>
    <w:rsid w:val="0074509C"/>
    <w:rsid w:val="007450EB"/>
    <w:rsid w:val="00745148"/>
    <w:rsid w:val="00745420"/>
    <w:rsid w:val="007454E0"/>
    <w:rsid w:val="007455FF"/>
    <w:rsid w:val="00745621"/>
    <w:rsid w:val="0074572F"/>
    <w:rsid w:val="0074595A"/>
    <w:rsid w:val="007459C0"/>
    <w:rsid w:val="00745A34"/>
    <w:rsid w:val="00745EDE"/>
    <w:rsid w:val="00746B8F"/>
    <w:rsid w:val="00746D6B"/>
    <w:rsid w:val="00746EE7"/>
    <w:rsid w:val="0074700E"/>
    <w:rsid w:val="0074702C"/>
    <w:rsid w:val="00747175"/>
    <w:rsid w:val="00747446"/>
    <w:rsid w:val="00747503"/>
    <w:rsid w:val="00747699"/>
    <w:rsid w:val="007478EA"/>
    <w:rsid w:val="00747ADA"/>
    <w:rsid w:val="00747B14"/>
    <w:rsid w:val="00747E58"/>
    <w:rsid w:val="00747F4D"/>
    <w:rsid w:val="00750730"/>
    <w:rsid w:val="007507A0"/>
    <w:rsid w:val="007509CD"/>
    <w:rsid w:val="00750A5E"/>
    <w:rsid w:val="00750C16"/>
    <w:rsid w:val="00750CA8"/>
    <w:rsid w:val="00750DE8"/>
    <w:rsid w:val="00750F83"/>
    <w:rsid w:val="007514F1"/>
    <w:rsid w:val="007515D5"/>
    <w:rsid w:val="007519D8"/>
    <w:rsid w:val="00751BA3"/>
    <w:rsid w:val="0075219A"/>
    <w:rsid w:val="007523CD"/>
    <w:rsid w:val="007523E1"/>
    <w:rsid w:val="00752607"/>
    <w:rsid w:val="007527A3"/>
    <w:rsid w:val="007527A4"/>
    <w:rsid w:val="00753413"/>
    <w:rsid w:val="00753520"/>
    <w:rsid w:val="00753B41"/>
    <w:rsid w:val="00753DCD"/>
    <w:rsid w:val="00753F4D"/>
    <w:rsid w:val="0075417C"/>
    <w:rsid w:val="00754186"/>
    <w:rsid w:val="007541FE"/>
    <w:rsid w:val="00754396"/>
    <w:rsid w:val="007544D2"/>
    <w:rsid w:val="0075454E"/>
    <w:rsid w:val="0075472C"/>
    <w:rsid w:val="00754899"/>
    <w:rsid w:val="00754A59"/>
    <w:rsid w:val="00754B4D"/>
    <w:rsid w:val="00754C19"/>
    <w:rsid w:val="00754C46"/>
    <w:rsid w:val="00754C53"/>
    <w:rsid w:val="00754F95"/>
    <w:rsid w:val="007555FB"/>
    <w:rsid w:val="0075569A"/>
    <w:rsid w:val="007559F6"/>
    <w:rsid w:val="00755C19"/>
    <w:rsid w:val="00755C2C"/>
    <w:rsid w:val="00755CF3"/>
    <w:rsid w:val="00755F6E"/>
    <w:rsid w:val="00755FE8"/>
    <w:rsid w:val="007560DF"/>
    <w:rsid w:val="0075618B"/>
    <w:rsid w:val="00756227"/>
    <w:rsid w:val="00756A2F"/>
    <w:rsid w:val="00756BA7"/>
    <w:rsid w:val="00756D73"/>
    <w:rsid w:val="00756DB2"/>
    <w:rsid w:val="00756DE1"/>
    <w:rsid w:val="00756E14"/>
    <w:rsid w:val="00756F4B"/>
    <w:rsid w:val="0075726C"/>
    <w:rsid w:val="00757546"/>
    <w:rsid w:val="007576E8"/>
    <w:rsid w:val="00757A0C"/>
    <w:rsid w:val="00757B39"/>
    <w:rsid w:val="007603D5"/>
    <w:rsid w:val="0076056D"/>
    <w:rsid w:val="0076067E"/>
    <w:rsid w:val="007606E8"/>
    <w:rsid w:val="007607B4"/>
    <w:rsid w:val="007608C7"/>
    <w:rsid w:val="00760A19"/>
    <w:rsid w:val="00760C23"/>
    <w:rsid w:val="007614ED"/>
    <w:rsid w:val="0076173E"/>
    <w:rsid w:val="0076188D"/>
    <w:rsid w:val="0076192D"/>
    <w:rsid w:val="00761A82"/>
    <w:rsid w:val="00761C74"/>
    <w:rsid w:val="00761DF5"/>
    <w:rsid w:val="00761FE9"/>
    <w:rsid w:val="007620EE"/>
    <w:rsid w:val="0076223E"/>
    <w:rsid w:val="007622BE"/>
    <w:rsid w:val="00762673"/>
    <w:rsid w:val="007627B0"/>
    <w:rsid w:val="007627D5"/>
    <w:rsid w:val="007628F3"/>
    <w:rsid w:val="00762BBB"/>
    <w:rsid w:val="00762F2C"/>
    <w:rsid w:val="00763091"/>
    <w:rsid w:val="007630CA"/>
    <w:rsid w:val="007632D7"/>
    <w:rsid w:val="00763377"/>
    <w:rsid w:val="007633AA"/>
    <w:rsid w:val="00763A7B"/>
    <w:rsid w:val="0076441A"/>
    <w:rsid w:val="00764606"/>
    <w:rsid w:val="00764729"/>
    <w:rsid w:val="007647A1"/>
    <w:rsid w:val="007647CC"/>
    <w:rsid w:val="007648A7"/>
    <w:rsid w:val="00764BCC"/>
    <w:rsid w:val="00764D03"/>
    <w:rsid w:val="00764D04"/>
    <w:rsid w:val="00764D54"/>
    <w:rsid w:val="00764D83"/>
    <w:rsid w:val="00765089"/>
    <w:rsid w:val="0076529C"/>
    <w:rsid w:val="007652E6"/>
    <w:rsid w:val="0076593C"/>
    <w:rsid w:val="00765A31"/>
    <w:rsid w:val="00765D92"/>
    <w:rsid w:val="00765E98"/>
    <w:rsid w:val="00765F47"/>
    <w:rsid w:val="007661A0"/>
    <w:rsid w:val="007662A6"/>
    <w:rsid w:val="007665DD"/>
    <w:rsid w:val="00766621"/>
    <w:rsid w:val="00766769"/>
    <w:rsid w:val="00766B91"/>
    <w:rsid w:val="00766DCF"/>
    <w:rsid w:val="00766DD5"/>
    <w:rsid w:val="00766E91"/>
    <w:rsid w:val="00766ED6"/>
    <w:rsid w:val="0076766D"/>
    <w:rsid w:val="007679BF"/>
    <w:rsid w:val="00767A42"/>
    <w:rsid w:val="00767BA0"/>
    <w:rsid w:val="00767C8F"/>
    <w:rsid w:val="00767EC7"/>
    <w:rsid w:val="00767FE0"/>
    <w:rsid w:val="00770253"/>
    <w:rsid w:val="00770323"/>
    <w:rsid w:val="0077033E"/>
    <w:rsid w:val="00770412"/>
    <w:rsid w:val="007705F4"/>
    <w:rsid w:val="00770626"/>
    <w:rsid w:val="00770905"/>
    <w:rsid w:val="00770DF6"/>
    <w:rsid w:val="00770F3F"/>
    <w:rsid w:val="007714A6"/>
    <w:rsid w:val="0077150A"/>
    <w:rsid w:val="0077161D"/>
    <w:rsid w:val="0077163A"/>
    <w:rsid w:val="00771764"/>
    <w:rsid w:val="00771A69"/>
    <w:rsid w:val="00771AC6"/>
    <w:rsid w:val="00771DEA"/>
    <w:rsid w:val="0077216D"/>
    <w:rsid w:val="00772245"/>
    <w:rsid w:val="0077286B"/>
    <w:rsid w:val="00772962"/>
    <w:rsid w:val="00772B63"/>
    <w:rsid w:val="00772B6E"/>
    <w:rsid w:val="00773157"/>
    <w:rsid w:val="007732C5"/>
    <w:rsid w:val="00773500"/>
    <w:rsid w:val="0077355F"/>
    <w:rsid w:val="007738D4"/>
    <w:rsid w:val="00773974"/>
    <w:rsid w:val="007739ED"/>
    <w:rsid w:val="00773A84"/>
    <w:rsid w:val="00773B86"/>
    <w:rsid w:val="00773D3C"/>
    <w:rsid w:val="00773D90"/>
    <w:rsid w:val="00773E27"/>
    <w:rsid w:val="00773FB1"/>
    <w:rsid w:val="00774429"/>
    <w:rsid w:val="0077444E"/>
    <w:rsid w:val="007745A2"/>
    <w:rsid w:val="00774F05"/>
    <w:rsid w:val="00774F76"/>
    <w:rsid w:val="00774FC4"/>
    <w:rsid w:val="0077500F"/>
    <w:rsid w:val="00775089"/>
    <w:rsid w:val="0077542D"/>
    <w:rsid w:val="00775461"/>
    <w:rsid w:val="007754B4"/>
    <w:rsid w:val="0077573F"/>
    <w:rsid w:val="007757A1"/>
    <w:rsid w:val="007757B7"/>
    <w:rsid w:val="00775947"/>
    <w:rsid w:val="00775ACC"/>
    <w:rsid w:val="00775BAD"/>
    <w:rsid w:val="00775C7C"/>
    <w:rsid w:val="00775E21"/>
    <w:rsid w:val="00775F19"/>
    <w:rsid w:val="00775FB8"/>
    <w:rsid w:val="007761E6"/>
    <w:rsid w:val="00776404"/>
    <w:rsid w:val="007765D4"/>
    <w:rsid w:val="0077668B"/>
    <w:rsid w:val="00776AAA"/>
    <w:rsid w:val="00776C31"/>
    <w:rsid w:val="00776C38"/>
    <w:rsid w:val="00776D8F"/>
    <w:rsid w:val="00776DAA"/>
    <w:rsid w:val="00776E05"/>
    <w:rsid w:val="00776E0F"/>
    <w:rsid w:val="00776EDA"/>
    <w:rsid w:val="00776F64"/>
    <w:rsid w:val="00777078"/>
    <w:rsid w:val="0077717C"/>
    <w:rsid w:val="007774BA"/>
    <w:rsid w:val="007774E4"/>
    <w:rsid w:val="00777BEF"/>
    <w:rsid w:val="00777C89"/>
    <w:rsid w:val="00777D7D"/>
    <w:rsid w:val="00777E5B"/>
    <w:rsid w:val="00777F20"/>
    <w:rsid w:val="00780208"/>
    <w:rsid w:val="007802EB"/>
    <w:rsid w:val="00780529"/>
    <w:rsid w:val="00780791"/>
    <w:rsid w:val="00780AC6"/>
    <w:rsid w:val="00780FF5"/>
    <w:rsid w:val="007810FF"/>
    <w:rsid w:val="0078117A"/>
    <w:rsid w:val="00781275"/>
    <w:rsid w:val="007813C4"/>
    <w:rsid w:val="0078157A"/>
    <w:rsid w:val="00781955"/>
    <w:rsid w:val="00781EC0"/>
    <w:rsid w:val="00782270"/>
    <w:rsid w:val="00782288"/>
    <w:rsid w:val="00782307"/>
    <w:rsid w:val="007823D8"/>
    <w:rsid w:val="0078240D"/>
    <w:rsid w:val="0078255A"/>
    <w:rsid w:val="0078275D"/>
    <w:rsid w:val="007829F5"/>
    <w:rsid w:val="00782CEC"/>
    <w:rsid w:val="0078329A"/>
    <w:rsid w:val="00783335"/>
    <w:rsid w:val="007833A5"/>
    <w:rsid w:val="0078362C"/>
    <w:rsid w:val="00783644"/>
    <w:rsid w:val="007838B5"/>
    <w:rsid w:val="007839F8"/>
    <w:rsid w:val="00783DCB"/>
    <w:rsid w:val="007840A1"/>
    <w:rsid w:val="00784268"/>
    <w:rsid w:val="0078474A"/>
    <w:rsid w:val="007849B2"/>
    <w:rsid w:val="00784A2D"/>
    <w:rsid w:val="00784AC3"/>
    <w:rsid w:val="00784CEE"/>
    <w:rsid w:val="00784DDA"/>
    <w:rsid w:val="00784DE3"/>
    <w:rsid w:val="00784DEF"/>
    <w:rsid w:val="0078504B"/>
    <w:rsid w:val="007850D5"/>
    <w:rsid w:val="0078517E"/>
    <w:rsid w:val="007852FF"/>
    <w:rsid w:val="00785B5D"/>
    <w:rsid w:val="00785B89"/>
    <w:rsid w:val="00786024"/>
    <w:rsid w:val="0078618D"/>
    <w:rsid w:val="007865EA"/>
    <w:rsid w:val="007868B1"/>
    <w:rsid w:val="00786AD9"/>
    <w:rsid w:val="00786B76"/>
    <w:rsid w:val="007871A6"/>
    <w:rsid w:val="00787210"/>
    <w:rsid w:val="00787250"/>
    <w:rsid w:val="0078741C"/>
    <w:rsid w:val="00787673"/>
    <w:rsid w:val="00787855"/>
    <w:rsid w:val="00787998"/>
    <w:rsid w:val="00787E2C"/>
    <w:rsid w:val="007906D2"/>
    <w:rsid w:val="00790A78"/>
    <w:rsid w:val="00790BB3"/>
    <w:rsid w:val="00791032"/>
    <w:rsid w:val="00791075"/>
    <w:rsid w:val="007911E2"/>
    <w:rsid w:val="00791305"/>
    <w:rsid w:val="00791351"/>
    <w:rsid w:val="00791560"/>
    <w:rsid w:val="00791845"/>
    <w:rsid w:val="00791872"/>
    <w:rsid w:val="00791A75"/>
    <w:rsid w:val="00791B5C"/>
    <w:rsid w:val="00791D0C"/>
    <w:rsid w:val="00791DB7"/>
    <w:rsid w:val="00791FE0"/>
    <w:rsid w:val="007924D0"/>
    <w:rsid w:val="007924D6"/>
    <w:rsid w:val="0079253C"/>
    <w:rsid w:val="007925B8"/>
    <w:rsid w:val="007925DF"/>
    <w:rsid w:val="00792D69"/>
    <w:rsid w:val="00792DB7"/>
    <w:rsid w:val="00792E5C"/>
    <w:rsid w:val="00792E99"/>
    <w:rsid w:val="00793038"/>
    <w:rsid w:val="007930E7"/>
    <w:rsid w:val="00793171"/>
    <w:rsid w:val="007934FF"/>
    <w:rsid w:val="007935E2"/>
    <w:rsid w:val="00793705"/>
    <w:rsid w:val="00793975"/>
    <w:rsid w:val="00793BC6"/>
    <w:rsid w:val="00793CB8"/>
    <w:rsid w:val="00794083"/>
    <w:rsid w:val="007940EF"/>
    <w:rsid w:val="0079410E"/>
    <w:rsid w:val="007943D8"/>
    <w:rsid w:val="00794481"/>
    <w:rsid w:val="007945B3"/>
    <w:rsid w:val="0079472B"/>
    <w:rsid w:val="00794800"/>
    <w:rsid w:val="00794871"/>
    <w:rsid w:val="00794A0D"/>
    <w:rsid w:val="00794AA3"/>
    <w:rsid w:val="00794F1F"/>
    <w:rsid w:val="00794FF1"/>
    <w:rsid w:val="007955E9"/>
    <w:rsid w:val="007957C7"/>
    <w:rsid w:val="007957FD"/>
    <w:rsid w:val="00795867"/>
    <w:rsid w:val="007959D3"/>
    <w:rsid w:val="00795B59"/>
    <w:rsid w:val="00795C05"/>
    <w:rsid w:val="007961C1"/>
    <w:rsid w:val="00796385"/>
    <w:rsid w:val="00796745"/>
    <w:rsid w:val="00796936"/>
    <w:rsid w:val="00796C06"/>
    <w:rsid w:val="00796CA3"/>
    <w:rsid w:val="00797289"/>
    <w:rsid w:val="0079745A"/>
    <w:rsid w:val="007977EB"/>
    <w:rsid w:val="007979CD"/>
    <w:rsid w:val="00797A52"/>
    <w:rsid w:val="00797A9B"/>
    <w:rsid w:val="00797B7B"/>
    <w:rsid w:val="00797CA9"/>
    <w:rsid w:val="00797CE1"/>
    <w:rsid w:val="00797CE5"/>
    <w:rsid w:val="00797DF0"/>
    <w:rsid w:val="007A00F7"/>
    <w:rsid w:val="007A0157"/>
    <w:rsid w:val="007A02BB"/>
    <w:rsid w:val="007A02DE"/>
    <w:rsid w:val="007A05CA"/>
    <w:rsid w:val="007A0851"/>
    <w:rsid w:val="007A08D0"/>
    <w:rsid w:val="007A1026"/>
    <w:rsid w:val="007A1128"/>
    <w:rsid w:val="007A13B0"/>
    <w:rsid w:val="007A1447"/>
    <w:rsid w:val="007A174F"/>
    <w:rsid w:val="007A18B0"/>
    <w:rsid w:val="007A227C"/>
    <w:rsid w:val="007A253D"/>
    <w:rsid w:val="007A2567"/>
    <w:rsid w:val="007A2688"/>
    <w:rsid w:val="007A289C"/>
    <w:rsid w:val="007A2918"/>
    <w:rsid w:val="007A2BEA"/>
    <w:rsid w:val="007A2D2A"/>
    <w:rsid w:val="007A326B"/>
    <w:rsid w:val="007A340D"/>
    <w:rsid w:val="007A34A8"/>
    <w:rsid w:val="007A34BC"/>
    <w:rsid w:val="007A35D4"/>
    <w:rsid w:val="007A35E3"/>
    <w:rsid w:val="007A383F"/>
    <w:rsid w:val="007A3DBB"/>
    <w:rsid w:val="007A3DF8"/>
    <w:rsid w:val="007A40B2"/>
    <w:rsid w:val="007A420B"/>
    <w:rsid w:val="007A4341"/>
    <w:rsid w:val="007A43A1"/>
    <w:rsid w:val="007A4820"/>
    <w:rsid w:val="007A491F"/>
    <w:rsid w:val="007A4C9E"/>
    <w:rsid w:val="007A52B0"/>
    <w:rsid w:val="007A530F"/>
    <w:rsid w:val="007A5358"/>
    <w:rsid w:val="007A5384"/>
    <w:rsid w:val="007A58A1"/>
    <w:rsid w:val="007A5B84"/>
    <w:rsid w:val="007A5C3B"/>
    <w:rsid w:val="007A5E07"/>
    <w:rsid w:val="007A5EC1"/>
    <w:rsid w:val="007A6021"/>
    <w:rsid w:val="007A6170"/>
    <w:rsid w:val="007A62F9"/>
    <w:rsid w:val="007A6349"/>
    <w:rsid w:val="007A637E"/>
    <w:rsid w:val="007A63B2"/>
    <w:rsid w:val="007A6589"/>
    <w:rsid w:val="007A65BF"/>
    <w:rsid w:val="007A65E0"/>
    <w:rsid w:val="007A66F1"/>
    <w:rsid w:val="007A6738"/>
    <w:rsid w:val="007A682B"/>
    <w:rsid w:val="007A68B9"/>
    <w:rsid w:val="007A68CD"/>
    <w:rsid w:val="007A6B2E"/>
    <w:rsid w:val="007A6D57"/>
    <w:rsid w:val="007A6ED9"/>
    <w:rsid w:val="007A7129"/>
    <w:rsid w:val="007A7279"/>
    <w:rsid w:val="007A7337"/>
    <w:rsid w:val="007A78A5"/>
    <w:rsid w:val="007B0232"/>
    <w:rsid w:val="007B0AA8"/>
    <w:rsid w:val="007B0C40"/>
    <w:rsid w:val="007B128A"/>
    <w:rsid w:val="007B12EC"/>
    <w:rsid w:val="007B135F"/>
    <w:rsid w:val="007B153B"/>
    <w:rsid w:val="007B1595"/>
    <w:rsid w:val="007B17EF"/>
    <w:rsid w:val="007B1A0A"/>
    <w:rsid w:val="007B1C6B"/>
    <w:rsid w:val="007B1D6E"/>
    <w:rsid w:val="007B2092"/>
    <w:rsid w:val="007B2331"/>
    <w:rsid w:val="007B2498"/>
    <w:rsid w:val="007B24EA"/>
    <w:rsid w:val="007B26FA"/>
    <w:rsid w:val="007B27AE"/>
    <w:rsid w:val="007B290F"/>
    <w:rsid w:val="007B2953"/>
    <w:rsid w:val="007B2F4B"/>
    <w:rsid w:val="007B2FEF"/>
    <w:rsid w:val="007B3326"/>
    <w:rsid w:val="007B3447"/>
    <w:rsid w:val="007B3615"/>
    <w:rsid w:val="007B3628"/>
    <w:rsid w:val="007B3696"/>
    <w:rsid w:val="007B3875"/>
    <w:rsid w:val="007B3944"/>
    <w:rsid w:val="007B3D23"/>
    <w:rsid w:val="007B3D24"/>
    <w:rsid w:val="007B3F2D"/>
    <w:rsid w:val="007B3FF9"/>
    <w:rsid w:val="007B42A1"/>
    <w:rsid w:val="007B4494"/>
    <w:rsid w:val="007B45A2"/>
    <w:rsid w:val="007B485A"/>
    <w:rsid w:val="007B4890"/>
    <w:rsid w:val="007B493C"/>
    <w:rsid w:val="007B4A0D"/>
    <w:rsid w:val="007B4F68"/>
    <w:rsid w:val="007B50A6"/>
    <w:rsid w:val="007B528E"/>
    <w:rsid w:val="007B54F0"/>
    <w:rsid w:val="007B55F1"/>
    <w:rsid w:val="007B56E7"/>
    <w:rsid w:val="007B5D02"/>
    <w:rsid w:val="007B5E8C"/>
    <w:rsid w:val="007B6089"/>
    <w:rsid w:val="007B6358"/>
    <w:rsid w:val="007B66D1"/>
    <w:rsid w:val="007B67E8"/>
    <w:rsid w:val="007B6825"/>
    <w:rsid w:val="007B6B72"/>
    <w:rsid w:val="007B6CD3"/>
    <w:rsid w:val="007B6D1E"/>
    <w:rsid w:val="007B6D9D"/>
    <w:rsid w:val="007B7248"/>
    <w:rsid w:val="007B75B8"/>
    <w:rsid w:val="007B770C"/>
    <w:rsid w:val="007B7777"/>
    <w:rsid w:val="007B7A20"/>
    <w:rsid w:val="007B7BDC"/>
    <w:rsid w:val="007B7CE6"/>
    <w:rsid w:val="007B7DC8"/>
    <w:rsid w:val="007B7E67"/>
    <w:rsid w:val="007C0093"/>
    <w:rsid w:val="007C00B6"/>
    <w:rsid w:val="007C04BC"/>
    <w:rsid w:val="007C0615"/>
    <w:rsid w:val="007C0969"/>
    <w:rsid w:val="007C0A4C"/>
    <w:rsid w:val="007C0FDD"/>
    <w:rsid w:val="007C1023"/>
    <w:rsid w:val="007C1381"/>
    <w:rsid w:val="007C13EF"/>
    <w:rsid w:val="007C159B"/>
    <w:rsid w:val="007C16B3"/>
    <w:rsid w:val="007C16D5"/>
    <w:rsid w:val="007C18C1"/>
    <w:rsid w:val="007C192B"/>
    <w:rsid w:val="007C1A69"/>
    <w:rsid w:val="007C1A79"/>
    <w:rsid w:val="007C1C74"/>
    <w:rsid w:val="007C1C76"/>
    <w:rsid w:val="007C1D56"/>
    <w:rsid w:val="007C1EC7"/>
    <w:rsid w:val="007C1FB6"/>
    <w:rsid w:val="007C202B"/>
    <w:rsid w:val="007C2330"/>
    <w:rsid w:val="007C23BB"/>
    <w:rsid w:val="007C2453"/>
    <w:rsid w:val="007C2485"/>
    <w:rsid w:val="007C2831"/>
    <w:rsid w:val="007C28DD"/>
    <w:rsid w:val="007C2944"/>
    <w:rsid w:val="007C2A19"/>
    <w:rsid w:val="007C2CC5"/>
    <w:rsid w:val="007C2D83"/>
    <w:rsid w:val="007C2F51"/>
    <w:rsid w:val="007C2F8F"/>
    <w:rsid w:val="007C2FAB"/>
    <w:rsid w:val="007C3016"/>
    <w:rsid w:val="007C325E"/>
    <w:rsid w:val="007C37CC"/>
    <w:rsid w:val="007C3859"/>
    <w:rsid w:val="007C3B37"/>
    <w:rsid w:val="007C3D95"/>
    <w:rsid w:val="007C3E78"/>
    <w:rsid w:val="007C3F6C"/>
    <w:rsid w:val="007C430F"/>
    <w:rsid w:val="007C45B6"/>
    <w:rsid w:val="007C45DC"/>
    <w:rsid w:val="007C47E1"/>
    <w:rsid w:val="007C48D8"/>
    <w:rsid w:val="007C48F1"/>
    <w:rsid w:val="007C4933"/>
    <w:rsid w:val="007C4B1E"/>
    <w:rsid w:val="007C4D3C"/>
    <w:rsid w:val="007C51D9"/>
    <w:rsid w:val="007C5350"/>
    <w:rsid w:val="007C5420"/>
    <w:rsid w:val="007C59B4"/>
    <w:rsid w:val="007C5A27"/>
    <w:rsid w:val="007C5D92"/>
    <w:rsid w:val="007C5EAA"/>
    <w:rsid w:val="007C5F28"/>
    <w:rsid w:val="007C6064"/>
    <w:rsid w:val="007C624F"/>
    <w:rsid w:val="007C6447"/>
    <w:rsid w:val="007C64D7"/>
    <w:rsid w:val="007C6782"/>
    <w:rsid w:val="007C6848"/>
    <w:rsid w:val="007C6C21"/>
    <w:rsid w:val="007C6C6E"/>
    <w:rsid w:val="007C6CA8"/>
    <w:rsid w:val="007C7110"/>
    <w:rsid w:val="007C7116"/>
    <w:rsid w:val="007C7178"/>
    <w:rsid w:val="007C72B4"/>
    <w:rsid w:val="007C7988"/>
    <w:rsid w:val="007C7BEB"/>
    <w:rsid w:val="007C7C3F"/>
    <w:rsid w:val="007C7EEE"/>
    <w:rsid w:val="007C7EF9"/>
    <w:rsid w:val="007D0054"/>
    <w:rsid w:val="007D008F"/>
    <w:rsid w:val="007D0124"/>
    <w:rsid w:val="007D051C"/>
    <w:rsid w:val="007D06F7"/>
    <w:rsid w:val="007D0726"/>
    <w:rsid w:val="007D0979"/>
    <w:rsid w:val="007D0A5D"/>
    <w:rsid w:val="007D0B83"/>
    <w:rsid w:val="007D0E71"/>
    <w:rsid w:val="007D1060"/>
    <w:rsid w:val="007D1331"/>
    <w:rsid w:val="007D13C2"/>
    <w:rsid w:val="007D1613"/>
    <w:rsid w:val="007D165C"/>
    <w:rsid w:val="007D165E"/>
    <w:rsid w:val="007D1EE2"/>
    <w:rsid w:val="007D1F8C"/>
    <w:rsid w:val="007D252F"/>
    <w:rsid w:val="007D26B5"/>
    <w:rsid w:val="007D3147"/>
    <w:rsid w:val="007D325E"/>
    <w:rsid w:val="007D35B4"/>
    <w:rsid w:val="007D3728"/>
    <w:rsid w:val="007D375C"/>
    <w:rsid w:val="007D3965"/>
    <w:rsid w:val="007D39FA"/>
    <w:rsid w:val="007D3ACE"/>
    <w:rsid w:val="007D3C51"/>
    <w:rsid w:val="007D3C94"/>
    <w:rsid w:val="007D3F10"/>
    <w:rsid w:val="007D4247"/>
    <w:rsid w:val="007D46C7"/>
    <w:rsid w:val="007D4D5B"/>
    <w:rsid w:val="007D4D64"/>
    <w:rsid w:val="007D515B"/>
    <w:rsid w:val="007D516D"/>
    <w:rsid w:val="007D547C"/>
    <w:rsid w:val="007D5670"/>
    <w:rsid w:val="007D5836"/>
    <w:rsid w:val="007D5C98"/>
    <w:rsid w:val="007D603C"/>
    <w:rsid w:val="007D60D3"/>
    <w:rsid w:val="007D61F4"/>
    <w:rsid w:val="007D65B3"/>
    <w:rsid w:val="007D6613"/>
    <w:rsid w:val="007D6691"/>
    <w:rsid w:val="007D67BB"/>
    <w:rsid w:val="007D6981"/>
    <w:rsid w:val="007D6A04"/>
    <w:rsid w:val="007D71A2"/>
    <w:rsid w:val="007D741E"/>
    <w:rsid w:val="007D74BC"/>
    <w:rsid w:val="007D78DE"/>
    <w:rsid w:val="007E007B"/>
    <w:rsid w:val="007E02A0"/>
    <w:rsid w:val="007E042F"/>
    <w:rsid w:val="007E043A"/>
    <w:rsid w:val="007E0482"/>
    <w:rsid w:val="007E0495"/>
    <w:rsid w:val="007E0814"/>
    <w:rsid w:val="007E08D5"/>
    <w:rsid w:val="007E097A"/>
    <w:rsid w:val="007E0F3F"/>
    <w:rsid w:val="007E0F5F"/>
    <w:rsid w:val="007E10A1"/>
    <w:rsid w:val="007E160B"/>
    <w:rsid w:val="007E16CF"/>
    <w:rsid w:val="007E1B08"/>
    <w:rsid w:val="007E1C57"/>
    <w:rsid w:val="007E1F9D"/>
    <w:rsid w:val="007E2082"/>
    <w:rsid w:val="007E2131"/>
    <w:rsid w:val="007E2175"/>
    <w:rsid w:val="007E24ED"/>
    <w:rsid w:val="007E27D7"/>
    <w:rsid w:val="007E2870"/>
    <w:rsid w:val="007E29A8"/>
    <w:rsid w:val="007E2BEA"/>
    <w:rsid w:val="007E2FB3"/>
    <w:rsid w:val="007E2FE2"/>
    <w:rsid w:val="007E3086"/>
    <w:rsid w:val="007E32D4"/>
    <w:rsid w:val="007E3876"/>
    <w:rsid w:val="007E39BD"/>
    <w:rsid w:val="007E3A4A"/>
    <w:rsid w:val="007E3E32"/>
    <w:rsid w:val="007E3EB3"/>
    <w:rsid w:val="007E40B0"/>
    <w:rsid w:val="007E417A"/>
    <w:rsid w:val="007E422F"/>
    <w:rsid w:val="007E42A5"/>
    <w:rsid w:val="007E4365"/>
    <w:rsid w:val="007E436F"/>
    <w:rsid w:val="007E44D0"/>
    <w:rsid w:val="007E4545"/>
    <w:rsid w:val="007E4735"/>
    <w:rsid w:val="007E4B3A"/>
    <w:rsid w:val="007E4B98"/>
    <w:rsid w:val="007E4CD2"/>
    <w:rsid w:val="007E4E01"/>
    <w:rsid w:val="007E4E58"/>
    <w:rsid w:val="007E512E"/>
    <w:rsid w:val="007E524A"/>
    <w:rsid w:val="007E5791"/>
    <w:rsid w:val="007E582C"/>
    <w:rsid w:val="007E5963"/>
    <w:rsid w:val="007E5A49"/>
    <w:rsid w:val="007E5BC1"/>
    <w:rsid w:val="007E5BD6"/>
    <w:rsid w:val="007E5CE7"/>
    <w:rsid w:val="007E5D14"/>
    <w:rsid w:val="007E5DC5"/>
    <w:rsid w:val="007E63FC"/>
    <w:rsid w:val="007E64AB"/>
    <w:rsid w:val="007E660A"/>
    <w:rsid w:val="007E67A3"/>
    <w:rsid w:val="007E6A20"/>
    <w:rsid w:val="007E6BBD"/>
    <w:rsid w:val="007E6ED0"/>
    <w:rsid w:val="007E70A3"/>
    <w:rsid w:val="007E742A"/>
    <w:rsid w:val="007E77B7"/>
    <w:rsid w:val="007E79E6"/>
    <w:rsid w:val="007E7C5E"/>
    <w:rsid w:val="007E7D2F"/>
    <w:rsid w:val="007E7E2F"/>
    <w:rsid w:val="007E7EF9"/>
    <w:rsid w:val="007F00B0"/>
    <w:rsid w:val="007F00F4"/>
    <w:rsid w:val="007F0511"/>
    <w:rsid w:val="007F07E3"/>
    <w:rsid w:val="007F08D8"/>
    <w:rsid w:val="007F0946"/>
    <w:rsid w:val="007F0B22"/>
    <w:rsid w:val="007F14A3"/>
    <w:rsid w:val="007F1617"/>
    <w:rsid w:val="007F17DC"/>
    <w:rsid w:val="007F1A6B"/>
    <w:rsid w:val="007F1BD0"/>
    <w:rsid w:val="007F1D11"/>
    <w:rsid w:val="007F1EBB"/>
    <w:rsid w:val="007F2252"/>
    <w:rsid w:val="007F245E"/>
    <w:rsid w:val="007F24BE"/>
    <w:rsid w:val="007F256C"/>
    <w:rsid w:val="007F2612"/>
    <w:rsid w:val="007F265D"/>
    <w:rsid w:val="007F26DA"/>
    <w:rsid w:val="007F26E7"/>
    <w:rsid w:val="007F2821"/>
    <w:rsid w:val="007F2882"/>
    <w:rsid w:val="007F2D0B"/>
    <w:rsid w:val="007F2F7C"/>
    <w:rsid w:val="007F33F2"/>
    <w:rsid w:val="007F34DA"/>
    <w:rsid w:val="007F37BC"/>
    <w:rsid w:val="007F387D"/>
    <w:rsid w:val="007F39DF"/>
    <w:rsid w:val="007F3AA7"/>
    <w:rsid w:val="007F3B93"/>
    <w:rsid w:val="007F3CF7"/>
    <w:rsid w:val="007F4002"/>
    <w:rsid w:val="007F4101"/>
    <w:rsid w:val="007F443F"/>
    <w:rsid w:val="007F44A1"/>
    <w:rsid w:val="007F47C7"/>
    <w:rsid w:val="007F4AA5"/>
    <w:rsid w:val="007F4D2B"/>
    <w:rsid w:val="007F4FB9"/>
    <w:rsid w:val="007F4FEF"/>
    <w:rsid w:val="007F507F"/>
    <w:rsid w:val="007F52D3"/>
    <w:rsid w:val="007F5673"/>
    <w:rsid w:val="007F5710"/>
    <w:rsid w:val="007F5C2E"/>
    <w:rsid w:val="007F5E5F"/>
    <w:rsid w:val="007F6266"/>
    <w:rsid w:val="007F6464"/>
    <w:rsid w:val="007F64AC"/>
    <w:rsid w:val="007F67C4"/>
    <w:rsid w:val="007F68EB"/>
    <w:rsid w:val="007F68EC"/>
    <w:rsid w:val="007F69AE"/>
    <w:rsid w:val="007F6BDB"/>
    <w:rsid w:val="007F6E61"/>
    <w:rsid w:val="007F7095"/>
    <w:rsid w:val="007F70FD"/>
    <w:rsid w:val="007F729A"/>
    <w:rsid w:val="007F7520"/>
    <w:rsid w:val="007F7540"/>
    <w:rsid w:val="007F773D"/>
    <w:rsid w:val="007F79EA"/>
    <w:rsid w:val="007F7A16"/>
    <w:rsid w:val="007F7B95"/>
    <w:rsid w:val="007F7C2F"/>
    <w:rsid w:val="007F7C87"/>
    <w:rsid w:val="007F7C92"/>
    <w:rsid w:val="007F7CEB"/>
    <w:rsid w:val="008001EE"/>
    <w:rsid w:val="0080029D"/>
    <w:rsid w:val="0080050B"/>
    <w:rsid w:val="00800733"/>
    <w:rsid w:val="00800A0C"/>
    <w:rsid w:val="00800A59"/>
    <w:rsid w:val="00800F73"/>
    <w:rsid w:val="00801255"/>
    <w:rsid w:val="008012B2"/>
    <w:rsid w:val="008012CD"/>
    <w:rsid w:val="0080135B"/>
    <w:rsid w:val="00801391"/>
    <w:rsid w:val="00801720"/>
    <w:rsid w:val="00801C4F"/>
    <w:rsid w:val="00801ED1"/>
    <w:rsid w:val="00801FEB"/>
    <w:rsid w:val="00802354"/>
    <w:rsid w:val="008023F0"/>
    <w:rsid w:val="008024DB"/>
    <w:rsid w:val="00802553"/>
    <w:rsid w:val="00802561"/>
    <w:rsid w:val="00802587"/>
    <w:rsid w:val="0080285C"/>
    <w:rsid w:val="00802BB0"/>
    <w:rsid w:val="00802C3F"/>
    <w:rsid w:val="00802EDE"/>
    <w:rsid w:val="00802FC7"/>
    <w:rsid w:val="00803100"/>
    <w:rsid w:val="008032E2"/>
    <w:rsid w:val="00803352"/>
    <w:rsid w:val="0080337F"/>
    <w:rsid w:val="0080349F"/>
    <w:rsid w:val="0080363E"/>
    <w:rsid w:val="0080367D"/>
    <w:rsid w:val="008036DD"/>
    <w:rsid w:val="00803816"/>
    <w:rsid w:val="00803888"/>
    <w:rsid w:val="00803AF6"/>
    <w:rsid w:val="00803C0F"/>
    <w:rsid w:val="00804162"/>
    <w:rsid w:val="00804250"/>
    <w:rsid w:val="0080434D"/>
    <w:rsid w:val="00804746"/>
    <w:rsid w:val="008047EB"/>
    <w:rsid w:val="00804A06"/>
    <w:rsid w:val="00804EF6"/>
    <w:rsid w:val="00804FFD"/>
    <w:rsid w:val="00805054"/>
    <w:rsid w:val="0080511D"/>
    <w:rsid w:val="008054DB"/>
    <w:rsid w:val="00805506"/>
    <w:rsid w:val="0080550E"/>
    <w:rsid w:val="0080591B"/>
    <w:rsid w:val="00805AB2"/>
    <w:rsid w:val="00805ADB"/>
    <w:rsid w:val="00806279"/>
    <w:rsid w:val="008063E6"/>
    <w:rsid w:val="00806665"/>
    <w:rsid w:val="00806715"/>
    <w:rsid w:val="00806923"/>
    <w:rsid w:val="00806D4D"/>
    <w:rsid w:val="00806E3E"/>
    <w:rsid w:val="00806F12"/>
    <w:rsid w:val="008071AD"/>
    <w:rsid w:val="0080730F"/>
    <w:rsid w:val="0080733D"/>
    <w:rsid w:val="0080765D"/>
    <w:rsid w:val="00807909"/>
    <w:rsid w:val="00807984"/>
    <w:rsid w:val="008079EE"/>
    <w:rsid w:val="00807A6B"/>
    <w:rsid w:val="00807C49"/>
    <w:rsid w:val="00807C6C"/>
    <w:rsid w:val="00807C9F"/>
    <w:rsid w:val="00807D18"/>
    <w:rsid w:val="00807DAC"/>
    <w:rsid w:val="008106EB"/>
    <w:rsid w:val="008107FD"/>
    <w:rsid w:val="00810B2D"/>
    <w:rsid w:val="00810B8B"/>
    <w:rsid w:val="00810D5A"/>
    <w:rsid w:val="00811728"/>
    <w:rsid w:val="00811B2B"/>
    <w:rsid w:val="00811EDD"/>
    <w:rsid w:val="00811F9E"/>
    <w:rsid w:val="00811FC8"/>
    <w:rsid w:val="008121EB"/>
    <w:rsid w:val="008128F2"/>
    <w:rsid w:val="00812AC1"/>
    <w:rsid w:val="00812ACC"/>
    <w:rsid w:val="00812B42"/>
    <w:rsid w:val="00812EF0"/>
    <w:rsid w:val="00813092"/>
    <w:rsid w:val="00813128"/>
    <w:rsid w:val="00813285"/>
    <w:rsid w:val="008132C2"/>
    <w:rsid w:val="00813342"/>
    <w:rsid w:val="008134C1"/>
    <w:rsid w:val="0081355D"/>
    <w:rsid w:val="008135A6"/>
    <w:rsid w:val="00813686"/>
    <w:rsid w:val="008137C7"/>
    <w:rsid w:val="008137D5"/>
    <w:rsid w:val="00813A4E"/>
    <w:rsid w:val="00813C53"/>
    <w:rsid w:val="00813FB1"/>
    <w:rsid w:val="00814213"/>
    <w:rsid w:val="0081423C"/>
    <w:rsid w:val="00814441"/>
    <w:rsid w:val="00814486"/>
    <w:rsid w:val="00814490"/>
    <w:rsid w:val="00814D86"/>
    <w:rsid w:val="00814E86"/>
    <w:rsid w:val="00815123"/>
    <w:rsid w:val="00815494"/>
    <w:rsid w:val="008157A4"/>
    <w:rsid w:val="008157B8"/>
    <w:rsid w:val="00815AEB"/>
    <w:rsid w:val="00815F22"/>
    <w:rsid w:val="0081632C"/>
    <w:rsid w:val="008167B4"/>
    <w:rsid w:val="00816A4D"/>
    <w:rsid w:val="00816A7D"/>
    <w:rsid w:val="00816D28"/>
    <w:rsid w:val="00816EA3"/>
    <w:rsid w:val="00816EA5"/>
    <w:rsid w:val="00817383"/>
    <w:rsid w:val="00817590"/>
    <w:rsid w:val="00817F43"/>
    <w:rsid w:val="008200BE"/>
    <w:rsid w:val="00820159"/>
    <w:rsid w:val="008202C8"/>
    <w:rsid w:val="00820490"/>
    <w:rsid w:val="008206A5"/>
    <w:rsid w:val="0082088B"/>
    <w:rsid w:val="008208D3"/>
    <w:rsid w:val="00820B63"/>
    <w:rsid w:val="00820B71"/>
    <w:rsid w:val="00820CA4"/>
    <w:rsid w:val="00820CAF"/>
    <w:rsid w:val="00820CFF"/>
    <w:rsid w:val="00820DF2"/>
    <w:rsid w:val="00820E5C"/>
    <w:rsid w:val="00820EA1"/>
    <w:rsid w:val="008210F6"/>
    <w:rsid w:val="00821103"/>
    <w:rsid w:val="0082115E"/>
    <w:rsid w:val="0082116E"/>
    <w:rsid w:val="008212CA"/>
    <w:rsid w:val="0082137F"/>
    <w:rsid w:val="008213FE"/>
    <w:rsid w:val="0082145B"/>
    <w:rsid w:val="0082151E"/>
    <w:rsid w:val="00821606"/>
    <w:rsid w:val="0082168D"/>
    <w:rsid w:val="008216C7"/>
    <w:rsid w:val="00821719"/>
    <w:rsid w:val="00821813"/>
    <w:rsid w:val="00821895"/>
    <w:rsid w:val="008219D4"/>
    <w:rsid w:val="00821C43"/>
    <w:rsid w:val="00821E98"/>
    <w:rsid w:val="00821E9B"/>
    <w:rsid w:val="008221F7"/>
    <w:rsid w:val="00822276"/>
    <w:rsid w:val="008226BD"/>
    <w:rsid w:val="00822799"/>
    <w:rsid w:val="00822AEF"/>
    <w:rsid w:val="00822E93"/>
    <w:rsid w:val="00822FFD"/>
    <w:rsid w:val="008231DD"/>
    <w:rsid w:val="0082351F"/>
    <w:rsid w:val="008237C8"/>
    <w:rsid w:val="0082393A"/>
    <w:rsid w:val="00823E74"/>
    <w:rsid w:val="008247D6"/>
    <w:rsid w:val="00824964"/>
    <w:rsid w:val="00824A46"/>
    <w:rsid w:val="00824B38"/>
    <w:rsid w:val="00824B66"/>
    <w:rsid w:val="00824E27"/>
    <w:rsid w:val="00825016"/>
    <w:rsid w:val="008251BE"/>
    <w:rsid w:val="008252A2"/>
    <w:rsid w:val="008252E4"/>
    <w:rsid w:val="00825360"/>
    <w:rsid w:val="008254F9"/>
    <w:rsid w:val="0082566B"/>
    <w:rsid w:val="00825AEB"/>
    <w:rsid w:val="00825DFC"/>
    <w:rsid w:val="00825F6C"/>
    <w:rsid w:val="008261AA"/>
    <w:rsid w:val="0082625D"/>
    <w:rsid w:val="008268AF"/>
    <w:rsid w:val="00826A01"/>
    <w:rsid w:val="00826BE5"/>
    <w:rsid w:val="00826C91"/>
    <w:rsid w:val="00826D34"/>
    <w:rsid w:val="00826D4E"/>
    <w:rsid w:val="00826E9D"/>
    <w:rsid w:val="00826EC9"/>
    <w:rsid w:val="00826F50"/>
    <w:rsid w:val="00826FEB"/>
    <w:rsid w:val="00827096"/>
    <w:rsid w:val="0082731F"/>
    <w:rsid w:val="00827463"/>
    <w:rsid w:val="008277A4"/>
    <w:rsid w:val="008279C4"/>
    <w:rsid w:val="00827B94"/>
    <w:rsid w:val="00827DBA"/>
    <w:rsid w:val="00827E6C"/>
    <w:rsid w:val="00827F49"/>
    <w:rsid w:val="00827FC8"/>
    <w:rsid w:val="00830107"/>
    <w:rsid w:val="008301D8"/>
    <w:rsid w:val="008302D8"/>
    <w:rsid w:val="0083097E"/>
    <w:rsid w:val="00830ABB"/>
    <w:rsid w:val="00830AE6"/>
    <w:rsid w:val="00830C9C"/>
    <w:rsid w:val="00830F25"/>
    <w:rsid w:val="00830FD1"/>
    <w:rsid w:val="00830FD2"/>
    <w:rsid w:val="008313A0"/>
    <w:rsid w:val="008314EB"/>
    <w:rsid w:val="0083153B"/>
    <w:rsid w:val="00831763"/>
    <w:rsid w:val="00831850"/>
    <w:rsid w:val="008318F0"/>
    <w:rsid w:val="00831A11"/>
    <w:rsid w:val="00831C16"/>
    <w:rsid w:val="00831D21"/>
    <w:rsid w:val="00831D2A"/>
    <w:rsid w:val="00831DBB"/>
    <w:rsid w:val="00831FD7"/>
    <w:rsid w:val="0083204C"/>
    <w:rsid w:val="00832366"/>
    <w:rsid w:val="008326F3"/>
    <w:rsid w:val="008328DF"/>
    <w:rsid w:val="008328E2"/>
    <w:rsid w:val="0083290E"/>
    <w:rsid w:val="00832CAE"/>
    <w:rsid w:val="00832CF4"/>
    <w:rsid w:val="00832F6E"/>
    <w:rsid w:val="00832FA4"/>
    <w:rsid w:val="008334FB"/>
    <w:rsid w:val="008335EE"/>
    <w:rsid w:val="00833652"/>
    <w:rsid w:val="008339AF"/>
    <w:rsid w:val="00833B2F"/>
    <w:rsid w:val="00833B37"/>
    <w:rsid w:val="00833FEF"/>
    <w:rsid w:val="008342EB"/>
    <w:rsid w:val="008344C1"/>
    <w:rsid w:val="008346CE"/>
    <w:rsid w:val="008347CB"/>
    <w:rsid w:val="008348DC"/>
    <w:rsid w:val="008349B7"/>
    <w:rsid w:val="00834B10"/>
    <w:rsid w:val="00834BD0"/>
    <w:rsid w:val="00834CE6"/>
    <w:rsid w:val="00834E03"/>
    <w:rsid w:val="00834EF4"/>
    <w:rsid w:val="00834F2C"/>
    <w:rsid w:val="00834FE0"/>
    <w:rsid w:val="00835239"/>
    <w:rsid w:val="00835417"/>
    <w:rsid w:val="00835639"/>
    <w:rsid w:val="00835A10"/>
    <w:rsid w:val="00835B80"/>
    <w:rsid w:val="008360CB"/>
    <w:rsid w:val="00836134"/>
    <w:rsid w:val="0083619E"/>
    <w:rsid w:val="008361B6"/>
    <w:rsid w:val="008361C4"/>
    <w:rsid w:val="008362DB"/>
    <w:rsid w:val="00836310"/>
    <w:rsid w:val="00836311"/>
    <w:rsid w:val="0083645D"/>
    <w:rsid w:val="008365D8"/>
    <w:rsid w:val="008366A3"/>
    <w:rsid w:val="008367F1"/>
    <w:rsid w:val="00836810"/>
    <w:rsid w:val="00836925"/>
    <w:rsid w:val="00836F21"/>
    <w:rsid w:val="00836F75"/>
    <w:rsid w:val="00837375"/>
    <w:rsid w:val="008373B0"/>
    <w:rsid w:val="008375A3"/>
    <w:rsid w:val="00837612"/>
    <w:rsid w:val="008378A9"/>
    <w:rsid w:val="0083793D"/>
    <w:rsid w:val="0083795C"/>
    <w:rsid w:val="0084055C"/>
    <w:rsid w:val="008408AE"/>
    <w:rsid w:val="00840F02"/>
    <w:rsid w:val="00840F70"/>
    <w:rsid w:val="00840F7D"/>
    <w:rsid w:val="008411CE"/>
    <w:rsid w:val="008411E0"/>
    <w:rsid w:val="00841205"/>
    <w:rsid w:val="0084178A"/>
    <w:rsid w:val="008418F7"/>
    <w:rsid w:val="008419AB"/>
    <w:rsid w:val="00841B2F"/>
    <w:rsid w:val="00841DFA"/>
    <w:rsid w:val="00841FBD"/>
    <w:rsid w:val="00842185"/>
    <w:rsid w:val="0084250E"/>
    <w:rsid w:val="0084263E"/>
    <w:rsid w:val="00842892"/>
    <w:rsid w:val="00842BE3"/>
    <w:rsid w:val="00842E71"/>
    <w:rsid w:val="00842E75"/>
    <w:rsid w:val="008432B2"/>
    <w:rsid w:val="00843A33"/>
    <w:rsid w:val="00843B78"/>
    <w:rsid w:val="00843BD1"/>
    <w:rsid w:val="00843D8A"/>
    <w:rsid w:val="00843F7D"/>
    <w:rsid w:val="008441A7"/>
    <w:rsid w:val="0084437A"/>
    <w:rsid w:val="008443EF"/>
    <w:rsid w:val="008446D1"/>
    <w:rsid w:val="00844772"/>
    <w:rsid w:val="008448C1"/>
    <w:rsid w:val="00844D60"/>
    <w:rsid w:val="00844EF7"/>
    <w:rsid w:val="00844F9A"/>
    <w:rsid w:val="00845099"/>
    <w:rsid w:val="00845145"/>
    <w:rsid w:val="00845182"/>
    <w:rsid w:val="00845360"/>
    <w:rsid w:val="00845477"/>
    <w:rsid w:val="008457F6"/>
    <w:rsid w:val="00845B12"/>
    <w:rsid w:val="00845C25"/>
    <w:rsid w:val="00845F38"/>
    <w:rsid w:val="00846511"/>
    <w:rsid w:val="00846738"/>
    <w:rsid w:val="00846803"/>
    <w:rsid w:val="008469F6"/>
    <w:rsid w:val="00846B80"/>
    <w:rsid w:val="00846CB4"/>
    <w:rsid w:val="00846CD0"/>
    <w:rsid w:val="00846CF0"/>
    <w:rsid w:val="00847036"/>
    <w:rsid w:val="00847378"/>
    <w:rsid w:val="00847544"/>
    <w:rsid w:val="00847593"/>
    <w:rsid w:val="0084761A"/>
    <w:rsid w:val="00847670"/>
    <w:rsid w:val="00847A5A"/>
    <w:rsid w:val="00847A80"/>
    <w:rsid w:val="00847B7F"/>
    <w:rsid w:val="00847CEE"/>
    <w:rsid w:val="00850002"/>
    <w:rsid w:val="008501B4"/>
    <w:rsid w:val="0085047F"/>
    <w:rsid w:val="008506C6"/>
    <w:rsid w:val="008509A0"/>
    <w:rsid w:val="00850D45"/>
    <w:rsid w:val="00850E86"/>
    <w:rsid w:val="00850F48"/>
    <w:rsid w:val="0085109C"/>
    <w:rsid w:val="008512B4"/>
    <w:rsid w:val="00851342"/>
    <w:rsid w:val="008515DE"/>
    <w:rsid w:val="00851988"/>
    <w:rsid w:val="00851B6C"/>
    <w:rsid w:val="00851B6D"/>
    <w:rsid w:val="0085234B"/>
    <w:rsid w:val="008527DA"/>
    <w:rsid w:val="00852AD0"/>
    <w:rsid w:val="00852CEA"/>
    <w:rsid w:val="00852DF9"/>
    <w:rsid w:val="00852F07"/>
    <w:rsid w:val="00853713"/>
    <w:rsid w:val="00853762"/>
    <w:rsid w:val="008538D9"/>
    <w:rsid w:val="008539EB"/>
    <w:rsid w:val="00853EF3"/>
    <w:rsid w:val="00853F71"/>
    <w:rsid w:val="00853FE3"/>
    <w:rsid w:val="00854036"/>
    <w:rsid w:val="0085423D"/>
    <w:rsid w:val="00854260"/>
    <w:rsid w:val="008543D7"/>
    <w:rsid w:val="0085440B"/>
    <w:rsid w:val="00854A38"/>
    <w:rsid w:val="00854B18"/>
    <w:rsid w:val="00854E47"/>
    <w:rsid w:val="00855276"/>
    <w:rsid w:val="00855587"/>
    <w:rsid w:val="0085563A"/>
    <w:rsid w:val="00855A0F"/>
    <w:rsid w:val="00855A53"/>
    <w:rsid w:val="00855A99"/>
    <w:rsid w:val="00855E38"/>
    <w:rsid w:val="00855FD2"/>
    <w:rsid w:val="008561F3"/>
    <w:rsid w:val="00856223"/>
    <w:rsid w:val="00856280"/>
    <w:rsid w:val="00856413"/>
    <w:rsid w:val="00856473"/>
    <w:rsid w:val="008564B3"/>
    <w:rsid w:val="00856594"/>
    <w:rsid w:val="00856853"/>
    <w:rsid w:val="008568B9"/>
    <w:rsid w:val="0085694F"/>
    <w:rsid w:val="00856DCE"/>
    <w:rsid w:val="00856FA0"/>
    <w:rsid w:val="00856FD0"/>
    <w:rsid w:val="00856FFC"/>
    <w:rsid w:val="00857080"/>
    <w:rsid w:val="008571A8"/>
    <w:rsid w:val="00857397"/>
    <w:rsid w:val="00857578"/>
    <w:rsid w:val="0085762B"/>
    <w:rsid w:val="008576E6"/>
    <w:rsid w:val="008578BE"/>
    <w:rsid w:val="00857A6B"/>
    <w:rsid w:val="00857CB2"/>
    <w:rsid w:val="00857DE0"/>
    <w:rsid w:val="00857E8C"/>
    <w:rsid w:val="00857F21"/>
    <w:rsid w:val="00857FD5"/>
    <w:rsid w:val="00860071"/>
    <w:rsid w:val="008601E0"/>
    <w:rsid w:val="00860301"/>
    <w:rsid w:val="0086033B"/>
    <w:rsid w:val="008603FC"/>
    <w:rsid w:val="00860420"/>
    <w:rsid w:val="008604C7"/>
    <w:rsid w:val="00860716"/>
    <w:rsid w:val="0086084E"/>
    <w:rsid w:val="008608F7"/>
    <w:rsid w:val="00860A29"/>
    <w:rsid w:val="00860AE5"/>
    <w:rsid w:val="00860D0B"/>
    <w:rsid w:val="00860EF1"/>
    <w:rsid w:val="00860F41"/>
    <w:rsid w:val="00860F7D"/>
    <w:rsid w:val="00860FA2"/>
    <w:rsid w:val="008617BF"/>
    <w:rsid w:val="008617CD"/>
    <w:rsid w:val="008619BE"/>
    <w:rsid w:val="008619D1"/>
    <w:rsid w:val="00861B06"/>
    <w:rsid w:val="00861CE2"/>
    <w:rsid w:val="00861F2F"/>
    <w:rsid w:val="00862533"/>
    <w:rsid w:val="008626A5"/>
    <w:rsid w:val="00862A2C"/>
    <w:rsid w:val="00863077"/>
    <w:rsid w:val="008630BD"/>
    <w:rsid w:val="00863244"/>
    <w:rsid w:val="00863867"/>
    <w:rsid w:val="00863938"/>
    <w:rsid w:val="00863A10"/>
    <w:rsid w:val="00863B77"/>
    <w:rsid w:val="00863CD0"/>
    <w:rsid w:val="00863F5B"/>
    <w:rsid w:val="0086423A"/>
    <w:rsid w:val="008642D0"/>
    <w:rsid w:val="00864724"/>
    <w:rsid w:val="00864D7F"/>
    <w:rsid w:val="00864DAD"/>
    <w:rsid w:val="008650ED"/>
    <w:rsid w:val="00865252"/>
    <w:rsid w:val="00865627"/>
    <w:rsid w:val="008658F5"/>
    <w:rsid w:val="008659DC"/>
    <w:rsid w:val="00865AF3"/>
    <w:rsid w:val="00865BF3"/>
    <w:rsid w:val="00865DAC"/>
    <w:rsid w:val="008661BB"/>
    <w:rsid w:val="00866872"/>
    <w:rsid w:val="008669F1"/>
    <w:rsid w:val="00866AA9"/>
    <w:rsid w:val="00866DEB"/>
    <w:rsid w:val="00867096"/>
    <w:rsid w:val="008676E3"/>
    <w:rsid w:val="00867A9B"/>
    <w:rsid w:val="00867B00"/>
    <w:rsid w:val="00867D54"/>
    <w:rsid w:val="00867E42"/>
    <w:rsid w:val="00870137"/>
    <w:rsid w:val="00870208"/>
    <w:rsid w:val="00870899"/>
    <w:rsid w:val="0087089C"/>
    <w:rsid w:val="00870979"/>
    <w:rsid w:val="00870B32"/>
    <w:rsid w:val="00870BB4"/>
    <w:rsid w:val="00871036"/>
    <w:rsid w:val="0087105F"/>
    <w:rsid w:val="00871142"/>
    <w:rsid w:val="008711EF"/>
    <w:rsid w:val="00871599"/>
    <w:rsid w:val="008718F9"/>
    <w:rsid w:val="00871D04"/>
    <w:rsid w:val="00871DA4"/>
    <w:rsid w:val="008720C0"/>
    <w:rsid w:val="008722F3"/>
    <w:rsid w:val="0087245E"/>
    <w:rsid w:val="00872A86"/>
    <w:rsid w:val="00872D77"/>
    <w:rsid w:val="00873111"/>
    <w:rsid w:val="008736E0"/>
    <w:rsid w:val="00873D07"/>
    <w:rsid w:val="008741C5"/>
    <w:rsid w:val="008744F1"/>
    <w:rsid w:val="008745E3"/>
    <w:rsid w:val="0087481F"/>
    <w:rsid w:val="008748DA"/>
    <w:rsid w:val="0087498F"/>
    <w:rsid w:val="008749D7"/>
    <w:rsid w:val="00874AAA"/>
    <w:rsid w:val="00874BB9"/>
    <w:rsid w:val="00874D61"/>
    <w:rsid w:val="00874E68"/>
    <w:rsid w:val="00874F59"/>
    <w:rsid w:val="00874F5C"/>
    <w:rsid w:val="00874FBD"/>
    <w:rsid w:val="00874FC1"/>
    <w:rsid w:val="0087536C"/>
    <w:rsid w:val="00875A20"/>
    <w:rsid w:val="00875ABF"/>
    <w:rsid w:val="0087633C"/>
    <w:rsid w:val="00876520"/>
    <w:rsid w:val="00876674"/>
    <w:rsid w:val="00876729"/>
    <w:rsid w:val="00876743"/>
    <w:rsid w:val="00876965"/>
    <w:rsid w:val="00876AAD"/>
    <w:rsid w:val="00876B7F"/>
    <w:rsid w:val="00876BCF"/>
    <w:rsid w:val="00876D6B"/>
    <w:rsid w:val="00877050"/>
    <w:rsid w:val="00877267"/>
    <w:rsid w:val="00877341"/>
    <w:rsid w:val="0087771E"/>
    <w:rsid w:val="008779B3"/>
    <w:rsid w:val="00877BB0"/>
    <w:rsid w:val="00877EBE"/>
    <w:rsid w:val="00877F69"/>
    <w:rsid w:val="00877FB1"/>
    <w:rsid w:val="00880779"/>
    <w:rsid w:val="00880780"/>
    <w:rsid w:val="00880834"/>
    <w:rsid w:val="00880A36"/>
    <w:rsid w:val="008810E7"/>
    <w:rsid w:val="0088119F"/>
    <w:rsid w:val="0088122E"/>
    <w:rsid w:val="00881CCE"/>
    <w:rsid w:val="00881D31"/>
    <w:rsid w:val="00881DC9"/>
    <w:rsid w:val="00882079"/>
    <w:rsid w:val="008820A9"/>
    <w:rsid w:val="00882314"/>
    <w:rsid w:val="00882474"/>
    <w:rsid w:val="008827E5"/>
    <w:rsid w:val="008828AA"/>
    <w:rsid w:val="0088291A"/>
    <w:rsid w:val="008829E7"/>
    <w:rsid w:val="00882A3B"/>
    <w:rsid w:val="00882AB5"/>
    <w:rsid w:val="008830E5"/>
    <w:rsid w:val="0088319E"/>
    <w:rsid w:val="008833AA"/>
    <w:rsid w:val="00883914"/>
    <w:rsid w:val="00883A81"/>
    <w:rsid w:val="00883B58"/>
    <w:rsid w:val="00883F0D"/>
    <w:rsid w:val="00884488"/>
    <w:rsid w:val="0088471A"/>
    <w:rsid w:val="00884975"/>
    <w:rsid w:val="00884988"/>
    <w:rsid w:val="00884B34"/>
    <w:rsid w:val="00884BD4"/>
    <w:rsid w:val="00884CF2"/>
    <w:rsid w:val="00885266"/>
    <w:rsid w:val="0088526B"/>
    <w:rsid w:val="0088538F"/>
    <w:rsid w:val="008856E4"/>
    <w:rsid w:val="008857F6"/>
    <w:rsid w:val="00885859"/>
    <w:rsid w:val="00885B06"/>
    <w:rsid w:val="00885B27"/>
    <w:rsid w:val="00885BAF"/>
    <w:rsid w:val="008860BA"/>
    <w:rsid w:val="0088664B"/>
    <w:rsid w:val="00886747"/>
    <w:rsid w:val="00886BB4"/>
    <w:rsid w:val="00886C3C"/>
    <w:rsid w:val="00886E11"/>
    <w:rsid w:val="00886E27"/>
    <w:rsid w:val="008871E0"/>
    <w:rsid w:val="008872DF"/>
    <w:rsid w:val="0088749A"/>
    <w:rsid w:val="008875F8"/>
    <w:rsid w:val="0088767C"/>
    <w:rsid w:val="00887E7D"/>
    <w:rsid w:val="008903CA"/>
    <w:rsid w:val="008909F9"/>
    <w:rsid w:val="00890BE6"/>
    <w:rsid w:val="00890BFF"/>
    <w:rsid w:val="00890C4D"/>
    <w:rsid w:val="00890CB7"/>
    <w:rsid w:val="00890EFD"/>
    <w:rsid w:val="00891184"/>
    <w:rsid w:val="008912C7"/>
    <w:rsid w:val="00891351"/>
    <w:rsid w:val="008915C0"/>
    <w:rsid w:val="00891A72"/>
    <w:rsid w:val="00891D76"/>
    <w:rsid w:val="00891FE0"/>
    <w:rsid w:val="00892023"/>
    <w:rsid w:val="0089205E"/>
    <w:rsid w:val="00892121"/>
    <w:rsid w:val="00892584"/>
    <w:rsid w:val="008925D0"/>
    <w:rsid w:val="00892687"/>
    <w:rsid w:val="0089278E"/>
    <w:rsid w:val="008929AD"/>
    <w:rsid w:val="00892CC1"/>
    <w:rsid w:val="008932AA"/>
    <w:rsid w:val="00893314"/>
    <w:rsid w:val="0089332B"/>
    <w:rsid w:val="00893395"/>
    <w:rsid w:val="008933C8"/>
    <w:rsid w:val="008935CB"/>
    <w:rsid w:val="008936BA"/>
    <w:rsid w:val="0089380C"/>
    <w:rsid w:val="00893B54"/>
    <w:rsid w:val="00893BAC"/>
    <w:rsid w:val="00894327"/>
    <w:rsid w:val="0089433A"/>
    <w:rsid w:val="00894468"/>
    <w:rsid w:val="008948AC"/>
    <w:rsid w:val="00894926"/>
    <w:rsid w:val="00894960"/>
    <w:rsid w:val="00894B24"/>
    <w:rsid w:val="00894BE4"/>
    <w:rsid w:val="00894CC5"/>
    <w:rsid w:val="00894FEE"/>
    <w:rsid w:val="008954DD"/>
    <w:rsid w:val="00895782"/>
    <w:rsid w:val="0089581E"/>
    <w:rsid w:val="008959A3"/>
    <w:rsid w:val="008959B2"/>
    <w:rsid w:val="00895AD3"/>
    <w:rsid w:val="00895E04"/>
    <w:rsid w:val="00895F08"/>
    <w:rsid w:val="00895F59"/>
    <w:rsid w:val="00896091"/>
    <w:rsid w:val="008961BE"/>
    <w:rsid w:val="00896539"/>
    <w:rsid w:val="00896983"/>
    <w:rsid w:val="00896A99"/>
    <w:rsid w:val="00896AE2"/>
    <w:rsid w:val="00896C18"/>
    <w:rsid w:val="00896E4F"/>
    <w:rsid w:val="0089741D"/>
    <w:rsid w:val="008976BD"/>
    <w:rsid w:val="008978C5"/>
    <w:rsid w:val="00897A75"/>
    <w:rsid w:val="00897CDB"/>
    <w:rsid w:val="00897E35"/>
    <w:rsid w:val="00897EAD"/>
    <w:rsid w:val="008A01A0"/>
    <w:rsid w:val="008A02A6"/>
    <w:rsid w:val="008A046D"/>
    <w:rsid w:val="008A082D"/>
    <w:rsid w:val="008A0A91"/>
    <w:rsid w:val="008A1008"/>
    <w:rsid w:val="008A135D"/>
    <w:rsid w:val="008A1398"/>
    <w:rsid w:val="008A15C5"/>
    <w:rsid w:val="008A16A3"/>
    <w:rsid w:val="008A17D1"/>
    <w:rsid w:val="008A1952"/>
    <w:rsid w:val="008A1B6F"/>
    <w:rsid w:val="008A1D84"/>
    <w:rsid w:val="008A1E11"/>
    <w:rsid w:val="008A1EB9"/>
    <w:rsid w:val="008A1EDC"/>
    <w:rsid w:val="008A1F07"/>
    <w:rsid w:val="008A2079"/>
    <w:rsid w:val="008A20E4"/>
    <w:rsid w:val="008A2267"/>
    <w:rsid w:val="008A227E"/>
    <w:rsid w:val="008A2D6A"/>
    <w:rsid w:val="008A2ED6"/>
    <w:rsid w:val="008A2ED8"/>
    <w:rsid w:val="008A2EFE"/>
    <w:rsid w:val="008A305C"/>
    <w:rsid w:val="008A33BA"/>
    <w:rsid w:val="008A33D3"/>
    <w:rsid w:val="008A33EB"/>
    <w:rsid w:val="008A3800"/>
    <w:rsid w:val="008A3991"/>
    <w:rsid w:val="008A399F"/>
    <w:rsid w:val="008A39AD"/>
    <w:rsid w:val="008A3BB6"/>
    <w:rsid w:val="008A3C99"/>
    <w:rsid w:val="008A3CB1"/>
    <w:rsid w:val="008A3E25"/>
    <w:rsid w:val="008A3EBB"/>
    <w:rsid w:val="008A422F"/>
    <w:rsid w:val="008A44F4"/>
    <w:rsid w:val="008A4656"/>
    <w:rsid w:val="008A468B"/>
    <w:rsid w:val="008A487F"/>
    <w:rsid w:val="008A4B5D"/>
    <w:rsid w:val="008A4C70"/>
    <w:rsid w:val="008A4C73"/>
    <w:rsid w:val="008A51B7"/>
    <w:rsid w:val="008A527B"/>
    <w:rsid w:val="008A52E2"/>
    <w:rsid w:val="008A54B3"/>
    <w:rsid w:val="008A5511"/>
    <w:rsid w:val="008A5525"/>
    <w:rsid w:val="008A5569"/>
    <w:rsid w:val="008A560F"/>
    <w:rsid w:val="008A5616"/>
    <w:rsid w:val="008A5814"/>
    <w:rsid w:val="008A584F"/>
    <w:rsid w:val="008A5C40"/>
    <w:rsid w:val="008A5D78"/>
    <w:rsid w:val="008A5E96"/>
    <w:rsid w:val="008A60A9"/>
    <w:rsid w:val="008A6897"/>
    <w:rsid w:val="008A6A50"/>
    <w:rsid w:val="008A6ABD"/>
    <w:rsid w:val="008A6DB4"/>
    <w:rsid w:val="008A6E56"/>
    <w:rsid w:val="008A6FB4"/>
    <w:rsid w:val="008A7020"/>
    <w:rsid w:val="008A722F"/>
    <w:rsid w:val="008A733E"/>
    <w:rsid w:val="008A7AE8"/>
    <w:rsid w:val="008A7B5F"/>
    <w:rsid w:val="008A7C13"/>
    <w:rsid w:val="008A7CA0"/>
    <w:rsid w:val="008A7D46"/>
    <w:rsid w:val="008A7E68"/>
    <w:rsid w:val="008B0119"/>
    <w:rsid w:val="008B031E"/>
    <w:rsid w:val="008B0376"/>
    <w:rsid w:val="008B0579"/>
    <w:rsid w:val="008B07FB"/>
    <w:rsid w:val="008B094F"/>
    <w:rsid w:val="008B0A1B"/>
    <w:rsid w:val="008B0C61"/>
    <w:rsid w:val="008B0DA0"/>
    <w:rsid w:val="008B0E2B"/>
    <w:rsid w:val="008B0E8C"/>
    <w:rsid w:val="008B1257"/>
    <w:rsid w:val="008B1374"/>
    <w:rsid w:val="008B166A"/>
    <w:rsid w:val="008B1883"/>
    <w:rsid w:val="008B1EEF"/>
    <w:rsid w:val="008B1F09"/>
    <w:rsid w:val="008B21E4"/>
    <w:rsid w:val="008B22B8"/>
    <w:rsid w:val="008B23CA"/>
    <w:rsid w:val="008B23F3"/>
    <w:rsid w:val="008B253F"/>
    <w:rsid w:val="008B2731"/>
    <w:rsid w:val="008B296A"/>
    <w:rsid w:val="008B2AB1"/>
    <w:rsid w:val="008B2BE0"/>
    <w:rsid w:val="008B30F5"/>
    <w:rsid w:val="008B3147"/>
    <w:rsid w:val="008B321B"/>
    <w:rsid w:val="008B32DD"/>
    <w:rsid w:val="008B32EA"/>
    <w:rsid w:val="008B39F0"/>
    <w:rsid w:val="008B3C3D"/>
    <w:rsid w:val="008B3CA0"/>
    <w:rsid w:val="008B3FF8"/>
    <w:rsid w:val="008B42D2"/>
    <w:rsid w:val="008B4731"/>
    <w:rsid w:val="008B4BA2"/>
    <w:rsid w:val="008B4CE3"/>
    <w:rsid w:val="008B4D71"/>
    <w:rsid w:val="008B4DE1"/>
    <w:rsid w:val="008B4F8E"/>
    <w:rsid w:val="008B520D"/>
    <w:rsid w:val="008B540C"/>
    <w:rsid w:val="008B543D"/>
    <w:rsid w:val="008B5636"/>
    <w:rsid w:val="008B58EF"/>
    <w:rsid w:val="008B5A96"/>
    <w:rsid w:val="008B5C04"/>
    <w:rsid w:val="008B5CE9"/>
    <w:rsid w:val="008B5D5D"/>
    <w:rsid w:val="008B5D6B"/>
    <w:rsid w:val="008B5ECF"/>
    <w:rsid w:val="008B5EF6"/>
    <w:rsid w:val="008B604C"/>
    <w:rsid w:val="008B6188"/>
    <w:rsid w:val="008B61D9"/>
    <w:rsid w:val="008B623B"/>
    <w:rsid w:val="008B630E"/>
    <w:rsid w:val="008B6642"/>
    <w:rsid w:val="008B6769"/>
    <w:rsid w:val="008B6AB4"/>
    <w:rsid w:val="008B6AFD"/>
    <w:rsid w:val="008B6B55"/>
    <w:rsid w:val="008B6FE8"/>
    <w:rsid w:val="008B7116"/>
    <w:rsid w:val="008B71BB"/>
    <w:rsid w:val="008B7304"/>
    <w:rsid w:val="008B7336"/>
    <w:rsid w:val="008B751B"/>
    <w:rsid w:val="008B753D"/>
    <w:rsid w:val="008B7A5A"/>
    <w:rsid w:val="008B7ADF"/>
    <w:rsid w:val="008B7E9B"/>
    <w:rsid w:val="008B7EED"/>
    <w:rsid w:val="008B7FE1"/>
    <w:rsid w:val="008C0019"/>
    <w:rsid w:val="008C0072"/>
    <w:rsid w:val="008C03C7"/>
    <w:rsid w:val="008C0560"/>
    <w:rsid w:val="008C0693"/>
    <w:rsid w:val="008C0AFE"/>
    <w:rsid w:val="008C0B88"/>
    <w:rsid w:val="008C0D7E"/>
    <w:rsid w:val="008C0E9E"/>
    <w:rsid w:val="008C0F1F"/>
    <w:rsid w:val="008C0F7B"/>
    <w:rsid w:val="008C1166"/>
    <w:rsid w:val="008C15B1"/>
    <w:rsid w:val="008C15E8"/>
    <w:rsid w:val="008C1622"/>
    <w:rsid w:val="008C1A0E"/>
    <w:rsid w:val="008C1AD1"/>
    <w:rsid w:val="008C1C2B"/>
    <w:rsid w:val="008C1CE3"/>
    <w:rsid w:val="008C1DE7"/>
    <w:rsid w:val="008C2314"/>
    <w:rsid w:val="008C235F"/>
    <w:rsid w:val="008C2377"/>
    <w:rsid w:val="008C24C0"/>
    <w:rsid w:val="008C24F8"/>
    <w:rsid w:val="008C2556"/>
    <w:rsid w:val="008C25DE"/>
    <w:rsid w:val="008C26A9"/>
    <w:rsid w:val="008C290D"/>
    <w:rsid w:val="008C2A11"/>
    <w:rsid w:val="008C2A33"/>
    <w:rsid w:val="008C2C89"/>
    <w:rsid w:val="008C2E06"/>
    <w:rsid w:val="008C3134"/>
    <w:rsid w:val="008C33A2"/>
    <w:rsid w:val="008C34C3"/>
    <w:rsid w:val="008C3A96"/>
    <w:rsid w:val="008C3AC2"/>
    <w:rsid w:val="008C3BDD"/>
    <w:rsid w:val="008C4067"/>
    <w:rsid w:val="008C42F2"/>
    <w:rsid w:val="008C43C6"/>
    <w:rsid w:val="008C465F"/>
    <w:rsid w:val="008C4994"/>
    <w:rsid w:val="008C4A5E"/>
    <w:rsid w:val="008C4AD5"/>
    <w:rsid w:val="008C4CEC"/>
    <w:rsid w:val="008C4EF8"/>
    <w:rsid w:val="008C4F68"/>
    <w:rsid w:val="008C51F1"/>
    <w:rsid w:val="008C545B"/>
    <w:rsid w:val="008C5563"/>
    <w:rsid w:val="008C564A"/>
    <w:rsid w:val="008C57E4"/>
    <w:rsid w:val="008C58D9"/>
    <w:rsid w:val="008C5A77"/>
    <w:rsid w:val="008C5B45"/>
    <w:rsid w:val="008C5CDB"/>
    <w:rsid w:val="008C5E59"/>
    <w:rsid w:val="008C61DA"/>
    <w:rsid w:val="008C6660"/>
    <w:rsid w:val="008C6BC1"/>
    <w:rsid w:val="008C6C8D"/>
    <w:rsid w:val="008C71D6"/>
    <w:rsid w:val="008C7733"/>
    <w:rsid w:val="008C777B"/>
    <w:rsid w:val="008C785B"/>
    <w:rsid w:val="008C79EB"/>
    <w:rsid w:val="008C7C58"/>
    <w:rsid w:val="008C7DFB"/>
    <w:rsid w:val="008C7EEB"/>
    <w:rsid w:val="008D0020"/>
    <w:rsid w:val="008D0067"/>
    <w:rsid w:val="008D021E"/>
    <w:rsid w:val="008D0239"/>
    <w:rsid w:val="008D058E"/>
    <w:rsid w:val="008D0AFC"/>
    <w:rsid w:val="008D0DA4"/>
    <w:rsid w:val="008D1048"/>
    <w:rsid w:val="008D13D0"/>
    <w:rsid w:val="008D15F3"/>
    <w:rsid w:val="008D193C"/>
    <w:rsid w:val="008D1B5E"/>
    <w:rsid w:val="008D1D49"/>
    <w:rsid w:val="008D1F0A"/>
    <w:rsid w:val="008D21CC"/>
    <w:rsid w:val="008D2A8E"/>
    <w:rsid w:val="008D2B61"/>
    <w:rsid w:val="008D2C5D"/>
    <w:rsid w:val="008D2D0E"/>
    <w:rsid w:val="008D2F15"/>
    <w:rsid w:val="008D2FDE"/>
    <w:rsid w:val="008D30FA"/>
    <w:rsid w:val="008D3262"/>
    <w:rsid w:val="008D350E"/>
    <w:rsid w:val="008D3652"/>
    <w:rsid w:val="008D37D2"/>
    <w:rsid w:val="008D3816"/>
    <w:rsid w:val="008D38A4"/>
    <w:rsid w:val="008D3AE4"/>
    <w:rsid w:val="008D3BC2"/>
    <w:rsid w:val="008D43D1"/>
    <w:rsid w:val="008D46EF"/>
    <w:rsid w:val="008D47FA"/>
    <w:rsid w:val="008D4ACE"/>
    <w:rsid w:val="008D4AFB"/>
    <w:rsid w:val="008D4BF0"/>
    <w:rsid w:val="008D4C8A"/>
    <w:rsid w:val="008D4DC2"/>
    <w:rsid w:val="008D4E91"/>
    <w:rsid w:val="008D4F4B"/>
    <w:rsid w:val="008D53E2"/>
    <w:rsid w:val="008D5634"/>
    <w:rsid w:val="008D5982"/>
    <w:rsid w:val="008D5D45"/>
    <w:rsid w:val="008D5EDB"/>
    <w:rsid w:val="008D63AB"/>
    <w:rsid w:val="008D63CD"/>
    <w:rsid w:val="008D6743"/>
    <w:rsid w:val="008D6BBE"/>
    <w:rsid w:val="008D6F23"/>
    <w:rsid w:val="008D6FAB"/>
    <w:rsid w:val="008D70C9"/>
    <w:rsid w:val="008D7130"/>
    <w:rsid w:val="008D72EA"/>
    <w:rsid w:val="008D7563"/>
    <w:rsid w:val="008D7620"/>
    <w:rsid w:val="008D776B"/>
    <w:rsid w:val="008D7C73"/>
    <w:rsid w:val="008E0188"/>
    <w:rsid w:val="008E027F"/>
    <w:rsid w:val="008E044B"/>
    <w:rsid w:val="008E08A9"/>
    <w:rsid w:val="008E0AFB"/>
    <w:rsid w:val="008E0B76"/>
    <w:rsid w:val="008E0BBB"/>
    <w:rsid w:val="008E0C67"/>
    <w:rsid w:val="008E0DB8"/>
    <w:rsid w:val="008E0EF2"/>
    <w:rsid w:val="008E0F4F"/>
    <w:rsid w:val="008E112C"/>
    <w:rsid w:val="008E1528"/>
    <w:rsid w:val="008E17DA"/>
    <w:rsid w:val="008E19AF"/>
    <w:rsid w:val="008E1ABE"/>
    <w:rsid w:val="008E1C63"/>
    <w:rsid w:val="008E1DB1"/>
    <w:rsid w:val="008E1EE5"/>
    <w:rsid w:val="008E1EFA"/>
    <w:rsid w:val="008E1F22"/>
    <w:rsid w:val="008E2323"/>
    <w:rsid w:val="008E241D"/>
    <w:rsid w:val="008E25C8"/>
    <w:rsid w:val="008E2695"/>
    <w:rsid w:val="008E269E"/>
    <w:rsid w:val="008E27AE"/>
    <w:rsid w:val="008E2A87"/>
    <w:rsid w:val="008E2AB5"/>
    <w:rsid w:val="008E2CAF"/>
    <w:rsid w:val="008E2E5B"/>
    <w:rsid w:val="008E32B0"/>
    <w:rsid w:val="008E34FA"/>
    <w:rsid w:val="008E376E"/>
    <w:rsid w:val="008E37F8"/>
    <w:rsid w:val="008E39D6"/>
    <w:rsid w:val="008E39E7"/>
    <w:rsid w:val="008E3E36"/>
    <w:rsid w:val="008E3F00"/>
    <w:rsid w:val="008E3F99"/>
    <w:rsid w:val="008E41FD"/>
    <w:rsid w:val="008E4409"/>
    <w:rsid w:val="008E472C"/>
    <w:rsid w:val="008E4790"/>
    <w:rsid w:val="008E49A4"/>
    <w:rsid w:val="008E4B14"/>
    <w:rsid w:val="008E4D6D"/>
    <w:rsid w:val="008E4E62"/>
    <w:rsid w:val="008E4FE1"/>
    <w:rsid w:val="008E5305"/>
    <w:rsid w:val="008E5554"/>
    <w:rsid w:val="008E56E5"/>
    <w:rsid w:val="008E5D5A"/>
    <w:rsid w:val="008E5D66"/>
    <w:rsid w:val="008E5FD5"/>
    <w:rsid w:val="008E6105"/>
    <w:rsid w:val="008E62C4"/>
    <w:rsid w:val="008E6303"/>
    <w:rsid w:val="008E6506"/>
    <w:rsid w:val="008E6561"/>
    <w:rsid w:val="008E65BF"/>
    <w:rsid w:val="008E65FD"/>
    <w:rsid w:val="008E67DA"/>
    <w:rsid w:val="008E6840"/>
    <w:rsid w:val="008E6BB8"/>
    <w:rsid w:val="008E6C3F"/>
    <w:rsid w:val="008E6C78"/>
    <w:rsid w:val="008E729A"/>
    <w:rsid w:val="008E7356"/>
    <w:rsid w:val="008E7499"/>
    <w:rsid w:val="008E751A"/>
    <w:rsid w:val="008E7745"/>
    <w:rsid w:val="008E77A0"/>
    <w:rsid w:val="008E78C2"/>
    <w:rsid w:val="008E7984"/>
    <w:rsid w:val="008E7C25"/>
    <w:rsid w:val="008F0972"/>
    <w:rsid w:val="008F0A44"/>
    <w:rsid w:val="008F0E27"/>
    <w:rsid w:val="008F0EEC"/>
    <w:rsid w:val="008F0F44"/>
    <w:rsid w:val="008F102F"/>
    <w:rsid w:val="008F10FF"/>
    <w:rsid w:val="008F1224"/>
    <w:rsid w:val="008F15A8"/>
    <w:rsid w:val="008F1645"/>
    <w:rsid w:val="008F1706"/>
    <w:rsid w:val="008F191A"/>
    <w:rsid w:val="008F1B06"/>
    <w:rsid w:val="008F1FBC"/>
    <w:rsid w:val="008F201A"/>
    <w:rsid w:val="008F23AF"/>
    <w:rsid w:val="008F24A6"/>
    <w:rsid w:val="008F2560"/>
    <w:rsid w:val="008F2569"/>
    <w:rsid w:val="008F2763"/>
    <w:rsid w:val="008F2A58"/>
    <w:rsid w:val="008F2BDD"/>
    <w:rsid w:val="008F2D35"/>
    <w:rsid w:val="008F2D7A"/>
    <w:rsid w:val="008F2DFB"/>
    <w:rsid w:val="008F349E"/>
    <w:rsid w:val="008F35A4"/>
    <w:rsid w:val="008F35D9"/>
    <w:rsid w:val="008F37AA"/>
    <w:rsid w:val="008F3B9E"/>
    <w:rsid w:val="008F3CFA"/>
    <w:rsid w:val="008F3D61"/>
    <w:rsid w:val="008F410F"/>
    <w:rsid w:val="008F411C"/>
    <w:rsid w:val="008F4141"/>
    <w:rsid w:val="008F417B"/>
    <w:rsid w:val="008F4214"/>
    <w:rsid w:val="008F4683"/>
    <w:rsid w:val="008F480B"/>
    <w:rsid w:val="008F483C"/>
    <w:rsid w:val="008F48D9"/>
    <w:rsid w:val="008F4989"/>
    <w:rsid w:val="008F4F5F"/>
    <w:rsid w:val="008F56AD"/>
    <w:rsid w:val="008F591C"/>
    <w:rsid w:val="008F5CCB"/>
    <w:rsid w:val="008F5E16"/>
    <w:rsid w:val="008F6264"/>
    <w:rsid w:val="008F686F"/>
    <w:rsid w:val="008F6CD0"/>
    <w:rsid w:val="008F6CEB"/>
    <w:rsid w:val="008F6FCE"/>
    <w:rsid w:val="008F72F3"/>
    <w:rsid w:val="008F74E6"/>
    <w:rsid w:val="008F74EC"/>
    <w:rsid w:val="008F756B"/>
    <w:rsid w:val="008F75A2"/>
    <w:rsid w:val="008F7E91"/>
    <w:rsid w:val="009001C9"/>
    <w:rsid w:val="0090045B"/>
    <w:rsid w:val="009007CC"/>
    <w:rsid w:val="00900902"/>
    <w:rsid w:val="0090091B"/>
    <w:rsid w:val="00900948"/>
    <w:rsid w:val="00900978"/>
    <w:rsid w:val="00900BE3"/>
    <w:rsid w:val="009010EA"/>
    <w:rsid w:val="00901697"/>
    <w:rsid w:val="0090170D"/>
    <w:rsid w:val="00901790"/>
    <w:rsid w:val="00901957"/>
    <w:rsid w:val="009019CE"/>
    <w:rsid w:val="00901C95"/>
    <w:rsid w:val="00901D54"/>
    <w:rsid w:val="00902415"/>
    <w:rsid w:val="00902517"/>
    <w:rsid w:val="00902605"/>
    <w:rsid w:val="00902743"/>
    <w:rsid w:val="009027B6"/>
    <w:rsid w:val="00902A07"/>
    <w:rsid w:val="00902D04"/>
    <w:rsid w:val="00902E60"/>
    <w:rsid w:val="00903021"/>
    <w:rsid w:val="00903046"/>
    <w:rsid w:val="0090309A"/>
    <w:rsid w:val="00903238"/>
    <w:rsid w:val="009036D5"/>
    <w:rsid w:val="00903869"/>
    <w:rsid w:val="009039CE"/>
    <w:rsid w:val="00903AF6"/>
    <w:rsid w:val="00904245"/>
    <w:rsid w:val="0090434F"/>
    <w:rsid w:val="009043BB"/>
    <w:rsid w:val="0090444A"/>
    <w:rsid w:val="009046CB"/>
    <w:rsid w:val="00904714"/>
    <w:rsid w:val="00904A17"/>
    <w:rsid w:val="00904B2E"/>
    <w:rsid w:val="00904CC0"/>
    <w:rsid w:val="00904DEB"/>
    <w:rsid w:val="00904EA7"/>
    <w:rsid w:val="009052E2"/>
    <w:rsid w:val="009055EB"/>
    <w:rsid w:val="00905757"/>
    <w:rsid w:val="00905929"/>
    <w:rsid w:val="00905958"/>
    <w:rsid w:val="00905A99"/>
    <w:rsid w:val="00905CCF"/>
    <w:rsid w:val="00905EBF"/>
    <w:rsid w:val="009061AC"/>
    <w:rsid w:val="009063F8"/>
    <w:rsid w:val="00906520"/>
    <w:rsid w:val="00906545"/>
    <w:rsid w:val="00906567"/>
    <w:rsid w:val="00906CF5"/>
    <w:rsid w:val="00906D34"/>
    <w:rsid w:val="00906DFA"/>
    <w:rsid w:val="00906E85"/>
    <w:rsid w:val="00906EC9"/>
    <w:rsid w:val="009070D7"/>
    <w:rsid w:val="009071BB"/>
    <w:rsid w:val="009072C8"/>
    <w:rsid w:val="00907309"/>
    <w:rsid w:val="0090749E"/>
    <w:rsid w:val="0090783C"/>
    <w:rsid w:val="00907BBD"/>
    <w:rsid w:val="00907C75"/>
    <w:rsid w:val="00907FAE"/>
    <w:rsid w:val="0091002F"/>
    <w:rsid w:val="0091023C"/>
    <w:rsid w:val="00910B00"/>
    <w:rsid w:val="00910D9C"/>
    <w:rsid w:val="00910EE9"/>
    <w:rsid w:val="0091144A"/>
    <w:rsid w:val="009114D6"/>
    <w:rsid w:val="00911809"/>
    <w:rsid w:val="00911A63"/>
    <w:rsid w:val="00911ACC"/>
    <w:rsid w:val="00911B6D"/>
    <w:rsid w:val="00911CA2"/>
    <w:rsid w:val="00912161"/>
    <w:rsid w:val="0091236B"/>
    <w:rsid w:val="0091247F"/>
    <w:rsid w:val="0091255E"/>
    <w:rsid w:val="0091286E"/>
    <w:rsid w:val="00912BEF"/>
    <w:rsid w:val="00912C40"/>
    <w:rsid w:val="00912E0D"/>
    <w:rsid w:val="00912EC9"/>
    <w:rsid w:val="00913233"/>
    <w:rsid w:val="0091364D"/>
    <w:rsid w:val="009139BD"/>
    <w:rsid w:val="00913BB4"/>
    <w:rsid w:val="00913C44"/>
    <w:rsid w:val="00913D20"/>
    <w:rsid w:val="00913DF4"/>
    <w:rsid w:val="00913DF7"/>
    <w:rsid w:val="00913E0C"/>
    <w:rsid w:val="00913E0E"/>
    <w:rsid w:val="00913E30"/>
    <w:rsid w:val="009140D5"/>
    <w:rsid w:val="00914161"/>
    <w:rsid w:val="009144E3"/>
    <w:rsid w:val="00914606"/>
    <w:rsid w:val="0091486F"/>
    <w:rsid w:val="00914A9F"/>
    <w:rsid w:val="00914B40"/>
    <w:rsid w:val="00914C1F"/>
    <w:rsid w:val="00914D9C"/>
    <w:rsid w:val="0091555B"/>
    <w:rsid w:val="00915A11"/>
    <w:rsid w:val="00915FBD"/>
    <w:rsid w:val="00916216"/>
    <w:rsid w:val="0091629A"/>
    <w:rsid w:val="009163AE"/>
    <w:rsid w:val="00916414"/>
    <w:rsid w:val="009166A9"/>
    <w:rsid w:val="0091697F"/>
    <w:rsid w:val="00916D21"/>
    <w:rsid w:val="009173ED"/>
    <w:rsid w:val="009175CB"/>
    <w:rsid w:val="00917873"/>
    <w:rsid w:val="00917C49"/>
    <w:rsid w:val="00917CDB"/>
    <w:rsid w:val="00917E37"/>
    <w:rsid w:val="00917E7E"/>
    <w:rsid w:val="0092000E"/>
    <w:rsid w:val="00920083"/>
    <w:rsid w:val="0092011F"/>
    <w:rsid w:val="00920191"/>
    <w:rsid w:val="0092027F"/>
    <w:rsid w:val="00920453"/>
    <w:rsid w:val="0092076A"/>
    <w:rsid w:val="0092077E"/>
    <w:rsid w:val="009208D8"/>
    <w:rsid w:val="00920A8A"/>
    <w:rsid w:val="00920FCD"/>
    <w:rsid w:val="009212CB"/>
    <w:rsid w:val="00921573"/>
    <w:rsid w:val="0092162F"/>
    <w:rsid w:val="009216EB"/>
    <w:rsid w:val="00921960"/>
    <w:rsid w:val="00921ACA"/>
    <w:rsid w:val="00921BFF"/>
    <w:rsid w:val="00921D0B"/>
    <w:rsid w:val="00921D24"/>
    <w:rsid w:val="009221CD"/>
    <w:rsid w:val="009223D3"/>
    <w:rsid w:val="009224F5"/>
    <w:rsid w:val="00922598"/>
    <w:rsid w:val="00922703"/>
    <w:rsid w:val="00922733"/>
    <w:rsid w:val="00922C3B"/>
    <w:rsid w:val="00922F45"/>
    <w:rsid w:val="00923092"/>
    <w:rsid w:val="009230A3"/>
    <w:rsid w:val="0092323D"/>
    <w:rsid w:val="0092393F"/>
    <w:rsid w:val="00923A9C"/>
    <w:rsid w:val="00923D65"/>
    <w:rsid w:val="00924139"/>
    <w:rsid w:val="0092471C"/>
    <w:rsid w:val="00924801"/>
    <w:rsid w:val="0092493D"/>
    <w:rsid w:val="00924DDA"/>
    <w:rsid w:val="00924E56"/>
    <w:rsid w:val="00924EB2"/>
    <w:rsid w:val="00924FB6"/>
    <w:rsid w:val="009251D8"/>
    <w:rsid w:val="00925248"/>
    <w:rsid w:val="009254A5"/>
    <w:rsid w:val="00925521"/>
    <w:rsid w:val="0092567E"/>
    <w:rsid w:val="0092597A"/>
    <w:rsid w:val="00925CE9"/>
    <w:rsid w:val="00925E59"/>
    <w:rsid w:val="00925F58"/>
    <w:rsid w:val="00926107"/>
    <w:rsid w:val="0092630E"/>
    <w:rsid w:val="009263E0"/>
    <w:rsid w:val="0092666B"/>
    <w:rsid w:val="00926677"/>
    <w:rsid w:val="00926946"/>
    <w:rsid w:val="00926A4A"/>
    <w:rsid w:val="00926A69"/>
    <w:rsid w:val="00926A79"/>
    <w:rsid w:val="00926DEE"/>
    <w:rsid w:val="00926F84"/>
    <w:rsid w:val="00926F99"/>
    <w:rsid w:val="009270FE"/>
    <w:rsid w:val="00927160"/>
    <w:rsid w:val="00927270"/>
    <w:rsid w:val="009277B4"/>
    <w:rsid w:val="00927A8E"/>
    <w:rsid w:val="00927C17"/>
    <w:rsid w:val="00927CD5"/>
    <w:rsid w:val="00927E48"/>
    <w:rsid w:val="00927F37"/>
    <w:rsid w:val="00927F63"/>
    <w:rsid w:val="00927FA8"/>
    <w:rsid w:val="0093012D"/>
    <w:rsid w:val="0093094D"/>
    <w:rsid w:val="00930957"/>
    <w:rsid w:val="00930AE7"/>
    <w:rsid w:val="00930DEC"/>
    <w:rsid w:val="00930E8E"/>
    <w:rsid w:val="009310EF"/>
    <w:rsid w:val="0093113A"/>
    <w:rsid w:val="0093165F"/>
    <w:rsid w:val="00931687"/>
    <w:rsid w:val="009317E4"/>
    <w:rsid w:val="00931A50"/>
    <w:rsid w:val="00931C23"/>
    <w:rsid w:val="00931EB2"/>
    <w:rsid w:val="00931F7C"/>
    <w:rsid w:val="00931F81"/>
    <w:rsid w:val="009322F7"/>
    <w:rsid w:val="0093265B"/>
    <w:rsid w:val="0093276C"/>
    <w:rsid w:val="009327AB"/>
    <w:rsid w:val="00932A85"/>
    <w:rsid w:val="00932B2F"/>
    <w:rsid w:val="00932C5A"/>
    <w:rsid w:val="00932F6B"/>
    <w:rsid w:val="00932F96"/>
    <w:rsid w:val="009333A8"/>
    <w:rsid w:val="00933456"/>
    <w:rsid w:val="00933BA1"/>
    <w:rsid w:val="00933BB7"/>
    <w:rsid w:val="00933C4B"/>
    <w:rsid w:val="00933EDD"/>
    <w:rsid w:val="00933FD5"/>
    <w:rsid w:val="009345AB"/>
    <w:rsid w:val="00934746"/>
    <w:rsid w:val="00934962"/>
    <w:rsid w:val="00934AD7"/>
    <w:rsid w:val="00934BEF"/>
    <w:rsid w:val="00934CB3"/>
    <w:rsid w:val="00934E4E"/>
    <w:rsid w:val="00934EE5"/>
    <w:rsid w:val="00934F98"/>
    <w:rsid w:val="0093503B"/>
    <w:rsid w:val="0093519D"/>
    <w:rsid w:val="00935264"/>
    <w:rsid w:val="00935294"/>
    <w:rsid w:val="00935381"/>
    <w:rsid w:val="00935438"/>
    <w:rsid w:val="0093571D"/>
    <w:rsid w:val="0093581A"/>
    <w:rsid w:val="00935A5E"/>
    <w:rsid w:val="00935E1B"/>
    <w:rsid w:val="0093604F"/>
    <w:rsid w:val="00936106"/>
    <w:rsid w:val="00936582"/>
    <w:rsid w:val="0093662F"/>
    <w:rsid w:val="0093670B"/>
    <w:rsid w:val="00936B30"/>
    <w:rsid w:val="00936CE9"/>
    <w:rsid w:val="00937014"/>
    <w:rsid w:val="0093744A"/>
    <w:rsid w:val="009375EC"/>
    <w:rsid w:val="009378B7"/>
    <w:rsid w:val="009378B9"/>
    <w:rsid w:val="00937C03"/>
    <w:rsid w:val="00937DC2"/>
    <w:rsid w:val="00937E5D"/>
    <w:rsid w:val="00937EC2"/>
    <w:rsid w:val="0094031D"/>
    <w:rsid w:val="00940327"/>
    <w:rsid w:val="00940345"/>
    <w:rsid w:val="0094037C"/>
    <w:rsid w:val="009404D1"/>
    <w:rsid w:val="009405DA"/>
    <w:rsid w:val="00940B82"/>
    <w:rsid w:val="00940BDE"/>
    <w:rsid w:val="00940C11"/>
    <w:rsid w:val="009413D8"/>
    <w:rsid w:val="0094156A"/>
    <w:rsid w:val="009415E2"/>
    <w:rsid w:val="0094184A"/>
    <w:rsid w:val="0094197B"/>
    <w:rsid w:val="0094199C"/>
    <w:rsid w:val="00941EF9"/>
    <w:rsid w:val="0094206D"/>
    <w:rsid w:val="00942206"/>
    <w:rsid w:val="009428A5"/>
    <w:rsid w:val="00942C15"/>
    <w:rsid w:val="00942D4C"/>
    <w:rsid w:val="0094308A"/>
    <w:rsid w:val="0094342D"/>
    <w:rsid w:val="00943B09"/>
    <w:rsid w:val="00943B90"/>
    <w:rsid w:val="00943BA0"/>
    <w:rsid w:val="00943BBB"/>
    <w:rsid w:val="00943C32"/>
    <w:rsid w:val="00943C5E"/>
    <w:rsid w:val="00943E38"/>
    <w:rsid w:val="00944410"/>
    <w:rsid w:val="00944552"/>
    <w:rsid w:val="009445DF"/>
    <w:rsid w:val="00944608"/>
    <w:rsid w:val="00944800"/>
    <w:rsid w:val="00944A40"/>
    <w:rsid w:val="00944B8E"/>
    <w:rsid w:val="00944DE7"/>
    <w:rsid w:val="00945636"/>
    <w:rsid w:val="009456E5"/>
    <w:rsid w:val="0094575B"/>
    <w:rsid w:val="00945894"/>
    <w:rsid w:val="0094595D"/>
    <w:rsid w:val="00945DB3"/>
    <w:rsid w:val="00945E13"/>
    <w:rsid w:val="00946140"/>
    <w:rsid w:val="0094626E"/>
    <w:rsid w:val="0094645B"/>
    <w:rsid w:val="009467C9"/>
    <w:rsid w:val="00946B63"/>
    <w:rsid w:val="00946DBF"/>
    <w:rsid w:val="00946F2A"/>
    <w:rsid w:val="00946F8C"/>
    <w:rsid w:val="00947568"/>
    <w:rsid w:val="00947632"/>
    <w:rsid w:val="00947B02"/>
    <w:rsid w:val="00947BEF"/>
    <w:rsid w:val="00947C4F"/>
    <w:rsid w:val="00947D63"/>
    <w:rsid w:val="00950065"/>
    <w:rsid w:val="0095020C"/>
    <w:rsid w:val="00950374"/>
    <w:rsid w:val="00950512"/>
    <w:rsid w:val="009505EF"/>
    <w:rsid w:val="009506E1"/>
    <w:rsid w:val="0095079C"/>
    <w:rsid w:val="009507DA"/>
    <w:rsid w:val="00950C28"/>
    <w:rsid w:val="00950C9A"/>
    <w:rsid w:val="00950CE2"/>
    <w:rsid w:val="00950F7E"/>
    <w:rsid w:val="00950FDB"/>
    <w:rsid w:val="00951423"/>
    <w:rsid w:val="00951440"/>
    <w:rsid w:val="00951472"/>
    <w:rsid w:val="009518A6"/>
    <w:rsid w:val="00951983"/>
    <w:rsid w:val="00951C1C"/>
    <w:rsid w:val="00951E8E"/>
    <w:rsid w:val="00951F10"/>
    <w:rsid w:val="00952005"/>
    <w:rsid w:val="009520B8"/>
    <w:rsid w:val="009521FA"/>
    <w:rsid w:val="00952327"/>
    <w:rsid w:val="00952358"/>
    <w:rsid w:val="009523DF"/>
    <w:rsid w:val="009523F9"/>
    <w:rsid w:val="00952546"/>
    <w:rsid w:val="0095268D"/>
    <w:rsid w:val="0095277C"/>
    <w:rsid w:val="0095281A"/>
    <w:rsid w:val="00952AC0"/>
    <w:rsid w:val="00952AD7"/>
    <w:rsid w:val="00952CDE"/>
    <w:rsid w:val="00952E9C"/>
    <w:rsid w:val="009532C5"/>
    <w:rsid w:val="009533A9"/>
    <w:rsid w:val="009536C6"/>
    <w:rsid w:val="009539F8"/>
    <w:rsid w:val="00953C57"/>
    <w:rsid w:val="00953D2B"/>
    <w:rsid w:val="00953ED3"/>
    <w:rsid w:val="00953FAC"/>
    <w:rsid w:val="00954114"/>
    <w:rsid w:val="00954217"/>
    <w:rsid w:val="0095483F"/>
    <w:rsid w:val="00954DC1"/>
    <w:rsid w:val="00954DE2"/>
    <w:rsid w:val="00954E8F"/>
    <w:rsid w:val="00955028"/>
    <w:rsid w:val="00955110"/>
    <w:rsid w:val="0095538F"/>
    <w:rsid w:val="00955410"/>
    <w:rsid w:val="0095564C"/>
    <w:rsid w:val="0095588A"/>
    <w:rsid w:val="00955A20"/>
    <w:rsid w:val="00955DB6"/>
    <w:rsid w:val="00955DBE"/>
    <w:rsid w:val="00955E81"/>
    <w:rsid w:val="00956037"/>
    <w:rsid w:val="00956611"/>
    <w:rsid w:val="00956A53"/>
    <w:rsid w:val="00956C14"/>
    <w:rsid w:val="00956DA1"/>
    <w:rsid w:val="00956DFF"/>
    <w:rsid w:val="00956EC5"/>
    <w:rsid w:val="00956ECD"/>
    <w:rsid w:val="00956F35"/>
    <w:rsid w:val="00956F54"/>
    <w:rsid w:val="0095753D"/>
    <w:rsid w:val="0095786A"/>
    <w:rsid w:val="0095787F"/>
    <w:rsid w:val="009579B8"/>
    <w:rsid w:val="009579C8"/>
    <w:rsid w:val="00957A00"/>
    <w:rsid w:val="00957E63"/>
    <w:rsid w:val="00957ED7"/>
    <w:rsid w:val="00960084"/>
    <w:rsid w:val="009605DE"/>
    <w:rsid w:val="00960735"/>
    <w:rsid w:val="00960791"/>
    <w:rsid w:val="009608B0"/>
    <w:rsid w:val="00960996"/>
    <w:rsid w:val="00960BFC"/>
    <w:rsid w:val="00960D08"/>
    <w:rsid w:val="00960D92"/>
    <w:rsid w:val="00960F5C"/>
    <w:rsid w:val="009610C3"/>
    <w:rsid w:val="00961131"/>
    <w:rsid w:val="0096126B"/>
    <w:rsid w:val="00961634"/>
    <w:rsid w:val="00961703"/>
    <w:rsid w:val="009617AE"/>
    <w:rsid w:val="009617FE"/>
    <w:rsid w:val="00961F1E"/>
    <w:rsid w:val="00961FE2"/>
    <w:rsid w:val="009624C4"/>
    <w:rsid w:val="00962620"/>
    <w:rsid w:val="00962644"/>
    <w:rsid w:val="00962674"/>
    <w:rsid w:val="00962A1C"/>
    <w:rsid w:val="00962A2C"/>
    <w:rsid w:val="00962CD4"/>
    <w:rsid w:val="00962F1F"/>
    <w:rsid w:val="00962F5A"/>
    <w:rsid w:val="0096319C"/>
    <w:rsid w:val="009636DF"/>
    <w:rsid w:val="009637CD"/>
    <w:rsid w:val="009637F6"/>
    <w:rsid w:val="009639C6"/>
    <w:rsid w:val="00963B7A"/>
    <w:rsid w:val="00963DBF"/>
    <w:rsid w:val="009640E3"/>
    <w:rsid w:val="0096417E"/>
    <w:rsid w:val="009643F7"/>
    <w:rsid w:val="00964569"/>
    <w:rsid w:val="00964A1A"/>
    <w:rsid w:val="00964D3C"/>
    <w:rsid w:val="00964E34"/>
    <w:rsid w:val="00964E7D"/>
    <w:rsid w:val="00964F99"/>
    <w:rsid w:val="009655B0"/>
    <w:rsid w:val="00965654"/>
    <w:rsid w:val="00965A02"/>
    <w:rsid w:val="00965DD8"/>
    <w:rsid w:val="00965EB5"/>
    <w:rsid w:val="00965F8E"/>
    <w:rsid w:val="009660E1"/>
    <w:rsid w:val="00966232"/>
    <w:rsid w:val="009664AA"/>
    <w:rsid w:val="009664E7"/>
    <w:rsid w:val="0096656C"/>
    <w:rsid w:val="00966644"/>
    <w:rsid w:val="00966678"/>
    <w:rsid w:val="009667C6"/>
    <w:rsid w:val="009668B0"/>
    <w:rsid w:val="00966931"/>
    <w:rsid w:val="0096699E"/>
    <w:rsid w:val="009669F3"/>
    <w:rsid w:val="00966A08"/>
    <w:rsid w:val="00966B2C"/>
    <w:rsid w:val="00966D4E"/>
    <w:rsid w:val="00966E38"/>
    <w:rsid w:val="00966FEB"/>
    <w:rsid w:val="0096731C"/>
    <w:rsid w:val="0096767A"/>
    <w:rsid w:val="00967743"/>
    <w:rsid w:val="009678C5"/>
    <w:rsid w:val="00967AA4"/>
    <w:rsid w:val="00967DD0"/>
    <w:rsid w:val="00967F8D"/>
    <w:rsid w:val="00967FCD"/>
    <w:rsid w:val="00970263"/>
    <w:rsid w:val="00970305"/>
    <w:rsid w:val="009704B4"/>
    <w:rsid w:val="00970540"/>
    <w:rsid w:val="009705A8"/>
    <w:rsid w:val="0097098B"/>
    <w:rsid w:val="00970B51"/>
    <w:rsid w:val="00970C12"/>
    <w:rsid w:val="00970CC7"/>
    <w:rsid w:val="00970E3A"/>
    <w:rsid w:val="00970E5A"/>
    <w:rsid w:val="00970F17"/>
    <w:rsid w:val="00970F6F"/>
    <w:rsid w:val="00971513"/>
    <w:rsid w:val="009716AF"/>
    <w:rsid w:val="00971997"/>
    <w:rsid w:val="00971A0E"/>
    <w:rsid w:val="00971A90"/>
    <w:rsid w:val="00971C19"/>
    <w:rsid w:val="00971DC9"/>
    <w:rsid w:val="00971EC7"/>
    <w:rsid w:val="0097226C"/>
    <w:rsid w:val="009722FB"/>
    <w:rsid w:val="0097230C"/>
    <w:rsid w:val="0097261A"/>
    <w:rsid w:val="0097291F"/>
    <w:rsid w:val="00972A63"/>
    <w:rsid w:val="00972F93"/>
    <w:rsid w:val="0097312D"/>
    <w:rsid w:val="00973352"/>
    <w:rsid w:val="00973460"/>
    <w:rsid w:val="009735BA"/>
    <w:rsid w:val="00973931"/>
    <w:rsid w:val="00973C5D"/>
    <w:rsid w:val="00973E01"/>
    <w:rsid w:val="00973E73"/>
    <w:rsid w:val="00973EEB"/>
    <w:rsid w:val="00974134"/>
    <w:rsid w:val="009743B1"/>
    <w:rsid w:val="00974661"/>
    <w:rsid w:val="00974BDD"/>
    <w:rsid w:val="00974F02"/>
    <w:rsid w:val="00974FBC"/>
    <w:rsid w:val="009751CC"/>
    <w:rsid w:val="009755A9"/>
    <w:rsid w:val="0097581D"/>
    <w:rsid w:val="0097597B"/>
    <w:rsid w:val="00975A38"/>
    <w:rsid w:val="009763A7"/>
    <w:rsid w:val="0097645D"/>
    <w:rsid w:val="0097678B"/>
    <w:rsid w:val="00976A43"/>
    <w:rsid w:val="00976EED"/>
    <w:rsid w:val="00977049"/>
    <w:rsid w:val="009772B2"/>
    <w:rsid w:val="00977357"/>
    <w:rsid w:val="009775CF"/>
    <w:rsid w:val="00977A52"/>
    <w:rsid w:val="00977AE4"/>
    <w:rsid w:val="00977B88"/>
    <w:rsid w:val="00977BB2"/>
    <w:rsid w:val="00977C4B"/>
    <w:rsid w:val="00977DAF"/>
    <w:rsid w:val="009803D0"/>
    <w:rsid w:val="00980820"/>
    <w:rsid w:val="009808F9"/>
    <w:rsid w:val="00980AD7"/>
    <w:rsid w:val="00980BB7"/>
    <w:rsid w:val="00980D59"/>
    <w:rsid w:val="00981127"/>
    <w:rsid w:val="00981240"/>
    <w:rsid w:val="009812EC"/>
    <w:rsid w:val="00981A76"/>
    <w:rsid w:val="00981B6D"/>
    <w:rsid w:val="00981BD3"/>
    <w:rsid w:val="00981C2A"/>
    <w:rsid w:val="00981C9E"/>
    <w:rsid w:val="00981D02"/>
    <w:rsid w:val="00981D04"/>
    <w:rsid w:val="00981E58"/>
    <w:rsid w:val="00981F9B"/>
    <w:rsid w:val="00981FE4"/>
    <w:rsid w:val="00982333"/>
    <w:rsid w:val="00982451"/>
    <w:rsid w:val="00982701"/>
    <w:rsid w:val="00982737"/>
    <w:rsid w:val="0098293C"/>
    <w:rsid w:val="0098294A"/>
    <w:rsid w:val="00982CFA"/>
    <w:rsid w:val="00982D43"/>
    <w:rsid w:val="00982E3B"/>
    <w:rsid w:val="00982E97"/>
    <w:rsid w:val="0098312C"/>
    <w:rsid w:val="00983636"/>
    <w:rsid w:val="009837D5"/>
    <w:rsid w:val="009837EE"/>
    <w:rsid w:val="00983C74"/>
    <w:rsid w:val="00983DD2"/>
    <w:rsid w:val="00983E11"/>
    <w:rsid w:val="009842A1"/>
    <w:rsid w:val="009842A8"/>
    <w:rsid w:val="00984329"/>
    <w:rsid w:val="0098434E"/>
    <w:rsid w:val="009845E7"/>
    <w:rsid w:val="00984602"/>
    <w:rsid w:val="009849A8"/>
    <w:rsid w:val="00984CAD"/>
    <w:rsid w:val="00984CDA"/>
    <w:rsid w:val="00984D20"/>
    <w:rsid w:val="00984E1B"/>
    <w:rsid w:val="00984EA3"/>
    <w:rsid w:val="00984F1D"/>
    <w:rsid w:val="00985244"/>
    <w:rsid w:val="009855FA"/>
    <w:rsid w:val="00985631"/>
    <w:rsid w:val="009857E2"/>
    <w:rsid w:val="0098594A"/>
    <w:rsid w:val="00985A3B"/>
    <w:rsid w:val="00985EA7"/>
    <w:rsid w:val="00985F66"/>
    <w:rsid w:val="00986333"/>
    <w:rsid w:val="00986483"/>
    <w:rsid w:val="0098648A"/>
    <w:rsid w:val="00986787"/>
    <w:rsid w:val="009867C9"/>
    <w:rsid w:val="0098694F"/>
    <w:rsid w:val="00986964"/>
    <w:rsid w:val="00986F93"/>
    <w:rsid w:val="009871EA"/>
    <w:rsid w:val="009878F8"/>
    <w:rsid w:val="00987A76"/>
    <w:rsid w:val="00987AA5"/>
    <w:rsid w:val="00987B8F"/>
    <w:rsid w:val="00987BA4"/>
    <w:rsid w:val="00987E8C"/>
    <w:rsid w:val="009903C3"/>
    <w:rsid w:val="009903D8"/>
    <w:rsid w:val="009905C0"/>
    <w:rsid w:val="00990747"/>
    <w:rsid w:val="00990A39"/>
    <w:rsid w:val="00990BF7"/>
    <w:rsid w:val="00990E62"/>
    <w:rsid w:val="009910E9"/>
    <w:rsid w:val="009913C2"/>
    <w:rsid w:val="0099144D"/>
    <w:rsid w:val="009916AB"/>
    <w:rsid w:val="009918DE"/>
    <w:rsid w:val="00991966"/>
    <w:rsid w:val="00991B0D"/>
    <w:rsid w:val="00991EED"/>
    <w:rsid w:val="009923B0"/>
    <w:rsid w:val="00992824"/>
    <w:rsid w:val="00992B3E"/>
    <w:rsid w:val="00992FAC"/>
    <w:rsid w:val="0099363C"/>
    <w:rsid w:val="009936F4"/>
    <w:rsid w:val="00993702"/>
    <w:rsid w:val="00993A94"/>
    <w:rsid w:val="00993C94"/>
    <w:rsid w:val="0099411D"/>
    <w:rsid w:val="009942B7"/>
    <w:rsid w:val="009947DF"/>
    <w:rsid w:val="0099492A"/>
    <w:rsid w:val="00994B38"/>
    <w:rsid w:val="00994B8D"/>
    <w:rsid w:val="00994DDB"/>
    <w:rsid w:val="00994E16"/>
    <w:rsid w:val="00994EAA"/>
    <w:rsid w:val="00995053"/>
    <w:rsid w:val="0099529A"/>
    <w:rsid w:val="009953E2"/>
    <w:rsid w:val="0099561A"/>
    <w:rsid w:val="00995828"/>
    <w:rsid w:val="00995C31"/>
    <w:rsid w:val="00995D17"/>
    <w:rsid w:val="00995D58"/>
    <w:rsid w:val="00995F00"/>
    <w:rsid w:val="00995F94"/>
    <w:rsid w:val="00995F99"/>
    <w:rsid w:val="0099601E"/>
    <w:rsid w:val="009961F7"/>
    <w:rsid w:val="009962E8"/>
    <w:rsid w:val="00996556"/>
    <w:rsid w:val="009965BD"/>
    <w:rsid w:val="009965DC"/>
    <w:rsid w:val="0099689C"/>
    <w:rsid w:val="009968C6"/>
    <w:rsid w:val="00996B2C"/>
    <w:rsid w:val="00996BE4"/>
    <w:rsid w:val="00996DCA"/>
    <w:rsid w:val="00996EA0"/>
    <w:rsid w:val="0099700E"/>
    <w:rsid w:val="00997126"/>
    <w:rsid w:val="0099725C"/>
    <w:rsid w:val="00997451"/>
    <w:rsid w:val="00997596"/>
    <w:rsid w:val="00997673"/>
    <w:rsid w:val="009978BA"/>
    <w:rsid w:val="00997A78"/>
    <w:rsid w:val="00997BD9"/>
    <w:rsid w:val="009A057E"/>
    <w:rsid w:val="009A0611"/>
    <w:rsid w:val="009A0710"/>
    <w:rsid w:val="009A0792"/>
    <w:rsid w:val="009A0CD1"/>
    <w:rsid w:val="009A0F43"/>
    <w:rsid w:val="009A10C8"/>
    <w:rsid w:val="009A113E"/>
    <w:rsid w:val="009A1465"/>
    <w:rsid w:val="009A1606"/>
    <w:rsid w:val="009A186E"/>
    <w:rsid w:val="009A1A68"/>
    <w:rsid w:val="009A1DFB"/>
    <w:rsid w:val="009A22B4"/>
    <w:rsid w:val="009A22C8"/>
    <w:rsid w:val="009A2464"/>
    <w:rsid w:val="009A25C6"/>
    <w:rsid w:val="009A285D"/>
    <w:rsid w:val="009A2870"/>
    <w:rsid w:val="009A2A31"/>
    <w:rsid w:val="009A2B32"/>
    <w:rsid w:val="009A2CA4"/>
    <w:rsid w:val="009A2CC0"/>
    <w:rsid w:val="009A2E9F"/>
    <w:rsid w:val="009A3041"/>
    <w:rsid w:val="009A30C7"/>
    <w:rsid w:val="009A31CA"/>
    <w:rsid w:val="009A3238"/>
    <w:rsid w:val="009A3511"/>
    <w:rsid w:val="009A3794"/>
    <w:rsid w:val="009A3855"/>
    <w:rsid w:val="009A3CAB"/>
    <w:rsid w:val="009A3ECD"/>
    <w:rsid w:val="009A4A76"/>
    <w:rsid w:val="009A4D79"/>
    <w:rsid w:val="009A501A"/>
    <w:rsid w:val="009A555B"/>
    <w:rsid w:val="009A556A"/>
    <w:rsid w:val="009A57A9"/>
    <w:rsid w:val="009A5852"/>
    <w:rsid w:val="009A59C5"/>
    <w:rsid w:val="009A5CB2"/>
    <w:rsid w:val="009A5EEA"/>
    <w:rsid w:val="009A62AC"/>
    <w:rsid w:val="009A637B"/>
    <w:rsid w:val="009A6414"/>
    <w:rsid w:val="009A67A3"/>
    <w:rsid w:val="009A6A8B"/>
    <w:rsid w:val="009A6E3C"/>
    <w:rsid w:val="009A70D6"/>
    <w:rsid w:val="009A74E5"/>
    <w:rsid w:val="009A755E"/>
    <w:rsid w:val="009A7635"/>
    <w:rsid w:val="009A769D"/>
    <w:rsid w:val="009A76C1"/>
    <w:rsid w:val="009A7A4F"/>
    <w:rsid w:val="009A7AD9"/>
    <w:rsid w:val="009A7AF9"/>
    <w:rsid w:val="009A7D8C"/>
    <w:rsid w:val="009A7F5D"/>
    <w:rsid w:val="009B00E4"/>
    <w:rsid w:val="009B01C1"/>
    <w:rsid w:val="009B06F4"/>
    <w:rsid w:val="009B08DC"/>
    <w:rsid w:val="009B09FF"/>
    <w:rsid w:val="009B0A34"/>
    <w:rsid w:val="009B0BEA"/>
    <w:rsid w:val="009B0C82"/>
    <w:rsid w:val="009B0DAE"/>
    <w:rsid w:val="009B12B8"/>
    <w:rsid w:val="009B1366"/>
    <w:rsid w:val="009B13CF"/>
    <w:rsid w:val="009B1453"/>
    <w:rsid w:val="009B1A7C"/>
    <w:rsid w:val="009B1AF4"/>
    <w:rsid w:val="009B1E47"/>
    <w:rsid w:val="009B2229"/>
    <w:rsid w:val="009B24E3"/>
    <w:rsid w:val="009B2A06"/>
    <w:rsid w:val="009B2B10"/>
    <w:rsid w:val="009B2BC5"/>
    <w:rsid w:val="009B2CE1"/>
    <w:rsid w:val="009B2D2A"/>
    <w:rsid w:val="009B2DEA"/>
    <w:rsid w:val="009B2E9B"/>
    <w:rsid w:val="009B30FF"/>
    <w:rsid w:val="009B3234"/>
    <w:rsid w:val="009B3356"/>
    <w:rsid w:val="009B3639"/>
    <w:rsid w:val="009B363E"/>
    <w:rsid w:val="009B3A02"/>
    <w:rsid w:val="009B3AE5"/>
    <w:rsid w:val="009B3C1F"/>
    <w:rsid w:val="009B3EF3"/>
    <w:rsid w:val="009B3F01"/>
    <w:rsid w:val="009B3FD2"/>
    <w:rsid w:val="009B41DE"/>
    <w:rsid w:val="009B4266"/>
    <w:rsid w:val="009B437E"/>
    <w:rsid w:val="009B4480"/>
    <w:rsid w:val="009B4B44"/>
    <w:rsid w:val="009B4C23"/>
    <w:rsid w:val="009B53C2"/>
    <w:rsid w:val="009B55CA"/>
    <w:rsid w:val="009B575A"/>
    <w:rsid w:val="009B581C"/>
    <w:rsid w:val="009B5ED7"/>
    <w:rsid w:val="009B60BB"/>
    <w:rsid w:val="009B6489"/>
    <w:rsid w:val="009B64E1"/>
    <w:rsid w:val="009B652C"/>
    <w:rsid w:val="009B65D6"/>
    <w:rsid w:val="009B661E"/>
    <w:rsid w:val="009B69E4"/>
    <w:rsid w:val="009B6A13"/>
    <w:rsid w:val="009B6DAA"/>
    <w:rsid w:val="009B6F30"/>
    <w:rsid w:val="009B6F89"/>
    <w:rsid w:val="009B71B1"/>
    <w:rsid w:val="009B7308"/>
    <w:rsid w:val="009B73E5"/>
    <w:rsid w:val="009B7756"/>
    <w:rsid w:val="009B7B3A"/>
    <w:rsid w:val="009B7D5B"/>
    <w:rsid w:val="009B7F0A"/>
    <w:rsid w:val="009C0007"/>
    <w:rsid w:val="009C0046"/>
    <w:rsid w:val="009C0065"/>
    <w:rsid w:val="009C09BA"/>
    <w:rsid w:val="009C0AB5"/>
    <w:rsid w:val="009C0D83"/>
    <w:rsid w:val="009C0EF0"/>
    <w:rsid w:val="009C11E0"/>
    <w:rsid w:val="009C1278"/>
    <w:rsid w:val="009C1364"/>
    <w:rsid w:val="009C181C"/>
    <w:rsid w:val="009C187D"/>
    <w:rsid w:val="009C18DF"/>
    <w:rsid w:val="009C1A46"/>
    <w:rsid w:val="009C1E94"/>
    <w:rsid w:val="009C2122"/>
    <w:rsid w:val="009C2187"/>
    <w:rsid w:val="009C22BF"/>
    <w:rsid w:val="009C22D0"/>
    <w:rsid w:val="009C2619"/>
    <w:rsid w:val="009C27EA"/>
    <w:rsid w:val="009C2A3E"/>
    <w:rsid w:val="009C2B55"/>
    <w:rsid w:val="009C2C54"/>
    <w:rsid w:val="009C2CED"/>
    <w:rsid w:val="009C2EBE"/>
    <w:rsid w:val="009C2F1B"/>
    <w:rsid w:val="009C2F81"/>
    <w:rsid w:val="009C33A9"/>
    <w:rsid w:val="009C36F8"/>
    <w:rsid w:val="009C3823"/>
    <w:rsid w:val="009C3920"/>
    <w:rsid w:val="009C3AC1"/>
    <w:rsid w:val="009C3EE1"/>
    <w:rsid w:val="009C3EF8"/>
    <w:rsid w:val="009C3FC4"/>
    <w:rsid w:val="009C409C"/>
    <w:rsid w:val="009C4498"/>
    <w:rsid w:val="009C451B"/>
    <w:rsid w:val="009C496D"/>
    <w:rsid w:val="009C4C05"/>
    <w:rsid w:val="009C4C76"/>
    <w:rsid w:val="009C4EE9"/>
    <w:rsid w:val="009C4F56"/>
    <w:rsid w:val="009C5111"/>
    <w:rsid w:val="009C52A4"/>
    <w:rsid w:val="009C52C0"/>
    <w:rsid w:val="009C53F3"/>
    <w:rsid w:val="009C54D3"/>
    <w:rsid w:val="009C5561"/>
    <w:rsid w:val="009C5BBE"/>
    <w:rsid w:val="009C5F7B"/>
    <w:rsid w:val="009C60C2"/>
    <w:rsid w:val="009C6329"/>
    <w:rsid w:val="009C6498"/>
    <w:rsid w:val="009C6701"/>
    <w:rsid w:val="009C6A2D"/>
    <w:rsid w:val="009C6BDC"/>
    <w:rsid w:val="009C6FC5"/>
    <w:rsid w:val="009C709A"/>
    <w:rsid w:val="009C7157"/>
    <w:rsid w:val="009C7174"/>
    <w:rsid w:val="009C72CE"/>
    <w:rsid w:val="009C7713"/>
    <w:rsid w:val="009C7AD3"/>
    <w:rsid w:val="009C7CAF"/>
    <w:rsid w:val="009D00BF"/>
    <w:rsid w:val="009D02D4"/>
    <w:rsid w:val="009D074C"/>
    <w:rsid w:val="009D07A3"/>
    <w:rsid w:val="009D0AA7"/>
    <w:rsid w:val="009D0B38"/>
    <w:rsid w:val="009D0E3C"/>
    <w:rsid w:val="009D0FEB"/>
    <w:rsid w:val="009D113A"/>
    <w:rsid w:val="009D16D7"/>
    <w:rsid w:val="009D1C64"/>
    <w:rsid w:val="009D2219"/>
    <w:rsid w:val="009D2498"/>
    <w:rsid w:val="009D25AA"/>
    <w:rsid w:val="009D2641"/>
    <w:rsid w:val="009D2854"/>
    <w:rsid w:val="009D2915"/>
    <w:rsid w:val="009D2D19"/>
    <w:rsid w:val="009D31A9"/>
    <w:rsid w:val="009D3348"/>
    <w:rsid w:val="009D33B4"/>
    <w:rsid w:val="009D3429"/>
    <w:rsid w:val="009D3468"/>
    <w:rsid w:val="009D348C"/>
    <w:rsid w:val="009D35E1"/>
    <w:rsid w:val="009D37DC"/>
    <w:rsid w:val="009D3968"/>
    <w:rsid w:val="009D3A93"/>
    <w:rsid w:val="009D3B48"/>
    <w:rsid w:val="009D3FAE"/>
    <w:rsid w:val="009D40BD"/>
    <w:rsid w:val="009D4357"/>
    <w:rsid w:val="009D4470"/>
    <w:rsid w:val="009D44B8"/>
    <w:rsid w:val="009D493A"/>
    <w:rsid w:val="009D4C0C"/>
    <w:rsid w:val="009D4CA5"/>
    <w:rsid w:val="009D4E25"/>
    <w:rsid w:val="009D4E67"/>
    <w:rsid w:val="009D4EF8"/>
    <w:rsid w:val="009D508B"/>
    <w:rsid w:val="009D558E"/>
    <w:rsid w:val="009D5DD0"/>
    <w:rsid w:val="009D5E67"/>
    <w:rsid w:val="009D5F53"/>
    <w:rsid w:val="009D66E4"/>
    <w:rsid w:val="009D6DAF"/>
    <w:rsid w:val="009D6E64"/>
    <w:rsid w:val="009D71DF"/>
    <w:rsid w:val="009D74C0"/>
    <w:rsid w:val="009D74C3"/>
    <w:rsid w:val="009D75FE"/>
    <w:rsid w:val="009D76DF"/>
    <w:rsid w:val="009D789A"/>
    <w:rsid w:val="009D7910"/>
    <w:rsid w:val="009E02CB"/>
    <w:rsid w:val="009E0420"/>
    <w:rsid w:val="009E0813"/>
    <w:rsid w:val="009E0D8A"/>
    <w:rsid w:val="009E0EE1"/>
    <w:rsid w:val="009E0F48"/>
    <w:rsid w:val="009E134F"/>
    <w:rsid w:val="009E1808"/>
    <w:rsid w:val="009E19EC"/>
    <w:rsid w:val="009E1BDE"/>
    <w:rsid w:val="009E1C5F"/>
    <w:rsid w:val="009E1DFF"/>
    <w:rsid w:val="009E1F53"/>
    <w:rsid w:val="009E2064"/>
    <w:rsid w:val="009E214A"/>
    <w:rsid w:val="009E2748"/>
    <w:rsid w:val="009E2778"/>
    <w:rsid w:val="009E2AC5"/>
    <w:rsid w:val="009E2B0E"/>
    <w:rsid w:val="009E2BAA"/>
    <w:rsid w:val="009E31AA"/>
    <w:rsid w:val="009E31ED"/>
    <w:rsid w:val="009E3479"/>
    <w:rsid w:val="009E34C8"/>
    <w:rsid w:val="009E38F4"/>
    <w:rsid w:val="009E4384"/>
    <w:rsid w:val="009E4440"/>
    <w:rsid w:val="009E4523"/>
    <w:rsid w:val="009E4642"/>
    <w:rsid w:val="009E49ED"/>
    <w:rsid w:val="009E4B38"/>
    <w:rsid w:val="009E4BD2"/>
    <w:rsid w:val="009E4D0C"/>
    <w:rsid w:val="009E4E9C"/>
    <w:rsid w:val="009E4FF1"/>
    <w:rsid w:val="009E5209"/>
    <w:rsid w:val="009E52A7"/>
    <w:rsid w:val="009E52FE"/>
    <w:rsid w:val="009E5358"/>
    <w:rsid w:val="009E5532"/>
    <w:rsid w:val="009E582F"/>
    <w:rsid w:val="009E5C98"/>
    <w:rsid w:val="009E613C"/>
    <w:rsid w:val="009E6229"/>
    <w:rsid w:val="009E6491"/>
    <w:rsid w:val="009E6682"/>
    <w:rsid w:val="009E66D8"/>
    <w:rsid w:val="009E68C8"/>
    <w:rsid w:val="009E6999"/>
    <w:rsid w:val="009E6B81"/>
    <w:rsid w:val="009E6E40"/>
    <w:rsid w:val="009E6E6A"/>
    <w:rsid w:val="009E6E9E"/>
    <w:rsid w:val="009E78D0"/>
    <w:rsid w:val="009E7CB2"/>
    <w:rsid w:val="009E7E69"/>
    <w:rsid w:val="009F09C8"/>
    <w:rsid w:val="009F0A01"/>
    <w:rsid w:val="009F0A3D"/>
    <w:rsid w:val="009F0C9B"/>
    <w:rsid w:val="009F0F09"/>
    <w:rsid w:val="009F0F9A"/>
    <w:rsid w:val="009F0FFD"/>
    <w:rsid w:val="009F1063"/>
    <w:rsid w:val="009F1144"/>
    <w:rsid w:val="009F1594"/>
    <w:rsid w:val="009F15C5"/>
    <w:rsid w:val="009F1959"/>
    <w:rsid w:val="009F19AA"/>
    <w:rsid w:val="009F1A3A"/>
    <w:rsid w:val="009F1B16"/>
    <w:rsid w:val="009F1F45"/>
    <w:rsid w:val="009F1FCB"/>
    <w:rsid w:val="009F233D"/>
    <w:rsid w:val="009F2529"/>
    <w:rsid w:val="009F25A0"/>
    <w:rsid w:val="009F25C1"/>
    <w:rsid w:val="009F2D75"/>
    <w:rsid w:val="009F2EAC"/>
    <w:rsid w:val="009F35B8"/>
    <w:rsid w:val="009F35C4"/>
    <w:rsid w:val="009F36BA"/>
    <w:rsid w:val="009F36E0"/>
    <w:rsid w:val="009F371E"/>
    <w:rsid w:val="009F3848"/>
    <w:rsid w:val="009F38E1"/>
    <w:rsid w:val="009F3E39"/>
    <w:rsid w:val="009F3FA9"/>
    <w:rsid w:val="009F3FDB"/>
    <w:rsid w:val="009F422A"/>
    <w:rsid w:val="009F441A"/>
    <w:rsid w:val="009F4492"/>
    <w:rsid w:val="009F44AB"/>
    <w:rsid w:val="009F4582"/>
    <w:rsid w:val="009F48D2"/>
    <w:rsid w:val="009F4AAA"/>
    <w:rsid w:val="009F4B73"/>
    <w:rsid w:val="009F4BEA"/>
    <w:rsid w:val="009F4D9E"/>
    <w:rsid w:val="009F541B"/>
    <w:rsid w:val="009F5586"/>
    <w:rsid w:val="009F57D8"/>
    <w:rsid w:val="009F585E"/>
    <w:rsid w:val="009F5929"/>
    <w:rsid w:val="009F59F9"/>
    <w:rsid w:val="009F5A93"/>
    <w:rsid w:val="009F5AEA"/>
    <w:rsid w:val="009F5ECC"/>
    <w:rsid w:val="009F6150"/>
    <w:rsid w:val="009F62AF"/>
    <w:rsid w:val="009F6509"/>
    <w:rsid w:val="009F650A"/>
    <w:rsid w:val="009F6573"/>
    <w:rsid w:val="009F65EF"/>
    <w:rsid w:val="009F6658"/>
    <w:rsid w:val="009F66EF"/>
    <w:rsid w:val="009F682E"/>
    <w:rsid w:val="009F6BC1"/>
    <w:rsid w:val="009F6F36"/>
    <w:rsid w:val="009F7372"/>
    <w:rsid w:val="009F739B"/>
    <w:rsid w:val="009F7416"/>
    <w:rsid w:val="009F74AD"/>
    <w:rsid w:val="009F7664"/>
    <w:rsid w:val="009F768B"/>
    <w:rsid w:val="009F7852"/>
    <w:rsid w:val="009F796B"/>
    <w:rsid w:val="009F7A94"/>
    <w:rsid w:val="009F7B41"/>
    <w:rsid w:val="009F7CBB"/>
    <w:rsid w:val="009F7D89"/>
    <w:rsid w:val="009F7E16"/>
    <w:rsid w:val="00A00029"/>
    <w:rsid w:val="00A000F8"/>
    <w:rsid w:val="00A001AD"/>
    <w:rsid w:val="00A003AF"/>
    <w:rsid w:val="00A00456"/>
    <w:rsid w:val="00A00947"/>
    <w:rsid w:val="00A00D05"/>
    <w:rsid w:val="00A00FF3"/>
    <w:rsid w:val="00A0110A"/>
    <w:rsid w:val="00A0150C"/>
    <w:rsid w:val="00A018AE"/>
    <w:rsid w:val="00A01E40"/>
    <w:rsid w:val="00A01F40"/>
    <w:rsid w:val="00A02029"/>
    <w:rsid w:val="00A02368"/>
    <w:rsid w:val="00A02457"/>
    <w:rsid w:val="00A02483"/>
    <w:rsid w:val="00A025C5"/>
    <w:rsid w:val="00A027D6"/>
    <w:rsid w:val="00A028F2"/>
    <w:rsid w:val="00A02920"/>
    <w:rsid w:val="00A02A1F"/>
    <w:rsid w:val="00A02B6B"/>
    <w:rsid w:val="00A02BBD"/>
    <w:rsid w:val="00A02D67"/>
    <w:rsid w:val="00A02F0A"/>
    <w:rsid w:val="00A03069"/>
    <w:rsid w:val="00A0311A"/>
    <w:rsid w:val="00A03256"/>
    <w:rsid w:val="00A03276"/>
    <w:rsid w:val="00A032ED"/>
    <w:rsid w:val="00A0344A"/>
    <w:rsid w:val="00A03550"/>
    <w:rsid w:val="00A038FB"/>
    <w:rsid w:val="00A03904"/>
    <w:rsid w:val="00A03C25"/>
    <w:rsid w:val="00A041B3"/>
    <w:rsid w:val="00A04286"/>
    <w:rsid w:val="00A042E6"/>
    <w:rsid w:val="00A04400"/>
    <w:rsid w:val="00A04740"/>
    <w:rsid w:val="00A0481C"/>
    <w:rsid w:val="00A04856"/>
    <w:rsid w:val="00A048F8"/>
    <w:rsid w:val="00A04937"/>
    <w:rsid w:val="00A049A2"/>
    <w:rsid w:val="00A04C52"/>
    <w:rsid w:val="00A04FFF"/>
    <w:rsid w:val="00A050C2"/>
    <w:rsid w:val="00A0520C"/>
    <w:rsid w:val="00A054E3"/>
    <w:rsid w:val="00A05907"/>
    <w:rsid w:val="00A05985"/>
    <w:rsid w:val="00A05D88"/>
    <w:rsid w:val="00A064B4"/>
    <w:rsid w:val="00A06630"/>
    <w:rsid w:val="00A0667C"/>
    <w:rsid w:val="00A06882"/>
    <w:rsid w:val="00A06A67"/>
    <w:rsid w:val="00A06BC5"/>
    <w:rsid w:val="00A06D13"/>
    <w:rsid w:val="00A06E66"/>
    <w:rsid w:val="00A06EE1"/>
    <w:rsid w:val="00A070CC"/>
    <w:rsid w:val="00A0717C"/>
    <w:rsid w:val="00A072E1"/>
    <w:rsid w:val="00A0739F"/>
    <w:rsid w:val="00A077A4"/>
    <w:rsid w:val="00A0786A"/>
    <w:rsid w:val="00A079A4"/>
    <w:rsid w:val="00A07A8D"/>
    <w:rsid w:val="00A07BAA"/>
    <w:rsid w:val="00A07C68"/>
    <w:rsid w:val="00A07DD2"/>
    <w:rsid w:val="00A101CE"/>
    <w:rsid w:val="00A101E1"/>
    <w:rsid w:val="00A101E7"/>
    <w:rsid w:val="00A10232"/>
    <w:rsid w:val="00A1044A"/>
    <w:rsid w:val="00A105FD"/>
    <w:rsid w:val="00A106F8"/>
    <w:rsid w:val="00A1095D"/>
    <w:rsid w:val="00A10AD9"/>
    <w:rsid w:val="00A10FB7"/>
    <w:rsid w:val="00A10FDC"/>
    <w:rsid w:val="00A1105A"/>
    <w:rsid w:val="00A110D5"/>
    <w:rsid w:val="00A11400"/>
    <w:rsid w:val="00A1172E"/>
    <w:rsid w:val="00A11CDB"/>
    <w:rsid w:val="00A11CE2"/>
    <w:rsid w:val="00A11D5D"/>
    <w:rsid w:val="00A12011"/>
    <w:rsid w:val="00A129F3"/>
    <w:rsid w:val="00A12AD7"/>
    <w:rsid w:val="00A12B2F"/>
    <w:rsid w:val="00A12BB6"/>
    <w:rsid w:val="00A12C4B"/>
    <w:rsid w:val="00A12DE1"/>
    <w:rsid w:val="00A12ED0"/>
    <w:rsid w:val="00A12FBE"/>
    <w:rsid w:val="00A13072"/>
    <w:rsid w:val="00A13156"/>
    <w:rsid w:val="00A13378"/>
    <w:rsid w:val="00A13599"/>
    <w:rsid w:val="00A13703"/>
    <w:rsid w:val="00A137AF"/>
    <w:rsid w:val="00A13813"/>
    <w:rsid w:val="00A1391F"/>
    <w:rsid w:val="00A14131"/>
    <w:rsid w:val="00A142CD"/>
    <w:rsid w:val="00A14399"/>
    <w:rsid w:val="00A14435"/>
    <w:rsid w:val="00A14698"/>
    <w:rsid w:val="00A14763"/>
    <w:rsid w:val="00A147E3"/>
    <w:rsid w:val="00A14A31"/>
    <w:rsid w:val="00A14AAC"/>
    <w:rsid w:val="00A14DFA"/>
    <w:rsid w:val="00A1509C"/>
    <w:rsid w:val="00A1581C"/>
    <w:rsid w:val="00A15B8F"/>
    <w:rsid w:val="00A15BE5"/>
    <w:rsid w:val="00A15CBF"/>
    <w:rsid w:val="00A15E1B"/>
    <w:rsid w:val="00A16035"/>
    <w:rsid w:val="00A160CB"/>
    <w:rsid w:val="00A160D8"/>
    <w:rsid w:val="00A161BF"/>
    <w:rsid w:val="00A16542"/>
    <w:rsid w:val="00A16622"/>
    <w:rsid w:val="00A1681C"/>
    <w:rsid w:val="00A16854"/>
    <w:rsid w:val="00A16D1F"/>
    <w:rsid w:val="00A16E93"/>
    <w:rsid w:val="00A16FC0"/>
    <w:rsid w:val="00A17726"/>
    <w:rsid w:val="00A1782A"/>
    <w:rsid w:val="00A17A3F"/>
    <w:rsid w:val="00A17CF7"/>
    <w:rsid w:val="00A17DE9"/>
    <w:rsid w:val="00A2054D"/>
    <w:rsid w:val="00A205B8"/>
    <w:rsid w:val="00A206B4"/>
    <w:rsid w:val="00A20A80"/>
    <w:rsid w:val="00A20B48"/>
    <w:rsid w:val="00A20DC3"/>
    <w:rsid w:val="00A20DD0"/>
    <w:rsid w:val="00A2106B"/>
    <w:rsid w:val="00A210AD"/>
    <w:rsid w:val="00A216D3"/>
    <w:rsid w:val="00A217A7"/>
    <w:rsid w:val="00A21A00"/>
    <w:rsid w:val="00A21BDE"/>
    <w:rsid w:val="00A21DAE"/>
    <w:rsid w:val="00A21E00"/>
    <w:rsid w:val="00A22005"/>
    <w:rsid w:val="00A220A8"/>
    <w:rsid w:val="00A22117"/>
    <w:rsid w:val="00A2260D"/>
    <w:rsid w:val="00A228E8"/>
    <w:rsid w:val="00A2298B"/>
    <w:rsid w:val="00A22C30"/>
    <w:rsid w:val="00A22F78"/>
    <w:rsid w:val="00A2307B"/>
    <w:rsid w:val="00A231D3"/>
    <w:rsid w:val="00A232A8"/>
    <w:rsid w:val="00A23756"/>
    <w:rsid w:val="00A23865"/>
    <w:rsid w:val="00A2392C"/>
    <w:rsid w:val="00A23962"/>
    <w:rsid w:val="00A23998"/>
    <w:rsid w:val="00A23C0C"/>
    <w:rsid w:val="00A23D73"/>
    <w:rsid w:val="00A23F17"/>
    <w:rsid w:val="00A2410B"/>
    <w:rsid w:val="00A24137"/>
    <w:rsid w:val="00A241E9"/>
    <w:rsid w:val="00A24255"/>
    <w:rsid w:val="00A242E6"/>
    <w:rsid w:val="00A244C9"/>
    <w:rsid w:val="00A24534"/>
    <w:rsid w:val="00A248BF"/>
    <w:rsid w:val="00A24BAF"/>
    <w:rsid w:val="00A24DE7"/>
    <w:rsid w:val="00A24F96"/>
    <w:rsid w:val="00A25111"/>
    <w:rsid w:val="00A25541"/>
    <w:rsid w:val="00A255A7"/>
    <w:rsid w:val="00A256C9"/>
    <w:rsid w:val="00A25799"/>
    <w:rsid w:val="00A25CDD"/>
    <w:rsid w:val="00A25CF4"/>
    <w:rsid w:val="00A26280"/>
    <w:rsid w:val="00A262E7"/>
    <w:rsid w:val="00A26381"/>
    <w:rsid w:val="00A266C6"/>
    <w:rsid w:val="00A267D4"/>
    <w:rsid w:val="00A269DC"/>
    <w:rsid w:val="00A26D6A"/>
    <w:rsid w:val="00A26EB9"/>
    <w:rsid w:val="00A2746E"/>
    <w:rsid w:val="00A276E4"/>
    <w:rsid w:val="00A2777A"/>
    <w:rsid w:val="00A277E7"/>
    <w:rsid w:val="00A27A04"/>
    <w:rsid w:val="00A27EC2"/>
    <w:rsid w:val="00A30526"/>
    <w:rsid w:val="00A306AE"/>
    <w:rsid w:val="00A30B55"/>
    <w:rsid w:val="00A30C3A"/>
    <w:rsid w:val="00A30C5E"/>
    <w:rsid w:val="00A30CD7"/>
    <w:rsid w:val="00A30D81"/>
    <w:rsid w:val="00A30D8C"/>
    <w:rsid w:val="00A310BA"/>
    <w:rsid w:val="00A312D4"/>
    <w:rsid w:val="00A3143A"/>
    <w:rsid w:val="00A31750"/>
    <w:rsid w:val="00A3176D"/>
    <w:rsid w:val="00A31895"/>
    <w:rsid w:val="00A31CC3"/>
    <w:rsid w:val="00A31E0B"/>
    <w:rsid w:val="00A31FBC"/>
    <w:rsid w:val="00A31FF9"/>
    <w:rsid w:val="00A32575"/>
    <w:rsid w:val="00A328BB"/>
    <w:rsid w:val="00A32AB1"/>
    <w:rsid w:val="00A32AF4"/>
    <w:rsid w:val="00A32C8F"/>
    <w:rsid w:val="00A32DD1"/>
    <w:rsid w:val="00A32E4B"/>
    <w:rsid w:val="00A32F76"/>
    <w:rsid w:val="00A33259"/>
    <w:rsid w:val="00A33369"/>
    <w:rsid w:val="00A33413"/>
    <w:rsid w:val="00A33436"/>
    <w:rsid w:val="00A33A07"/>
    <w:rsid w:val="00A340F2"/>
    <w:rsid w:val="00A3422E"/>
    <w:rsid w:val="00A34237"/>
    <w:rsid w:val="00A342B8"/>
    <w:rsid w:val="00A344D3"/>
    <w:rsid w:val="00A345B7"/>
    <w:rsid w:val="00A34792"/>
    <w:rsid w:val="00A350B7"/>
    <w:rsid w:val="00A3518D"/>
    <w:rsid w:val="00A35558"/>
    <w:rsid w:val="00A3564A"/>
    <w:rsid w:val="00A357F9"/>
    <w:rsid w:val="00A35AEB"/>
    <w:rsid w:val="00A35F39"/>
    <w:rsid w:val="00A35F6C"/>
    <w:rsid w:val="00A36001"/>
    <w:rsid w:val="00A36136"/>
    <w:rsid w:val="00A36425"/>
    <w:rsid w:val="00A36510"/>
    <w:rsid w:val="00A36763"/>
    <w:rsid w:val="00A36987"/>
    <w:rsid w:val="00A36A57"/>
    <w:rsid w:val="00A36D80"/>
    <w:rsid w:val="00A36FA0"/>
    <w:rsid w:val="00A370C9"/>
    <w:rsid w:val="00A3715F"/>
    <w:rsid w:val="00A3719D"/>
    <w:rsid w:val="00A3729C"/>
    <w:rsid w:val="00A37523"/>
    <w:rsid w:val="00A375BC"/>
    <w:rsid w:val="00A37A8A"/>
    <w:rsid w:val="00A37B23"/>
    <w:rsid w:val="00A37BC7"/>
    <w:rsid w:val="00A37CF9"/>
    <w:rsid w:val="00A37F86"/>
    <w:rsid w:val="00A40177"/>
    <w:rsid w:val="00A40192"/>
    <w:rsid w:val="00A402C7"/>
    <w:rsid w:val="00A402FE"/>
    <w:rsid w:val="00A404D8"/>
    <w:rsid w:val="00A40541"/>
    <w:rsid w:val="00A40906"/>
    <w:rsid w:val="00A40AB4"/>
    <w:rsid w:val="00A40B97"/>
    <w:rsid w:val="00A40DFF"/>
    <w:rsid w:val="00A41064"/>
    <w:rsid w:val="00A41324"/>
    <w:rsid w:val="00A416F9"/>
    <w:rsid w:val="00A418AA"/>
    <w:rsid w:val="00A419EC"/>
    <w:rsid w:val="00A41ADF"/>
    <w:rsid w:val="00A41AE5"/>
    <w:rsid w:val="00A41B14"/>
    <w:rsid w:val="00A41C00"/>
    <w:rsid w:val="00A41C34"/>
    <w:rsid w:val="00A41E1C"/>
    <w:rsid w:val="00A421B8"/>
    <w:rsid w:val="00A421E4"/>
    <w:rsid w:val="00A42321"/>
    <w:rsid w:val="00A425F4"/>
    <w:rsid w:val="00A42711"/>
    <w:rsid w:val="00A42792"/>
    <w:rsid w:val="00A42AA4"/>
    <w:rsid w:val="00A42C52"/>
    <w:rsid w:val="00A42E25"/>
    <w:rsid w:val="00A42F62"/>
    <w:rsid w:val="00A43637"/>
    <w:rsid w:val="00A43AED"/>
    <w:rsid w:val="00A43C04"/>
    <w:rsid w:val="00A44508"/>
    <w:rsid w:val="00A44823"/>
    <w:rsid w:val="00A44AFA"/>
    <w:rsid w:val="00A44C27"/>
    <w:rsid w:val="00A44F65"/>
    <w:rsid w:val="00A452E4"/>
    <w:rsid w:val="00A45684"/>
    <w:rsid w:val="00A456F0"/>
    <w:rsid w:val="00A45E0F"/>
    <w:rsid w:val="00A45F8A"/>
    <w:rsid w:val="00A4602B"/>
    <w:rsid w:val="00A462F0"/>
    <w:rsid w:val="00A46380"/>
    <w:rsid w:val="00A4661C"/>
    <w:rsid w:val="00A46756"/>
    <w:rsid w:val="00A4678B"/>
    <w:rsid w:val="00A46AFD"/>
    <w:rsid w:val="00A46F2F"/>
    <w:rsid w:val="00A4718C"/>
    <w:rsid w:val="00A47344"/>
    <w:rsid w:val="00A47504"/>
    <w:rsid w:val="00A4752A"/>
    <w:rsid w:val="00A476F2"/>
    <w:rsid w:val="00A4778B"/>
    <w:rsid w:val="00A478B5"/>
    <w:rsid w:val="00A47B08"/>
    <w:rsid w:val="00A50053"/>
    <w:rsid w:val="00A5026A"/>
    <w:rsid w:val="00A5026C"/>
    <w:rsid w:val="00A50936"/>
    <w:rsid w:val="00A50C77"/>
    <w:rsid w:val="00A50EA2"/>
    <w:rsid w:val="00A512C4"/>
    <w:rsid w:val="00A51315"/>
    <w:rsid w:val="00A514C0"/>
    <w:rsid w:val="00A5174F"/>
    <w:rsid w:val="00A51877"/>
    <w:rsid w:val="00A51A22"/>
    <w:rsid w:val="00A51B25"/>
    <w:rsid w:val="00A51CFF"/>
    <w:rsid w:val="00A51EDE"/>
    <w:rsid w:val="00A5203F"/>
    <w:rsid w:val="00A52148"/>
    <w:rsid w:val="00A52439"/>
    <w:rsid w:val="00A5254C"/>
    <w:rsid w:val="00A525C0"/>
    <w:rsid w:val="00A525DC"/>
    <w:rsid w:val="00A5292E"/>
    <w:rsid w:val="00A52958"/>
    <w:rsid w:val="00A52E2F"/>
    <w:rsid w:val="00A52FDD"/>
    <w:rsid w:val="00A5349B"/>
    <w:rsid w:val="00A534E3"/>
    <w:rsid w:val="00A53518"/>
    <w:rsid w:val="00A5352E"/>
    <w:rsid w:val="00A53541"/>
    <w:rsid w:val="00A53619"/>
    <w:rsid w:val="00A5361B"/>
    <w:rsid w:val="00A53ED4"/>
    <w:rsid w:val="00A54242"/>
    <w:rsid w:val="00A5428D"/>
    <w:rsid w:val="00A542EE"/>
    <w:rsid w:val="00A54682"/>
    <w:rsid w:val="00A5473C"/>
    <w:rsid w:val="00A54B4C"/>
    <w:rsid w:val="00A54B9E"/>
    <w:rsid w:val="00A54C0E"/>
    <w:rsid w:val="00A54D08"/>
    <w:rsid w:val="00A54E51"/>
    <w:rsid w:val="00A5507D"/>
    <w:rsid w:val="00A55286"/>
    <w:rsid w:val="00A55558"/>
    <w:rsid w:val="00A555E5"/>
    <w:rsid w:val="00A556A5"/>
    <w:rsid w:val="00A5572A"/>
    <w:rsid w:val="00A55827"/>
    <w:rsid w:val="00A55B4D"/>
    <w:rsid w:val="00A5609D"/>
    <w:rsid w:val="00A561B0"/>
    <w:rsid w:val="00A561E9"/>
    <w:rsid w:val="00A5652D"/>
    <w:rsid w:val="00A5686E"/>
    <w:rsid w:val="00A56B47"/>
    <w:rsid w:val="00A56B5A"/>
    <w:rsid w:val="00A56BD9"/>
    <w:rsid w:val="00A56E9A"/>
    <w:rsid w:val="00A56E9C"/>
    <w:rsid w:val="00A57059"/>
    <w:rsid w:val="00A57119"/>
    <w:rsid w:val="00A57488"/>
    <w:rsid w:val="00A574E0"/>
    <w:rsid w:val="00A57B60"/>
    <w:rsid w:val="00A57BCD"/>
    <w:rsid w:val="00A57F17"/>
    <w:rsid w:val="00A60075"/>
    <w:rsid w:val="00A6010A"/>
    <w:rsid w:val="00A6036A"/>
    <w:rsid w:val="00A60388"/>
    <w:rsid w:val="00A605C4"/>
    <w:rsid w:val="00A6068A"/>
    <w:rsid w:val="00A60971"/>
    <w:rsid w:val="00A60B5B"/>
    <w:rsid w:val="00A60C16"/>
    <w:rsid w:val="00A60D29"/>
    <w:rsid w:val="00A60F0F"/>
    <w:rsid w:val="00A61017"/>
    <w:rsid w:val="00A610B8"/>
    <w:rsid w:val="00A61254"/>
    <w:rsid w:val="00A612BB"/>
    <w:rsid w:val="00A6132E"/>
    <w:rsid w:val="00A61342"/>
    <w:rsid w:val="00A61347"/>
    <w:rsid w:val="00A613C0"/>
    <w:rsid w:val="00A615B8"/>
    <w:rsid w:val="00A615FE"/>
    <w:rsid w:val="00A618CF"/>
    <w:rsid w:val="00A61A8A"/>
    <w:rsid w:val="00A61BC8"/>
    <w:rsid w:val="00A61F0D"/>
    <w:rsid w:val="00A61FC6"/>
    <w:rsid w:val="00A61FF2"/>
    <w:rsid w:val="00A620AE"/>
    <w:rsid w:val="00A620BA"/>
    <w:rsid w:val="00A62232"/>
    <w:rsid w:val="00A6224D"/>
    <w:rsid w:val="00A62328"/>
    <w:rsid w:val="00A623EE"/>
    <w:rsid w:val="00A625AA"/>
    <w:rsid w:val="00A6296D"/>
    <w:rsid w:val="00A62AA2"/>
    <w:rsid w:val="00A62BDD"/>
    <w:rsid w:val="00A62E48"/>
    <w:rsid w:val="00A62EC0"/>
    <w:rsid w:val="00A62F83"/>
    <w:rsid w:val="00A63005"/>
    <w:rsid w:val="00A63088"/>
    <w:rsid w:val="00A63142"/>
    <w:rsid w:val="00A633DA"/>
    <w:rsid w:val="00A6360D"/>
    <w:rsid w:val="00A63B35"/>
    <w:rsid w:val="00A64003"/>
    <w:rsid w:val="00A640B4"/>
    <w:rsid w:val="00A640E2"/>
    <w:rsid w:val="00A64244"/>
    <w:rsid w:val="00A6430B"/>
    <w:rsid w:val="00A6440D"/>
    <w:rsid w:val="00A646EE"/>
    <w:rsid w:val="00A649E8"/>
    <w:rsid w:val="00A64CF2"/>
    <w:rsid w:val="00A64D0A"/>
    <w:rsid w:val="00A64E6A"/>
    <w:rsid w:val="00A6511D"/>
    <w:rsid w:val="00A6513E"/>
    <w:rsid w:val="00A65718"/>
    <w:rsid w:val="00A657C5"/>
    <w:rsid w:val="00A65870"/>
    <w:rsid w:val="00A65CFC"/>
    <w:rsid w:val="00A65D51"/>
    <w:rsid w:val="00A65D6E"/>
    <w:rsid w:val="00A65F11"/>
    <w:rsid w:val="00A65F16"/>
    <w:rsid w:val="00A663CA"/>
    <w:rsid w:val="00A666F4"/>
    <w:rsid w:val="00A66C94"/>
    <w:rsid w:val="00A66E75"/>
    <w:rsid w:val="00A66EF7"/>
    <w:rsid w:val="00A67061"/>
    <w:rsid w:val="00A671A8"/>
    <w:rsid w:val="00A67468"/>
    <w:rsid w:val="00A675BB"/>
    <w:rsid w:val="00A67682"/>
    <w:rsid w:val="00A676F1"/>
    <w:rsid w:val="00A67787"/>
    <w:rsid w:val="00A6786A"/>
    <w:rsid w:val="00A67ACC"/>
    <w:rsid w:val="00A67D95"/>
    <w:rsid w:val="00A67D99"/>
    <w:rsid w:val="00A67E10"/>
    <w:rsid w:val="00A67F87"/>
    <w:rsid w:val="00A70017"/>
    <w:rsid w:val="00A7023C"/>
    <w:rsid w:val="00A704D2"/>
    <w:rsid w:val="00A70564"/>
    <w:rsid w:val="00A707E6"/>
    <w:rsid w:val="00A708B8"/>
    <w:rsid w:val="00A709DE"/>
    <w:rsid w:val="00A70D70"/>
    <w:rsid w:val="00A70EB0"/>
    <w:rsid w:val="00A70F25"/>
    <w:rsid w:val="00A710EA"/>
    <w:rsid w:val="00A71298"/>
    <w:rsid w:val="00A712D0"/>
    <w:rsid w:val="00A713BB"/>
    <w:rsid w:val="00A7164F"/>
    <w:rsid w:val="00A71FAC"/>
    <w:rsid w:val="00A72050"/>
    <w:rsid w:val="00A72079"/>
    <w:rsid w:val="00A72125"/>
    <w:rsid w:val="00A7232D"/>
    <w:rsid w:val="00A724F0"/>
    <w:rsid w:val="00A724F5"/>
    <w:rsid w:val="00A72644"/>
    <w:rsid w:val="00A72730"/>
    <w:rsid w:val="00A727A8"/>
    <w:rsid w:val="00A72816"/>
    <w:rsid w:val="00A72A24"/>
    <w:rsid w:val="00A72A28"/>
    <w:rsid w:val="00A72B81"/>
    <w:rsid w:val="00A72E5B"/>
    <w:rsid w:val="00A72EE0"/>
    <w:rsid w:val="00A7330A"/>
    <w:rsid w:val="00A733A2"/>
    <w:rsid w:val="00A737EA"/>
    <w:rsid w:val="00A7399A"/>
    <w:rsid w:val="00A739A0"/>
    <w:rsid w:val="00A73B73"/>
    <w:rsid w:val="00A73BF9"/>
    <w:rsid w:val="00A73C59"/>
    <w:rsid w:val="00A73D40"/>
    <w:rsid w:val="00A73E68"/>
    <w:rsid w:val="00A7459C"/>
    <w:rsid w:val="00A746A5"/>
    <w:rsid w:val="00A74AB4"/>
    <w:rsid w:val="00A74D03"/>
    <w:rsid w:val="00A7582C"/>
    <w:rsid w:val="00A7629A"/>
    <w:rsid w:val="00A76312"/>
    <w:rsid w:val="00A76667"/>
    <w:rsid w:val="00A767B6"/>
    <w:rsid w:val="00A76C8E"/>
    <w:rsid w:val="00A76C97"/>
    <w:rsid w:val="00A76CF8"/>
    <w:rsid w:val="00A76E23"/>
    <w:rsid w:val="00A77362"/>
    <w:rsid w:val="00A7747A"/>
    <w:rsid w:val="00A7748F"/>
    <w:rsid w:val="00A77587"/>
    <w:rsid w:val="00A7795D"/>
    <w:rsid w:val="00A77A78"/>
    <w:rsid w:val="00A77B4E"/>
    <w:rsid w:val="00A77C1B"/>
    <w:rsid w:val="00A77C3D"/>
    <w:rsid w:val="00A77E4C"/>
    <w:rsid w:val="00A80052"/>
    <w:rsid w:val="00A80138"/>
    <w:rsid w:val="00A80469"/>
    <w:rsid w:val="00A80470"/>
    <w:rsid w:val="00A808E2"/>
    <w:rsid w:val="00A80AA2"/>
    <w:rsid w:val="00A80E25"/>
    <w:rsid w:val="00A81040"/>
    <w:rsid w:val="00A8118B"/>
    <w:rsid w:val="00A816FD"/>
    <w:rsid w:val="00A819B1"/>
    <w:rsid w:val="00A81CAC"/>
    <w:rsid w:val="00A81FFC"/>
    <w:rsid w:val="00A81FFD"/>
    <w:rsid w:val="00A82556"/>
    <w:rsid w:val="00A82811"/>
    <w:rsid w:val="00A828C9"/>
    <w:rsid w:val="00A82A4B"/>
    <w:rsid w:val="00A82AE7"/>
    <w:rsid w:val="00A82BFE"/>
    <w:rsid w:val="00A82E62"/>
    <w:rsid w:val="00A82EA2"/>
    <w:rsid w:val="00A82F1E"/>
    <w:rsid w:val="00A83088"/>
    <w:rsid w:val="00A83166"/>
    <w:rsid w:val="00A83E36"/>
    <w:rsid w:val="00A83E62"/>
    <w:rsid w:val="00A84104"/>
    <w:rsid w:val="00A847A1"/>
    <w:rsid w:val="00A8498A"/>
    <w:rsid w:val="00A849FE"/>
    <w:rsid w:val="00A84EEA"/>
    <w:rsid w:val="00A8521B"/>
    <w:rsid w:val="00A85530"/>
    <w:rsid w:val="00A85585"/>
    <w:rsid w:val="00A85624"/>
    <w:rsid w:val="00A8571B"/>
    <w:rsid w:val="00A857DF"/>
    <w:rsid w:val="00A859F0"/>
    <w:rsid w:val="00A86193"/>
    <w:rsid w:val="00A86518"/>
    <w:rsid w:val="00A865DC"/>
    <w:rsid w:val="00A86718"/>
    <w:rsid w:val="00A86766"/>
    <w:rsid w:val="00A86833"/>
    <w:rsid w:val="00A86C2A"/>
    <w:rsid w:val="00A86D95"/>
    <w:rsid w:val="00A86E0F"/>
    <w:rsid w:val="00A86FDE"/>
    <w:rsid w:val="00A874ED"/>
    <w:rsid w:val="00A87638"/>
    <w:rsid w:val="00A87843"/>
    <w:rsid w:val="00A87B78"/>
    <w:rsid w:val="00A87CBA"/>
    <w:rsid w:val="00A87FFB"/>
    <w:rsid w:val="00A90063"/>
    <w:rsid w:val="00A9021C"/>
    <w:rsid w:val="00A904E0"/>
    <w:rsid w:val="00A90501"/>
    <w:rsid w:val="00A906FA"/>
    <w:rsid w:val="00A9090C"/>
    <w:rsid w:val="00A90A49"/>
    <w:rsid w:val="00A90AF3"/>
    <w:rsid w:val="00A90E90"/>
    <w:rsid w:val="00A910C0"/>
    <w:rsid w:val="00A91732"/>
    <w:rsid w:val="00A91837"/>
    <w:rsid w:val="00A91EE8"/>
    <w:rsid w:val="00A91F43"/>
    <w:rsid w:val="00A92015"/>
    <w:rsid w:val="00A92104"/>
    <w:rsid w:val="00A9223E"/>
    <w:rsid w:val="00A924BE"/>
    <w:rsid w:val="00A924DB"/>
    <w:rsid w:val="00A927D1"/>
    <w:rsid w:val="00A92905"/>
    <w:rsid w:val="00A92956"/>
    <w:rsid w:val="00A92B21"/>
    <w:rsid w:val="00A92D99"/>
    <w:rsid w:val="00A931C0"/>
    <w:rsid w:val="00A935A2"/>
    <w:rsid w:val="00A937A1"/>
    <w:rsid w:val="00A93804"/>
    <w:rsid w:val="00A938F0"/>
    <w:rsid w:val="00A93A09"/>
    <w:rsid w:val="00A93F9B"/>
    <w:rsid w:val="00A94123"/>
    <w:rsid w:val="00A941EF"/>
    <w:rsid w:val="00A942C0"/>
    <w:rsid w:val="00A942C7"/>
    <w:rsid w:val="00A94A09"/>
    <w:rsid w:val="00A94BCB"/>
    <w:rsid w:val="00A94C50"/>
    <w:rsid w:val="00A94EB0"/>
    <w:rsid w:val="00A95279"/>
    <w:rsid w:val="00A953F1"/>
    <w:rsid w:val="00A9553F"/>
    <w:rsid w:val="00A9556A"/>
    <w:rsid w:val="00A95A1D"/>
    <w:rsid w:val="00A95B2C"/>
    <w:rsid w:val="00A95DA0"/>
    <w:rsid w:val="00A95DD3"/>
    <w:rsid w:val="00A95FAD"/>
    <w:rsid w:val="00A961F0"/>
    <w:rsid w:val="00A9620F"/>
    <w:rsid w:val="00A9653A"/>
    <w:rsid w:val="00A9659C"/>
    <w:rsid w:val="00A969E6"/>
    <w:rsid w:val="00A96AAF"/>
    <w:rsid w:val="00A97213"/>
    <w:rsid w:val="00A97687"/>
    <w:rsid w:val="00A9771F"/>
    <w:rsid w:val="00A97B9C"/>
    <w:rsid w:val="00A97DDC"/>
    <w:rsid w:val="00AA0577"/>
    <w:rsid w:val="00AA06E3"/>
    <w:rsid w:val="00AA080D"/>
    <w:rsid w:val="00AA09BF"/>
    <w:rsid w:val="00AA0D61"/>
    <w:rsid w:val="00AA0F33"/>
    <w:rsid w:val="00AA0F73"/>
    <w:rsid w:val="00AA0F80"/>
    <w:rsid w:val="00AA12AB"/>
    <w:rsid w:val="00AA134F"/>
    <w:rsid w:val="00AA14C9"/>
    <w:rsid w:val="00AA15E0"/>
    <w:rsid w:val="00AA16B5"/>
    <w:rsid w:val="00AA1B6C"/>
    <w:rsid w:val="00AA1D2F"/>
    <w:rsid w:val="00AA1D87"/>
    <w:rsid w:val="00AA20C4"/>
    <w:rsid w:val="00AA224D"/>
    <w:rsid w:val="00AA233F"/>
    <w:rsid w:val="00AA2630"/>
    <w:rsid w:val="00AA29FD"/>
    <w:rsid w:val="00AA2B01"/>
    <w:rsid w:val="00AA2D68"/>
    <w:rsid w:val="00AA3035"/>
    <w:rsid w:val="00AA332C"/>
    <w:rsid w:val="00AA3396"/>
    <w:rsid w:val="00AA33E6"/>
    <w:rsid w:val="00AA35A5"/>
    <w:rsid w:val="00AA3819"/>
    <w:rsid w:val="00AA38EF"/>
    <w:rsid w:val="00AA3934"/>
    <w:rsid w:val="00AA39A3"/>
    <w:rsid w:val="00AA3D14"/>
    <w:rsid w:val="00AA3D76"/>
    <w:rsid w:val="00AA3F66"/>
    <w:rsid w:val="00AA3FD9"/>
    <w:rsid w:val="00AA40FD"/>
    <w:rsid w:val="00AA410A"/>
    <w:rsid w:val="00AA45BA"/>
    <w:rsid w:val="00AA47D4"/>
    <w:rsid w:val="00AA4B48"/>
    <w:rsid w:val="00AA4C07"/>
    <w:rsid w:val="00AA4CF8"/>
    <w:rsid w:val="00AA4E41"/>
    <w:rsid w:val="00AA50F9"/>
    <w:rsid w:val="00AA532C"/>
    <w:rsid w:val="00AA533D"/>
    <w:rsid w:val="00AA54D0"/>
    <w:rsid w:val="00AA5731"/>
    <w:rsid w:val="00AA5749"/>
    <w:rsid w:val="00AA58AD"/>
    <w:rsid w:val="00AA5EC6"/>
    <w:rsid w:val="00AA602D"/>
    <w:rsid w:val="00AA646C"/>
    <w:rsid w:val="00AA6625"/>
    <w:rsid w:val="00AA66AD"/>
    <w:rsid w:val="00AA674A"/>
    <w:rsid w:val="00AA6B1A"/>
    <w:rsid w:val="00AA6BEC"/>
    <w:rsid w:val="00AA6E36"/>
    <w:rsid w:val="00AA720F"/>
    <w:rsid w:val="00AA7571"/>
    <w:rsid w:val="00AA7856"/>
    <w:rsid w:val="00AA7A43"/>
    <w:rsid w:val="00AA7B68"/>
    <w:rsid w:val="00AA7F0E"/>
    <w:rsid w:val="00AB0585"/>
    <w:rsid w:val="00AB07E1"/>
    <w:rsid w:val="00AB08B1"/>
    <w:rsid w:val="00AB09BD"/>
    <w:rsid w:val="00AB09FB"/>
    <w:rsid w:val="00AB0A9F"/>
    <w:rsid w:val="00AB0C1C"/>
    <w:rsid w:val="00AB0CAD"/>
    <w:rsid w:val="00AB0D6A"/>
    <w:rsid w:val="00AB0F4D"/>
    <w:rsid w:val="00AB146F"/>
    <w:rsid w:val="00AB1508"/>
    <w:rsid w:val="00AB1546"/>
    <w:rsid w:val="00AB157C"/>
    <w:rsid w:val="00AB160E"/>
    <w:rsid w:val="00AB16C4"/>
    <w:rsid w:val="00AB174C"/>
    <w:rsid w:val="00AB1837"/>
    <w:rsid w:val="00AB1983"/>
    <w:rsid w:val="00AB1998"/>
    <w:rsid w:val="00AB1AFE"/>
    <w:rsid w:val="00AB1B43"/>
    <w:rsid w:val="00AB1D79"/>
    <w:rsid w:val="00AB2277"/>
    <w:rsid w:val="00AB22CE"/>
    <w:rsid w:val="00AB2552"/>
    <w:rsid w:val="00AB28A0"/>
    <w:rsid w:val="00AB2A3C"/>
    <w:rsid w:val="00AB2ABD"/>
    <w:rsid w:val="00AB2AC4"/>
    <w:rsid w:val="00AB2DB1"/>
    <w:rsid w:val="00AB2DC7"/>
    <w:rsid w:val="00AB2F29"/>
    <w:rsid w:val="00AB3036"/>
    <w:rsid w:val="00AB3543"/>
    <w:rsid w:val="00AB3682"/>
    <w:rsid w:val="00AB381D"/>
    <w:rsid w:val="00AB3992"/>
    <w:rsid w:val="00AB3A75"/>
    <w:rsid w:val="00AB3D05"/>
    <w:rsid w:val="00AB3D92"/>
    <w:rsid w:val="00AB4666"/>
    <w:rsid w:val="00AB4701"/>
    <w:rsid w:val="00AB4839"/>
    <w:rsid w:val="00AB484B"/>
    <w:rsid w:val="00AB4BD3"/>
    <w:rsid w:val="00AB4D1E"/>
    <w:rsid w:val="00AB5686"/>
    <w:rsid w:val="00AB5BAD"/>
    <w:rsid w:val="00AB5DC5"/>
    <w:rsid w:val="00AB5EDD"/>
    <w:rsid w:val="00AB6121"/>
    <w:rsid w:val="00AB622E"/>
    <w:rsid w:val="00AB6418"/>
    <w:rsid w:val="00AB66C8"/>
    <w:rsid w:val="00AB6A10"/>
    <w:rsid w:val="00AB6A8D"/>
    <w:rsid w:val="00AB6AF2"/>
    <w:rsid w:val="00AB6B1E"/>
    <w:rsid w:val="00AB6C8A"/>
    <w:rsid w:val="00AB705C"/>
    <w:rsid w:val="00AB7066"/>
    <w:rsid w:val="00AB722E"/>
    <w:rsid w:val="00AB7240"/>
    <w:rsid w:val="00AB729C"/>
    <w:rsid w:val="00AB7460"/>
    <w:rsid w:val="00AB76E5"/>
    <w:rsid w:val="00AB7798"/>
    <w:rsid w:val="00AB7A99"/>
    <w:rsid w:val="00AB7CDA"/>
    <w:rsid w:val="00AB7D0E"/>
    <w:rsid w:val="00AB7F80"/>
    <w:rsid w:val="00AC035A"/>
    <w:rsid w:val="00AC0449"/>
    <w:rsid w:val="00AC0686"/>
    <w:rsid w:val="00AC082D"/>
    <w:rsid w:val="00AC0897"/>
    <w:rsid w:val="00AC113F"/>
    <w:rsid w:val="00AC142C"/>
    <w:rsid w:val="00AC1499"/>
    <w:rsid w:val="00AC1707"/>
    <w:rsid w:val="00AC1ADE"/>
    <w:rsid w:val="00AC1C86"/>
    <w:rsid w:val="00AC1CD0"/>
    <w:rsid w:val="00AC1E63"/>
    <w:rsid w:val="00AC23C7"/>
    <w:rsid w:val="00AC23F9"/>
    <w:rsid w:val="00AC24EC"/>
    <w:rsid w:val="00AC2502"/>
    <w:rsid w:val="00AC25A4"/>
    <w:rsid w:val="00AC280F"/>
    <w:rsid w:val="00AC2D6F"/>
    <w:rsid w:val="00AC2E85"/>
    <w:rsid w:val="00AC31B4"/>
    <w:rsid w:val="00AC320D"/>
    <w:rsid w:val="00AC3356"/>
    <w:rsid w:val="00AC371F"/>
    <w:rsid w:val="00AC37BF"/>
    <w:rsid w:val="00AC3B6C"/>
    <w:rsid w:val="00AC3C96"/>
    <w:rsid w:val="00AC3F05"/>
    <w:rsid w:val="00AC3FB0"/>
    <w:rsid w:val="00AC4246"/>
    <w:rsid w:val="00AC42DD"/>
    <w:rsid w:val="00AC4466"/>
    <w:rsid w:val="00AC4717"/>
    <w:rsid w:val="00AC47CD"/>
    <w:rsid w:val="00AC4950"/>
    <w:rsid w:val="00AC4951"/>
    <w:rsid w:val="00AC4A40"/>
    <w:rsid w:val="00AC4DD6"/>
    <w:rsid w:val="00AC526A"/>
    <w:rsid w:val="00AC5334"/>
    <w:rsid w:val="00AC5A31"/>
    <w:rsid w:val="00AC5BBF"/>
    <w:rsid w:val="00AC5C4D"/>
    <w:rsid w:val="00AC5DAA"/>
    <w:rsid w:val="00AC5E94"/>
    <w:rsid w:val="00AC62F9"/>
    <w:rsid w:val="00AC650E"/>
    <w:rsid w:val="00AC6687"/>
    <w:rsid w:val="00AC6B73"/>
    <w:rsid w:val="00AC6BD7"/>
    <w:rsid w:val="00AC6FCF"/>
    <w:rsid w:val="00AC705C"/>
    <w:rsid w:val="00AC71FE"/>
    <w:rsid w:val="00AC7532"/>
    <w:rsid w:val="00AC7542"/>
    <w:rsid w:val="00AC77E3"/>
    <w:rsid w:val="00AC783E"/>
    <w:rsid w:val="00AC78BD"/>
    <w:rsid w:val="00AC7A0D"/>
    <w:rsid w:val="00AC7BAB"/>
    <w:rsid w:val="00AC7DBB"/>
    <w:rsid w:val="00AC7E01"/>
    <w:rsid w:val="00AC7E47"/>
    <w:rsid w:val="00AC7EFC"/>
    <w:rsid w:val="00AD009E"/>
    <w:rsid w:val="00AD01B9"/>
    <w:rsid w:val="00AD0499"/>
    <w:rsid w:val="00AD0668"/>
    <w:rsid w:val="00AD0C86"/>
    <w:rsid w:val="00AD13E2"/>
    <w:rsid w:val="00AD1404"/>
    <w:rsid w:val="00AD1684"/>
    <w:rsid w:val="00AD1ADC"/>
    <w:rsid w:val="00AD1AF9"/>
    <w:rsid w:val="00AD1EF6"/>
    <w:rsid w:val="00AD1FA9"/>
    <w:rsid w:val="00AD230C"/>
    <w:rsid w:val="00AD24DC"/>
    <w:rsid w:val="00AD2889"/>
    <w:rsid w:val="00AD2895"/>
    <w:rsid w:val="00AD29DD"/>
    <w:rsid w:val="00AD2BCF"/>
    <w:rsid w:val="00AD2D90"/>
    <w:rsid w:val="00AD2E9D"/>
    <w:rsid w:val="00AD2FC1"/>
    <w:rsid w:val="00AD3008"/>
    <w:rsid w:val="00AD33A4"/>
    <w:rsid w:val="00AD3466"/>
    <w:rsid w:val="00AD349D"/>
    <w:rsid w:val="00AD38A3"/>
    <w:rsid w:val="00AD3933"/>
    <w:rsid w:val="00AD39F3"/>
    <w:rsid w:val="00AD3AEF"/>
    <w:rsid w:val="00AD3C6A"/>
    <w:rsid w:val="00AD3CE8"/>
    <w:rsid w:val="00AD3F59"/>
    <w:rsid w:val="00AD427C"/>
    <w:rsid w:val="00AD4311"/>
    <w:rsid w:val="00AD4408"/>
    <w:rsid w:val="00AD4679"/>
    <w:rsid w:val="00AD48F9"/>
    <w:rsid w:val="00AD496E"/>
    <w:rsid w:val="00AD4A9D"/>
    <w:rsid w:val="00AD4D21"/>
    <w:rsid w:val="00AD4DFC"/>
    <w:rsid w:val="00AD4F4F"/>
    <w:rsid w:val="00AD5081"/>
    <w:rsid w:val="00AD51C0"/>
    <w:rsid w:val="00AD53CA"/>
    <w:rsid w:val="00AD5453"/>
    <w:rsid w:val="00AD55F6"/>
    <w:rsid w:val="00AD5666"/>
    <w:rsid w:val="00AD5963"/>
    <w:rsid w:val="00AD59C0"/>
    <w:rsid w:val="00AD5CFE"/>
    <w:rsid w:val="00AD5E8A"/>
    <w:rsid w:val="00AD5ED6"/>
    <w:rsid w:val="00AD5FB7"/>
    <w:rsid w:val="00AD60C1"/>
    <w:rsid w:val="00AD64CC"/>
    <w:rsid w:val="00AD6676"/>
    <w:rsid w:val="00AD66FF"/>
    <w:rsid w:val="00AD6753"/>
    <w:rsid w:val="00AD6764"/>
    <w:rsid w:val="00AD67D0"/>
    <w:rsid w:val="00AD6C60"/>
    <w:rsid w:val="00AD6D6B"/>
    <w:rsid w:val="00AD6ED3"/>
    <w:rsid w:val="00AD73A7"/>
    <w:rsid w:val="00AD743E"/>
    <w:rsid w:val="00AD7791"/>
    <w:rsid w:val="00AD77E6"/>
    <w:rsid w:val="00AD79E6"/>
    <w:rsid w:val="00AD7E0D"/>
    <w:rsid w:val="00AE0190"/>
    <w:rsid w:val="00AE02B2"/>
    <w:rsid w:val="00AE04D0"/>
    <w:rsid w:val="00AE04FA"/>
    <w:rsid w:val="00AE07C9"/>
    <w:rsid w:val="00AE1128"/>
    <w:rsid w:val="00AE11EB"/>
    <w:rsid w:val="00AE13C4"/>
    <w:rsid w:val="00AE140A"/>
    <w:rsid w:val="00AE18DE"/>
    <w:rsid w:val="00AE1A93"/>
    <w:rsid w:val="00AE1C29"/>
    <w:rsid w:val="00AE21EC"/>
    <w:rsid w:val="00AE23B8"/>
    <w:rsid w:val="00AE2443"/>
    <w:rsid w:val="00AE25A8"/>
    <w:rsid w:val="00AE2688"/>
    <w:rsid w:val="00AE29AD"/>
    <w:rsid w:val="00AE2AA5"/>
    <w:rsid w:val="00AE2B82"/>
    <w:rsid w:val="00AE2DEC"/>
    <w:rsid w:val="00AE2FAE"/>
    <w:rsid w:val="00AE303E"/>
    <w:rsid w:val="00AE3177"/>
    <w:rsid w:val="00AE3375"/>
    <w:rsid w:val="00AE3432"/>
    <w:rsid w:val="00AE359E"/>
    <w:rsid w:val="00AE36DE"/>
    <w:rsid w:val="00AE3908"/>
    <w:rsid w:val="00AE3978"/>
    <w:rsid w:val="00AE399C"/>
    <w:rsid w:val="00AE39BA"/>
    <w:rsid w:val="00AE3E93"/>
    <w:rsid w:val="00AE3F21"/>
    <w:rsid w:val="00AE4001"/>
    <w:rsid w:val="00AE4094"/>
    <w:rsid w:val="00AE44F8"/>
    <w:rsid w:val="00AE450F"/>
    <w:rsid w:val="00AE45F6"/>
    <w:rsid w:val="00AE46B6"/>
    <w:rsid w:val="00AE4D26"/>
    <w:rsid w:val="00AE4EF4"/>
    <w:rsid w:val="00AE4F91"/>
    <w:rsid w:val="00AE5311"/>
    <w:rsid w:val="00AE539A"/>
    <w:rsid w:val="00AE58C4"/>
    <w:rsid w:val="00AE6187"/>
    <w:rsid w:val="00AE621C"/>
    <w:rsid w:val="00AE660E"/>
    <w:rsid w:val="00AE668A"/>
    <w:rsid w:val="00AE68A2"/>
    <w:rsid w:val="00AE6951"/>
    <w:rsid w:val="00AE697A"/>
    <w:rsid w:val="00AE69A5"/>
    <w:rsid w:val="00AE69DA"/>
    <w:rsid w:val="00AE6B62"/>
    <w:rsid w:val="00AE6C2F"/>
    <w:rsid w:val="00AE7185"/>
    <w:rsid w:val="00AE71C4"/>
    <w:rsid w:val="00AE71CA"/>
    <w:rsid w:val="00AE7558"/>
    <w:rsid w:val="00AE76FD"/>
    <w:rsid w:val="00AE7EE5"/>
    <w:rsid w:val="00AF006E"/>
    <w:rsid w:val="00AF04F5"/>
    <w:rsid w:val="00AF0F31"/>
    <w:rsid w:val="00AF1160"/>
    <w:rsid w:val="00AF1254"/>
    <w:rsid w:val="00AF12A8"/>
    <w:rsid w:val="00AF12F5"/>
    <w:rsid w:val="00AF134A"/>
    <w:rsid w:val="00AF14B6"/>
    <w:rsid w:val="00AF14D4"/>
    <w:rsid w:val="00AF14E1"/>
    <w:rsid w:val="00AF16AB"/>
    <w:rsid w:val="00AF1BAD"/>
    <w:rsid w:val="00AF1EE7"/>
    <w:rsid w:val="00AF2273"/>
    <w:rsid w:val="00AF259D"/>
    <w:rsid w:val="00AF266B"/>
    <w:rsid w:val="00AF287A"/>
    <w:rsid w:val="00AF2AA7"/>
    <w:rsid w:val="00AF2ADA"/>
    <w:rsid w:val="00AF2FE9"/>
    <w:rsid w:val="00AF332F"/>
    <w:rsid w:val="00AF3D44"/>
    <w:rsid w:val="00AF3EF7"/>
    <w:rsid w:val="00AF47B2"/>
    <w:rsid w:val="00AF4D6C"/>
    <w:rsid w:val="00AF4DB2"/>
    <w:rsid w:val="00AF4FFE"/>
    <w:rsid w:val="00AF51C3"/>
    <w:rsid w:val="00AF52FF"/>
    <w:rsid w:val="00AF547E"/>
    <w:rsid w:val="00AF56B1"/>
    <w:rsid w:val="00AF56D5"/>
    <w:rsid w:val="00AF584E"/>
    <w:rsid w:val="00AF595E"/>
    <w:rsid w:val="00AF5A35"/>
    <w:rsid w:val="00AF5E78"/>
    <w:rsid w:val="00AF60E8"/>
    <w:rsid w:val="00AF60FD"/>
    <w:rsid w:val="00AF62CF"/>
    <w:rsid w:val="00AF6627"/>
    <w:rsid w:val="00AF6BA6"/>
    <w:rsid w:val="00AF6C5B"/>
    <w:rsid w:val="00AF6C96"/>
    <w:rsid w:val="00AF6D9C"/>
    <w:rsid w:val="00AF6E31"/>
    <w:rsid w:val="00AF7199"/>
    <w:rsid w:val="00AF7248"/>
    <w:rsid w:val="00AF7268"/>
    <w:rsid w:val="00AF72DC"/>
    <w:rsid w:val="00AF73BB"/>
    <w:rsid w:val="00AF7500"/>
    <w:rsid w:val="00AF7572"/>
    <w:rsid w:val="00AF7761"/>
    <w:rsid w:val="00AF77C7"/>
    <w:rsid w:val="00AF79F1"/>
    <w:rsid w:val="00AF7A93"/>
    <w:rsid w:val="00AF7C18"/>
    <w:rsid w:val="00AF7C7D"/>
    <w:rsid w:val="00AF7E91"/>
    <w:rsid w:val="00B0052D"/>
    <w:rsid w:val="00B00599"/>
    <w:rsid w:val="00B00773"/>
    <w:rsid w:val="00B00989"/>
    <w:rsid w:val="00B00A68"/>
    <w:rsid w:val="00B00AEC"/>
    <w:rsid w:val="00B00BB2"/>
    <w:rsid w:val="00B00CD3"/>
    <w:rsid w:val="00B00D52"/>
    <w:rsid w:val="00B00DEE"/>
    <w:rsid w:val="00B00F8C"/>
    <w:rsid w:val="00B010EF"/>
    <w:rsid w:val="00B011C8"/>
    <w:rsid w:val="00B0127F"/>
    <w:rsid w:val="00B012F6"/>
    <w:rsid w:val="00B0146F"/>
    <w:rsid w:val="00B01597"/>
    <w:rsid w:val="00B0159F"/>
    <w:rsid w:val="00B019B8"/>
    <w:rsid w:val="00B01D60"/>
    <w:rsid w:val="00B02238"/>
    <w:rsid w:val="00B02383"/>
    <w:rsid w:val="00B025FA"/>
    <w:rsid w:val="00B02634"/>
    <w:rsid w:val="00B0295D"/>
    <w:rsid w:val="00B029D9"/>
    <w:rsid w:val="00B02D57"/>
    <w:rsid w:val="00B02D64"/>
    <w:rsid w:val="00B02D91"/>
    <w:rsid w:val="00B02E17"/>
    <w:rsid w:val="00B02EEC"/>
    <w:rsid w:val="00B02F16"/>
    <w:rsid w:val="00B031B1"/>
    <w:rsid w:val="00B03344"/>
    <w:rsid w:val="00B036BC"/>
    <w:rsid w:val="00B03752"/>
    <w:rsid w:val="00B039D4"/>
    <w:rsid w:val="00B03A3E"/>
    <w:rsid w:val="00B03B34"/>
    <w:rsid w:val="00B03D4A"/>
    <w:rsid w:val="00B03D9D"/>
    <w:rsid w:val="00B03EC9"/>
    <w:rsid w:val="00B040B6"/>
    <w:rsid w:val="00B04230"/>
    <w:rsid w:val="00B044B0"/>
    <w:rsid w:val="00B04579"/>
    <w:rsid w:val="00B046D3"/>
    <w:rsid w:val="00B047CE"/>
    <w:rsid w:val="00B0485A"/>
    <w:rsid w:val="00B04979"/>
    <w:rsid w:val="00B04A0F"/>
    <w:rsid w:val="00B04A8B"/>
    <w:rsid w:val="00B04ACF"/>
    <w:rsid w:val="00B04AD7"/>
    <w:rsid w:val="00B04B14"/>
    <w:rsid w:val="00B04B3C"/>
    <w:rsid w:val="00B04BBC"/>
    <w:rsid w:val="00B04CF8"/>
    <w:rsid w:val="00B04CFC"/>
    <w:rsid w:val="00B052B1"/>
    <w:rsid w:val="00B052D6"/>
    <w:rsid w:val="00B057DA"/>
    <w:rsid w:val="00B057E0"/>
    <w:rsid w:val="00B0591D"/>
    <w:rsid w:val="00B05AED"/>
    <w:rsid w:val="00B05E74"/>
    <w:rsid w:val="00B061C9"/>
    <w:rsid w:val="00B063BA"/>
    <w:rsid w:val="00B068E4"/>
    <w:rsid w:val="00B06A66"/>
    <w:rsid w:val="00B06AE9"/>
    <w:rsid w:val="00B06C87"/>
    <w:rsid w:val="00B06DD9"/>
    <w:rsid w:val="00B06F18"/>
    <w:rsid w:val="00B06F33"/>
    <w:rsid w:val="00B073B2"/>
    <w:rsid w:val="00B073E3"/>
    <w:rsid w:val="00B07468"/>
    <w:rsid w:val="00B07744"/>
    <w:rsid w:val="00B078B3"/>
    <w:rsid w:val="00B100AF"/>
    <w:rsid w:val="00B1012D"/>
    <w:rsid w:val="00B1040C"/>
    <w:rsid w:val="00B10663"/>
    <w:rsid w:val="00B106FF"/>
    <w:rsid w:val="00B1099B"/>
    <w:rsid w:val="00B10A0C"/>
    <w:rsid w:val="00B10AE2"/>
    <w:rsid w:val="00B10C67"/>
    <w:rsid w:val="00B10D7B"/>
    <w:rsid w:val="00B10DAC"/>
    <w:rsid w:val="00B10EE2"/>
    <w:rsid w:val="00B10F44"/>
    <w:rsid w:val="00B10FB7"/>
    <w:rsid w:val="00B112F7"/>
    <w:rsid w:val="00B118F4"/>
    <w:rsid w:val="00B11B9F"/>
    <w:rsid w:val="00B12025"/>
    <w:rsid w:val="00B1206A"/>
    <w:rsid w:val="00B123F4"/>
    <w:rsid w:val="00B12562"/>
    <w:rsid w:val="00B125D7"/>
    <w:rsid w:val="00B12908"/>
    <w:rsid w:val="00B12923"/>
    <w:rsid w:val="00B12944"/>
    <w:rsid w:val="00B12A11"/>
    <w:rsid w:val="00B12BD4"/>
    <w:rsid w:val="00B12D67"/>
    <w:rsid w:val="00B12E11"/>
    <w:rsid w:val="00B1311D"/>
    <w:rsid w:val="00B131AC"/>
    <w:rsid w:val="00B13589"/>
    <w:rsid w:val="00B13803"/>
    <w:rsid w:val="00B13A4F"/>
    <w:rsid w:val="00B13B06"/>
    <w:rsid w:val="00B13E22"/>
    <w:rsid w:val="00B13E3C"/>
    <w:rsid w:val="00B13FA1"/>
    <w:rsid w:val="00B142FF"/>
    <w:rsid w:val="00B143CE"/>
    <w:rsid w:val="00B1482E"/>
    <w:rsid w:val="00B14869"/>
    <w:rsid w:val="00B1521F"/>
    <w:rsid w:val="00B152A2"/>
    <w:rsid w:val="00B157F3"/>
    <w:rsid w:val="00B15A1B"/>
    <w:rsid w:val="00B15A29"/>
    <w:rsid w:val="00B15ACA"/>
    <w:rsid w:val="00B15C87"/>
    <w:rsid w:val="00B15E16"/>
    <w:rsid w:val="00B15E1F"/>
    <w:rsid w:val="00B160AE"/>
    <w:rsid w:val="00B16132"/>
    <w:rsid w:val="00B161D9"/>
    <w:rsid w:val="00B1639A"/>
    <w:rsid w:val="00B165CA"/>
    <w:rsid w:val="00B1660C"/>
    <w:rsid w:val="00B16EDE"/>
    <w:rsid w:val="00B1706B"/>
    <w:rsid w:val="00B171FF"/>
    <w:rsid w:val="00B175BA"/>
    <w:rsid w:val="00B178B0"/>
    <w:rsid w:val="00B17906"/>
    <w:rsid w:val="00B17F6D"/>
    <w:rsid w:val="00B17FCF"/>
    <w:rsid w:val="00B200F3"/>
    <w:rsid w:val="00B202EB"/>
    <w:rsid w:val="00B20350"/>
    <w:rsid w:val="00B20449"/>
    <w:rsid w:val="00B205A4"/>
    <w:rsid w:val="00B207CE"/>
    <w:rsid w:val="00B20B53"/>
    <w:rsid w:val="00B20CDD"/>
    <w:rsid w:val="00B20F71"/>
    <w:rsid w:val="00B20FE6"/>
    <w:rsid w:val="00B2106E"/>
    <w:rsid w:val="00B21547"/>
    <w:rsid w:val="00B21960"/>
    <w:rsid w:val="00B21986"/>
    <w:rsid w:val="00B21B45"/>
    <w:rsid w:val="00B21D70"/>
    <w:rsid w:val="00B21ED3"/>
    <w:rsid w:val="00B220BE"/>
    <w:rsid w:val="00B221A3"/>
    <w:rsid w:val="00B2245C"/>
    <w:rsid w:val="00B22495"/>
    <w:rsid w:val="00B225AF"/>
    <w:rsid w:val="00B22CFB"/>
    <w:rsid w:val="00B22D20"/>
    <w:rsid w:val="00B231B6"/>
    <w:rsid w:val="00B233D5"/>
    <w:rsid w:val="00B23463"/>
    <w:rsid w:val="00B234EC"/>
    <w:rsid w:val="00B23770"/>
    <w:rsid w:val="00B23835"/>
    <w:rsid w:val="00B23CCB"/>
    <w:rsid w:val="00B23DB7"/>
    <w:rsid w:val="00B23FD8"/>
    <w:rsid w:val="00B241A8"/>
    <w:rsid w:val="00B24582"/>
    <w:rsid w:val="00B2490E"/>
    <w:rsid w:val="00B24CF3"/>
    <w:rsid w:val="00B2506C"/>
    <w:rsid w:val="00B25286"/>
    <w:rsid w:val="00B25843"/>
    <w:rsid w:val="00B25AF7"/>
    <w:rsid w:val="00B25BDB"/>
    <w:rsid w:val="00B25C66"/>
    <w:rsid w:val="00B25DF4"/>
    <w:rsid w:val="00B25F4C"/>
    <w:rsid w:val="00B25FDD"/>
    <w:rsid w:val="00B26194"/>
    <w:rsid w:val="00B26730"/>
    <w:rsid w:val="00B267D9"/>
    <w:rsid w:val="00B26920"/>
    <w:rsid w:val="00B269C1"/>
    <w:rsid w:val="00B26DE0"/>
    <w:rsid w:val="00B26DE1"/>
    <w:rsid w:val="00B26ED0"/>
    <w:rsid w:val="00B2738E"/>
    <w:rsid w:val="00B27612"/>
    <w:rsid w:val="00B27653"/>
    <w:rsid w:val="00B27662"/>
    <w:rsid w:val="00B27835"/>
    <w:rsid w:val="00B27AB3"/>
    <w:rsid w:val="00B27AC3"/>
    <w:rsid w:val="00B27C7A"/>
    <w:rsid w:val="00B27CE1"/>
    <w:rsid w:val="00B27CE6"/>
    <w:rsid w:val="00B27DB1"/>
    <w:rsid w:val="00B30302"/>
    <w:rsid w:val="00B30310"/>
    <w:rsid w:val="00B30326"/>
    <w:rsid w:val="00B3032D"/>
    <w:rsid w:val="00B30401"/>
    <w:rsid w:val="00B30642"/>
    <w:rsid w:val="00B307E6"/>
    <w:rsid w:val="00B30A52"/>
    <w:rsid w:val="00B30BAD"/>
    <w:rsid w:val="00B30DEC"/>
    <w:rsid w:val="00B30EAA"/>
    <w:rsid w:val="00B30EFF"/>
    <w:rsid w:val="00B311E9"/>
    <w:rsid w:val="00B3149E"/>
    <w:rsid w:val="00B31724"/>
    <w:rsid w:val="00B318D2"/>
    <w:rsid w:val="00B31B61"/>
    <w:rsid w:val="00B31D0B"/>
    <w:rsid w:val="00B31D47"/>
    <w:rsid w:val="00B31E1C"/>
    <w:rsid w:val="00B31FA6"/>
    <w:rsid w:val="00B32219"/>
    <w:rsid w:val="00B32270"/>
    <w:rsid w:val="00B3235D"/>
    <w:rsid w:val="00B3259E"/>
    <w:rsid w:val="00B3286E"/>
    <w:rsid w:val="00B328AF"/>
    <w:rsid w:val="00B32BA4"/>
    <w:rsid w:val="00B32EB5"/>
    <w:rsid w:val="00B33259"/>
    <w:rsid w:val="00B332FA"/>
    <w:rsid w:val="00B335A2"/>
    <w:rsid w:val="00B33792"/>
    <w:rsid w:val="00B33C70"/>
    <w:rsid w:val="00B33DC1"/>
    <w:rsid w:val="00B34288"/>
    <w:rsid w:val="00B3464B"/>
    <w:rsid w:val="00B34A4D"/>
    <w:rsid w:val="00B34E8E"/>
    <w:rsid w:val="00B352EE"/>
    <w:rsid w:val="00B35571"/>
    <w:rsid w:val="00B35AA6"/>
    <w:rsid w:val="00B35B36"/>
    <w:rsid w:val="00B35CB5"/>
    <w:rsid w:val="00B35CB8"/>
    <w:rsid w:val="00B35DE2"/>
    <w:rsid w:val="00B35F36"/>
    <w:rsid w:val="00B360B9"/>
    <w:rsid w:val="00B363C4"/>
    <w:rsid w:val="00B3645B"/>
    <w:rsid w:val="00B364A6"/>
    <w:rsid w:val="00B366F8"/>
    <w:rsid w:val="00B3674A"/>
    <w:rsid w:val="00B36919"/>
    <w:rsid w:val="00B36957"/>
    <w:rsid w:val="00B36C04"/>
    <w:rsid w:val="00B36C62"/>
    <w:rsid w:val="00B36DE8"/>
    <w:rsid w:val="00B36E6A"/>
    <w:rsid w:val="00B36EFF"/>
    <w:rsid w:val="00B37349"/>
    <w:rsid w:val="00B374F1"/>
    <w:rsid w:val="00B3750A"/>
    <w:rsid w:val="00B3775E"/>
    <w:rsid w:val="00B37845"/>
    <w:rsid w:val="00B3797F"/>
    <w:rsid w:val="00B37A60"/>
    <w:rsid w:val="00B37B38"/>
    <w:rsid w:val="00B37FC3"/>
    <w:rsid w:val="00B40469"/>
    <w:rsid w:val="00B404F9"/>
    <w:rsid w:val="00B40649"/>
    <w:rsid w:val="00B4096B"/>
    <w:rsid w:val="00B40B83"/>
    <w:rsid w:val="00B40CA2"/>
    <w:rsid w:val="00B40EA3"/>
    <w:rsid w:val="00B40F91"/>
    <w:rsid w:val="00B4119F"/>
    <w:rsid w:val="00B412AB"/>
    <w:rsid w:val="00B4137A"/>
    <w:rsid w:val="00B41461"/>
    <w:rsid w:val="00B417CF"/>
    <w:rsid w:val="00B41A09"/>
    <w:rsid w:val="00B41D96"/>
    <w:rsid w:val="00B42068"/>
    <w:rsid w:val="00B422C2"/>
    <w:rsid w:val="00B42360"/>
    <w:rsid w:val="00B4244E"/>
    <w:rsid w:val="00B42A82"/>
    <w:rsid w:val="00B42F94"/>
    <w:rsid w:val="00B4302C"/>
    <w:rsid w:val="00B4306D"/>
    <w:rsid w:val="00B43295"/>
    <w:rsid w:val="00B4329E"/>
    <w:rsid w:val="00B43309"/>
    <w:rsid w:val="00B43360"/>
    <w:rsid w:val="00B43614"/>
    <w:rsid w:val="00B4368F"/>
    <w:rsid w:val="00B438FA"/>
    <w:rsid w:val="00B43C83"/>
    <w:rsid w:val="00B43D9C"/>
    <w:rsid w:val="00B441BE"/>
    <w:rsid w:val="00B44303"/>
    <w:rsid w:val="00B444BA"/>
    <w:rsid w:val="00B44562"/>
    <w:rsid w:val="00B44698"/>
    <w:rsid w:val="00B44765"/>
    <w:rsid w:val="00B448E5"/>
    <w:rsid w:val="00B44A4B"/>
    <w:rsid w:val="00B44A69"/>
    <w:rsid w:val="00B44B3B"/>
    <w:rsid w:val="00B44C8B"/>
    <w:rsid w:val="00B44EEB"/>
    <w:rsid w:val="00B44F74"/>
    <w:rsid w:val="00B450E3"/>
    <w:rsid w:val="00B4529B"/>
    <w:rsid w:val="00B453C6"/>
    <w:rsid w:val="00B4579B"/>
    <w:rsid w:val="00B45829"/>
    <w:rsid w:val="00B4641C"/>
    <w:rsid w:val="00B464CF"/>
    <w:rsid w:val="00B46863"/>
    <w:rsid w:val="00B46924"/>
    <w:rsid w:val="00B46A06"/>
    <w:rsid w:val="00B46BF8"/>
    <w:rsid w:val="00B46CD4"/>
    <w:rsid w:val="00B46E28"/>
    <w:rsid w:val="00B46E30"/>
    <w:rsid w:val="00B46EC6"/>
    <w:rsid w:val="00B46F06"/>
    <w:rsid w:val="00B46FAD"/>
    <w:rsid w:val="00B4700B"/>
    <w:rsid w:val="00B47038"/>
    <w:rsid w:val="00B470B8"/>
    <w:rsid w:val="00B4752E"/>
    <w:rsid w:val="00B476DD"/>
    <w:rsid w:val="00B47AAA"/>
    <w:rsid w:val="00B47ABC"/>
    <w:rsid w:val="00B47B41"/>
    <w:rsid w:val="00B47CCA"/>
    <w:rsid w:val="00B47CDE"/>
    <w:rsid w:val="00B47F0A"/>
    <w:rsid w:val="00B47F65"/>
    <w:rsid w:val="00B50207"/>
    <w:rsid w:val="00B502E4"/>
    <w:rsid w:val="00B50357"/>
    <w:rsid w:val="00B50366"/>
    <w:rsid w:val="00B50C40"/>
    <w:rsid w:val="00B50DD4"/>
    <w:rsid w:val="00B50EB3"/>
    <w:rsid w:val="00B51117"/>
    <w:rsid w:val="00B51139"/>
    <w:rsid w:val="00B51308"/>
    <w:rsid w:val="00B5158B"/>
    <w:rsid w:val="00B51C67"/>
    <w:rsid w:val="00B52255"/>
    <w:rsid w:val="00B522E2"/>
    <w:rsid w:val="00B52506"/>
    <w:rsid w:val="00B52B89"/>
    <w:rsid w:val="00B52B8E"/>
    <w:rsid w:val="00B52C1C"/>
    <w:rsid w:val="00B52D65"/>
    <w:rsid w:val="00B52F64"/>
    <w:rsid w:val="00B53219"/>
    <w:rsid w:val="00B5346F"/>
    <w:rsid w:val="00B5350E"/>
    <w:rsid w:val="00B5392E"/>
    <w:rsid w:val="00B53AEC"/>
    <w:rsid w:val="00B53B31"/>
    <w:rsid w:val="00B53CFE"/>
    <w:rsid w:val="00B53D7A"/>
    <w:rsid w:val="00B53ECB"/>
    <w:rsid w:val="00B53F97"/>
    <w:rsid w:val="00B54061"/>
    <w:rsid w:val="00B54161"/>
    <w:rsid w:val="00B541F9"/>
    <w:rsid w:val="00B5434B"/>
    <w:rsid w:val="00B543CF"/>
    <w:rsid w:val="00B544C0"/>
    <w:rsid w:val="00B54629"/>
    <w:rsid w:val="00B547A8"/>
    <w:rsid w:val="00B54AA0"/>
    <w:rsid w:val="00B54D31"/>
    <w:rsid w:val="00B54FAB"/>
    <w:rsid w:val="00B5528F"/>
    <w:rsid w:val="00B552F0"/>
    <w:rsid w:val="00B55378"/>
    <w:rsid w:val="00B55406"/>
    <w:rsid w:val="00B5563E"/>
    <w:rsid w:val="00B55951"/>
    <w:rsid w:val="00B55D05"/>
    <w:rsid w:val="00B55E10"/>
    <w:rsid w:val="00B55EA7"/>
    <w:rsid w:val="00B55FAA"/>
    <w:rsid w:val="00B56075"/>
    <w:rsid w:val="00B5623E"/>
    <w:rsid w:val="00B5630A"/>
    <w:rsid w:val="00B56662"/>
    <w:rsid w:val="00B567C1"/>
    <w:rsid w:val="00B56A61"/>
    <w:rsid w:val="00B57364"/>
    <w:rsid w:val="00B5759D"/>
    <w:rsid w:val="00B578BF"/>
    <w:rsid w:val="00B57960"/>
    <w:rsid w:val="00B60042"/>
    <w:rsid w:val="00B60182"/>
    <w:rsid w:val="00B606FC"/>
    <w:rsid w:val="00B608DE"/>
    <w:rsid w:val="00B609F0"/>
    <w:rsid w:val="00B60A21"/>
    <w:rsid w:val="00B60A7C"/>
    <w:rsid w:val="00B60AC7"/>
    <w:rsid w:val="00B60C59"/>
    <w:rsid w:val="00B61071"/>
    <w:rsid w:val="00B611D6"/>
    <w:rsid w:val="00B612F7"/>
    <w:rsid w:val="00B61607"/>
    <w:rsid w:val="00B6189F"/>
    <w:rsid w:val="00B61C58"/>
    <w:rsid w:val="00B625A1"/>
    <w:rsid w:val="00B626D2"/>
    <w:rsid w:val="00B62858"/>
    <w:rsid w:val="00B62896"/>
    <w:rsid w:val="00B62B27"/>
    <w:rsid w:val="00B62DBA"/>
    <w:rsid w:val="00B62E33"/>
    <w:rsid w:val="00B633E3"/>
    <w:rsid w:val="00B63466"/>
    <w:rsid w:val="00B636CB"/>
    <w:rsid w:val="00B63762"/>
    <w:rsid w:val="00B6394E"/>
    <w:rsid w:val="00B63ADA"/>
    <w:rsid w:val="00B63D85"/>
    <w:rsid w:val="00B63E50"/>
    <w:rsid w:val="00B63E72"/>
    <w:rsid w:val="00B63ED8"/>
    <w:rsid w:val="00B63F9A"/>
    <w:rsid w:val="00B64065"/>
    <w:rsid w:val="00B64571"/>
    <w:rsid w:val="00B6487B"/>
    <w:rsid w:val="00B648E3"/>
    <w:rsid w:val="00B6496E"/>
    <w:rsid w:val="00B64A94"/>
    <w:rsid w:val="00B64AD3"/>
    <w:rsid w:val="00B64BB4"/>
    <w:rsid w:val="00B64EB4"/>
    <w:rsid w:val="00B64F29"/>
    <w:rsid w:val="00B64FD6"/>
    <w:rsid w:val="00B650C5"/>
    <w:rsid w:val="00B6511F"/>
    <w:rsid w:val="00B655A2"/>
    <w:rsid w:val="00B655F2"/>
    <w:rsid w:val="00B6585D"/>
    <w:rsid w:val="00B6594A"/>
    <w:rsid w:val="00B65EF8"/>
    <w:rsid w:val="00B6616C"/>
    <w:rsid w:val="00B661BF"/>
    <w:rsid w:val="00B66446"/>
    <w:rsid w:val="00B6651F"/>
    <w:rsid w:val="00B66613"/>
    <w:rsid w:val="00B668DE"/>
    <w:rsid w:val="00B66B93"/>
    <w:rsid w:val="00B66CEB"/>
    <w:rsid w:val="00B66CF7"/>
    <w:rsid w:val="00B66D33"/>
    <w:rsid w:val="00B66D90"/>
    <w:rsid w:val="00B66E5C"/>
    <w:rsid w:val="00B66E70"/>
    <w:rsid w:val="00B673FD"/>
    <w:rsid w:val="00B67573"/>
    <w:rsid w:val="00B675BA"/>
    <w:rsid w:val="00B677A7"/>
    <w:rsid w:val="00B67861"/>
    <w:rsid w:val="00B67C8B"/>
    <w:rsid w:val="00B67C97"/>
    <w:rsid w:val="00B70166"/>
    <w:rsid w:val="00B7041C"/>
    <w:rsid w:val="00B70457"/>
    <w:rsid w:val="00B7057B"/>
    <w:rsid w:val="00B706C2"/>
    <w:rsid w:val="00B707A1"/>
    <w:rsid w:val="00B709B0"/>
    <w:rsid w:val="00B70CBF"/>
    <w:rsid w:val="00B70D0F"/>
    <w:rsid w:val="00B70DBD"/>
    <w:rsid w:val="00B70F17"/>
    <w:rsid w:val="00B70F96"/>
    <w:rsid w:val="00B71018"/>
    <w:rsid w:val="00B713A5"/>
    <w:rsid w:val="00B71950"/>
    <w:rsid w:val="00B721C3"/>
    <w:rsid w:val="00B723A4"/>
    <w:rsid w:val="00B72696"/>
    <w:rsid w:val="00B72A2D"/>
    <w:rsid w:val="00B73042"/>
    <w:rsid w:val="00B73102"/>
    <w:rsid w:val="00B73214"/>
    <w:rsid w:val="00B732C9"/>
    <w:rsid w:val="00B73551"/>
    <w:rsid w:val="00B737AA"/>
    <w:rsid w:val="00B73824"/>
    <w:rsid w:val="00B738A5"/>
    <w:rsid w:val="00B73D36"/>
    <w:rsid w:val="00B73E0A"/>
    <w:rsid w:val="00B74041"/>
    <w:rsid w:val="00B74368"/>
    <w:rsid w:val="00B7448E"/>
    <w:rsid w:val="00B745B3"/>
    <w:rsid w:val="00B74664"/>
    <w:rsid w:val="00B746F2"/>
    <w:rsid w:val="00B748E1"/>
    <w:rsid w:val="00B7492D"/>
    <w:rsid w:val="00B74A04"/>
    <w:rsid w:val="00B74AB3"/>
    <w:rsid w:val="00B74BEF"/>
    <w:rsid w:val="00B74E07"/>
    <w:rsid w:val="00B750CC"/>
    <w:rsid w:val="00B750D0"/>
    <w:rsid w:val="00B750F4"/>
    <w:rsid w:val="00B754E2"/>
    <w:rsid w:val="00B75772"/>
    <w:rsid w:val="00B75C61"/>
    <w:rsid w:val="00B75CE8"/>
    <w:rsid w:val="00B75CFA"/>
    <w:rsid w:val="00B75F85"/>
    <w:rsid w:val="00B76060"/>
    <w:rsid w:val="00B7612F"/>
    <w:rsid w:val="00B76328"/>
    <w:rsid w:val="00B764F5"/>
    <w:rsid w:val="00B7677C"/>
    <w:rsid w:val="00B76B62"/>
    <w:rsid w:val="00B76C05"/>
    <w:rsid w:val="00B76C1A"/>
    <w:rsid w:val="00B77192"/>
    <w:rsid w:val="00B778F7"/>
    <w:rsid w:val="00B77BAE"/>
    <w:rsid w:val="00B77BD5"/>
    <w:rsid w:val="00B77CD8"/>
    <w:rsid w:val="00B77D99"/>
    <w:rsid w:val="00B77EB3"/>
    <w:rsid w:val="00B77F14"/>
    <w:rsid w:val="00B77F75"/>
    <w:rsid w:val="00B80444"/>
    <w:rsid w:val="00B80B3E"/>
    <w:rsid w:val="00B80CFE"/>
    <w:rsid w:val="00B810E5"/>
    <w:rsid w:val="00B8113B"/>
    <w:rsid w:val="00B8126E"/>
    <w:rsid w:val="00B81605"/>
    <w:rsid w:val="00B819C7"/>
    <w:rsid w:val="00B819DD"/>
    <w:rsid w:val="00B81BFB"/>
    <w:rsid w:val="00B82075"/>
    <w:rsid w:val="00B820EC"/>
    <w:rsid w:val="00B821A6"/>
    <w:rsid w:val="00B823CB"/>
    <w:rsid w:val="00B824BB"/>
    <w:rsid w:val="00B82802"/>
    <w:rsid w:val="00B828C5"/>
    <w:rsid w:val="00B829F9"/>
    <w:rsid w:val="00B82D51"/>
    <w:rsid w:val="00B8300B"/>
    <w:rsid w:val="00B83301"/>
    <w:rsid w:val="00B83464"/>
    <w:rsid w:val="00B834DD"/>
    <w:rsid w:val="00B83B96"/>
    <w:rsid w:val="00B83D5C"/>
    <w:rsid w:val="00B83E26"/>
    <w:rsid w:val="00B84324"/>
    <w:rsid w:val="00B8444C"/>
    <w:rsid w:val="00B84495"/>
    <w:rsid w:val="00B84954"/>
    <w:rsid w:val="00B84BAF"/>
    <w:rsid w:val="00B84E1E"/>
    <w:rsid w:val="00B84EBD"/>
    <w:rsid w:val="00B84F97"/>
    <w:rsid w:val="00B8517D"/>
    <w:rsid w:val="00B85555"/>
    <w:rsid w:val="00B8565D"/>
    <w:rsid w:val="00B85755"/>
    <w:rsid w:val="00B85758"/>
    <w:rsid w:val="00B85FBA"/>
    <w:rsid w:val="00B8607B"/>
    <w:rsid w:val="00B860B3"/>
    <w:rsid w:val="00B863EF"/>
    <w:rsid w:val="00B86426"/>
    <w:rsid w:val="00B8683D"/>
    <w:rsid w:val="00B86BB5"/>
    <w:rsid w:val="00B870AC"/>
    <w:rsid w:val="00B871B4"/>
    <w:rsid w:val="00B87414"/>
    <w:rsid w:val="00B87AD3"/>
    <w:rsid w:val="00B87C27"/>
    <w:rsid w:val="00B87CF3"/>
    <w:rsid w:val="00B9038B"/>
    <w:rsid w:val="00B904CC"/>
    <w:rsid w:val="00B907E5"/>
    <w:rsid w:val="00B908C0"/>
    <w:rsid w:val="00B90911"/>
    <w:rsid w:val="00B90AA4"/>
    <w:rsid w:val="00B90ABA"/>
    <w:rsid w:val="00B910F0"/>
    <w:rsid w:val="00B9132F"/>
    <w:rsid w:val="00B917C9"/>
    <w:rsid w:val="00B91A73"/>
    <w:rsid w:val="00B91A91"/>
    <w:rsid w:val="00B91BFE"/>
    <w:rsid w:val="00B91F6B"/>
    <w:rsid w:val="00B91F86"/>
    <w:rsid w:val="00B92002"/>
    <w:rsid w:val="00B9230A"/>
    <w:rsid w:val="00B923D0"/>
    <w:rsid w:val="00B924CF"/>
    <w:rsid w:val="00B924DC"/>
    <w:rsid w:val="00B9259A"/>
    <w:rsid w:val="00B926F0"/>
    <w:rsid w:val="00B927FC"/>
    <w:rsid w:val="00B9292D"/>
    <w:rsid w:val="00B92A55"/>
    <w:rsid w:val="00B92C7E"/>
    <w:rsid w:val="00B92D00"/>
    <w:rsid w:val="00B92D4A"/>
    <w:rsid w:val="00B93022"/>
    <w:rsid w:val="00B9316C"/>
    <w:rsid w:val="00B9334E"/>
    <w:rsid w:val="00B93516"/>
    <w:rsid w:val="00B93717"/>
    <w:rsid w:val="00B93854"/>
    <w:rsid w:val="00B938E1"/>
    <w:rsid w:val="00B9395E"/>
    <w:rsid w:val="00B93B17"/>
    <w:rsid w:val="00B93BAB"/>
    <w:rsid w:val="00B9407C"/>
    <w:rsid w:val="00B941CB"/>
    <w:rsid w:val="00B94668"/>
    <w:rsid w:val="00B94954"/>
    <w:rsid w:val="00B94BF0"/>
    <w:rsid w:val="00B94BF5"/>
    <w:rsid w:val="00B94C3F"/>
    <w:rsid w:val="00B94C80"/>
    <w:rsid w:val="00B94CA2"/>
    <w:rsid w:val="00B950B1"/>
    <w:rsid w:val="00B95119"/>
    <w:rsid w:val="00B9516B"/>
    <w:rsid w:val="00B95242"/>
    <w:rsid w:val="00B95270"/>
    <w:rsid w:val="00B95E13"/>
    <w:rsid w:val="00B96048"/>
    <w:rsid w:val="00B9619F"/>
    <w:rsid w:val="00B9639E"/>
    <w:rsid w:val="00B9642E"/>
    <w:rsid w:val="00B96432"/>
    <w:rsid w:val="00B9647C"/>
    <w:rsid w:val="00B966E3"/>
    <w:rsid w:val="00B96920"/>
    <w:rsid w:val="00B96982"/>
    <w:rsid w:val="00B96BA2"/>
    <w:rsid w:val="00B96C4D"/>
    <w:rsid w:val="00B96ED6"/>
    <w:rsid w:val="00B96FD7"/>
    <w:rsid w:val="00B971BB"/>
    <w:rsid w:val="00B97214"/>
    <w:rsid w:val="00B972FD"/>
    <w:rsid w:val="00B974F4"/>
    <w:rsid w:val="00B975B3"/>
    <w:rsid w:val="00B9777C"/>
    <w:rsid w:val="00B977D4"/>
    <w:rsid w:val="00B97869"/>
    <w:rsid w:val="00B97AFF"/>
    <w:rsid w:val="00B97E5B"/>
    <w:rsid w:val="00B97F0A"/>
    <w:rsid w:val="00B97F57"/>
    <w:rsid w:val="00BA01CC"/>
    <w:rsid w:val="00BA045E"/>
    <w:rsid w:val="00BA053C"/>
    <w:rsid w:val="00BA05A5"/>
    <w:rsid w:val="00BA05FB"/>
    <w:rsid w:val="00BA07C8"/>
    <w:rsid w:val="00BA08CF"/>
    <w:rsid w:val="00BA0B0E"/>
    <w:rsid w:val="00BA0B0F"/>
    <w:rsid w:val="00BA0B4E"/>
    <w:rsid w:val="00BA0BE3"/>
    <w:rsid w:val="00BA0C29"/>
    <w:rsid w:val="00BA0C65"/>
    <w:rsid w:val="00BA0D3B"/>
    <w:rsid w:val="00BA0E9E"/>
    <w:rsid w:val="00BA0FE4"/>
    <w:rsid w:val="00BA0FE5"/>
    <w:rsid w:val="00BA1279"/>
    <w:rsid w:val="00BA12B4"/>
    <w:rsid w:val="00BA1443"/>
    <w:rsid w:val="00BA15F5"/>
    <w:rsid w:val="00BA1813"/>
    <w:rsid w:val="00BA182F"/>
    <w:rsid w:val="00BA18E4"/>
    <w:rsid w:val="00BA1932"/>
    <w:rsid w:val="00BA1B1C"/>
    <w:rsid w:val="00BA1DBF"/>
    <w:rsid w:val="00BA1E03"/>
    <w:rsid w:val="00BA2012"/>
    <w:rsid w:val="00BA2082"/>
    <w:rsid w:val="00BA22DE"/>
    <w:rsid w:val="00BA2498"/>
    <w:rsid w:val="00BA24D9"/>
    <w:rsid w:val="00BA27AD"/>
    <w:rsid w:val="00BA281A"/>
    <w:rsid w:val="00BA2976"/>
    <w:rsid w:val="00BA2DEE"/>
    <w:rsid w:val="00BA2E20"/>
    <w:rsid w:val="00BA304E"/>
    <w:rsid w:val="00BA31E2"/>
    <w:rsid w:val="00BA33E0"/>
    <w:rsid w:val="00BA35BD"/>
    <w:rsid w:val="00BA35C6"/>
    <w:rsid w:val="00BA36E6"/>
    <w:rsid w:val="00BA370A"/>
    <w:rsid w:val="00BA381C"/>
    <w:rsid w:val="00BA3A8B"/>
    <w:rsid w:val="00BA3BF3"/>
    <w:rsid w:val="00BA3E5E"/>
    <w:rsid w:val="00BA3E65"/>
    <w:rsid w:val="00BA4388"/>
    <w:rsid w:val="00BA439C"/>
    <w:rsid w:val="00BA46A3"/>
    <w:rsid w:val="00BA4B8E"/>
    <w:rsid w:val="00BA511F"/>
    <w:rsid w:val="00BA52E3"/>
    <w:rsid w:val="00BA530D"/>
    <w:rsid w:val="00BA5452"/>
    <w:rsid w:val="00BA56CE"/>
    <w:rsid w:val="00BA56EC"/>
    <w:rsid w:val="00BA57C8"/>
    <w:rsid w:val="00BA5A4A"/>
    <w:rsid w:val="00BA5B37"/>
    <w:rsid w:val="00BA5B3F"/>
    <w:rsid w:val="00BA5E2F"/>
    <w:rsid w:val="00BA60E0"/>
    <w:rsid w:val="00BA67B0"/>
    <w:rsid w:val="00BA6863"/>
    <w:rsid w:val="00BA69F5"/>
    <w:rsid w:val="00BA6F25"/>
    <w:rsid w:val="00BA7209"/>
    <w:rsid w:val="00BA7275"/>
    <w:rsid w:val="00BA751D"/>
    <w:rsid w:val="00BA7682"/>
    <w:rsid w:val="00BA7B67"/>
    <w:rsid w:val="00BA7C2B"/>
    <w:rsid w:val="00BB021B"/>
    <w:rsid w:val="00BB03E4"/>
    <w:rsid w:val="00BB0832"/>
    <w:rsid w:val="00BB09BB"/>
    <w:rsid w:val="00BB0DDF"/>
    <w:rsid w:val="00BB0E3E"/>
    <w:rsid w:val="00BB0FA9"/>
    <w:rsid w:val="00BB107D"/>
    <w:rsid w:val="00BB13BB"/>
    <w:rsid w:val="00BB1594"/>
    <w:rsid w:val="00BB16F9"/>
    <w:rsid w:val="00BB1AB7"/>
    <w:rsid w:val="00BB1AC3"/>
    <w:rsid w:val="00BB1D58"/>
    <w:rsid w:val="00BB1FD8"/>
    <w:rsid w:val="00BB20F3"/>
    <w:rsid w:val="00BB2185"/>
    <w:rsid w:val="00BB228C"/>
    <w:rsid w:val="00BB2507"/>
    <w:rsid w:val="00BB2711"/>
    <w:rsid w:val="00BB2CD1"/>
    <w:rsid w:val="00BB2D38"/>
    <w:rsid w:val="00BB2DE2"/>
    <w:rsid w:val="00BB2DE6"/>
    <w:rsid w:val="00BB2E3F"/>
    <w:rsid w:val="00BB30C6"/>
    <w:rsid w:val="00BB32B0"/>
    <w:rsid w:val="00BB32C3"/>
    <w:rsid w:val="00BB33EE"/>
    <w:rsid w:val="00BB3644"/>
    <w:rsid w:val="00BB36B1"/>
    <w:rsid w:val="00BB37C1"/>
    <w:rsid w:val="00BB3811"/>
    <w:rsid w:val="00BB3CBA"/>
    <w:rsid w:val="00BB3DE1"/>
    <w:rsid w:val="00BB3E48"/>
    <w:rsid w:val="00BB3FC8"/>
    <w:rsid w:val="00BB4061"/>
    <w:rsid w:val="00BB4116"/>
    <w:rsid w:val="00BB4404"/>
    <w:rsid w:val="00BB45D2"/>
    <w:rsid w:val="00BB48D8"/>
    <w:rsid w:val="00BB4EC4"/>
    <w:rsid w:val="00BB52CB"/>
    <w:rsid w:val="00BB52D6"/>
    <w:rsid w:val="00BB543F"/>
    <w:rsid w:val="00BB59F8"/>
    <w:rsid w:val="00BB5B79"/>
    <w:rsid w:val="00BB61C7"/>
    <w:rsid w:val="00BB62E9"/>
    <w:rsid w:val="00BB6350"/>
    <w:rsid w:val="00BB64C2"/>
    <w:rsid w:val="00BB663D"/>
    <w:rsid w:val="00BB687B"/>
    <w:rsid w:val="00BB699C"/>
    <w:rsid w:val="00BB6A4E"/>
    <w:rsid w:val="00BB6DFE"/>
    <w:rsid w:val="00BB6FE1"/>
    <w:rsid w:val="00BB714F"/>
    <w:rsid w:val="00BB7206"/>
    <w:rsid w:val="00BB727C"/>
    <w:rsid w:val="00BB74A3"/>
    <w:rsid w:val="00BB76DE"/>
    <w:rsid w:val="00BB7838"/>
    <w:rsid w:val="00BB78F4"/>
    <w:rsid w:val="00BB7AAE"/>
    <w:rsid w:val="00BB7B03"/>
    <w:rsid w:val="00BB7B6B"/>
    <w:rsid w:val="00BB7BA0"/>
    <w:rsid w:val="00BB7CB3"/>
    <w:rsid w:val="00BC0154"/>
    <w:rsid w:val="00BC0179"/>
    <w:rsid w:val="00BC01D1"/>
    <w:rsid w:val="00BC030A"/>
    <w:rsid w:val="00BC0576"/>
    <w:rsid w:val="00BC099A"/>
    <w:rsid w:val="00BC0AC3"/>
    <w:rsid w:val="00BC0F2B"/>
    <w:rsid w:val="00BC105C"/>
    <w:rsid w:val="00BC117F"/>
    <w:rsid w:val="00BC120C"/>
    <w:rsid w:val="00BC122F"/>
    <w:rsid w:val="00BC15B1"/>
    <w:rsid w:val="00BC162D"/>
    <w:rsid w:val="00BC1707"/>
    <w:rsid w:val="00BC185E"/>
    <w:rsid w:val="00BC1CED"/>
    <w:rsid w:val="00BC1E8C"/>
    <w:rsid w:val="00BC1F3A"/>
    <w:rsid w:val="00BC1FC0"/>
    <w:rsid w:val="00BC2066"/>
    <w:rsid w:val="00BC21C3"/>
    <w:rsid w:val="00BC223A"/>
    <w:rsid w:val="00BC2570"/>
    <w:rsid w:val="00BC27D1"/>
    <w:rsid w:val="00BC2A08"/>
    <w:rsid w:val="00BC2CED"/>
    <w:rsid w:val="00BC2EE1"/>
    <w:rsid w:val="00BC3096"/>
    <w:rsid w:val="00BC392F"/>
    <w:rsid w:val="00BC3A65"/>
    <w:rsid w:val="00BC3BF9"/>
    <w:rsid w:val="00BC3E33"/>
    <w:rsid w:val="00BC3FCA"/>
    <w:rsid w:val="00BC40BD"/>
    <w:rsid w:val="00BC449E"/>
    <w:rsid w:val="00BC48CC"/>
    <w:rsid w:val="00BC4ADC"/>
    <w:rsid w:val="00BC4CA6"/>
    <w:rsid w:val="00BC4D66"/>
    <w:rsid w:val="00BC53ED"/>
    <w:rsid w:val="00BC56A4"/>
    <w:rsid w:val="00BC5C22"/>
    <w:rsid w:val="00BC5DF9"/>
    <w:rsid w:val="00BC62D2"/>
    <w:rsid w:val="00BC6302"/>
    <w:rsid w:val="00BC645A"/>
    <w:rsid w:val="00BC6AC4"/>
    <w:rsid w:val="00BC6D75"/>
    <w:rsid w:val="00BC7305"/>
    <w:rsid w:val="00BC7442"/>
    <w:rsid w:val="00BC74F6"/>
    <w:rsid w:val="00BC76AA"/>
    <w:rsid w:val="00BC7843"/>
    <w:rsid w:val="00BC7ACC"/>
    <w:rsid w:val="00BC7B6D"/>
    <w:rsid w:val="00BC7C09"/>
    <w:rsid w:val="00BC7C15"/>
    <w:rsid w:val="00BC7C96"/>
    <w:rsid w:val="00BC7CB0"/>
    <w:rsid w:val="00BC7F18"/>
    <w:rsid w:val="00BC7F8E"/>
    <w:rsid w:val="00BC7FF9"/>
    <w:rsid w:val="00BD0E70"/>
    <w:rsid w:val="00BD0EA7"/>
    <w:rsid w:val="00BD1150"/>
    <w:rsid w:val="00BD13D4"/>
    <w:rsid w:val="00BD16DF"/>
    <w:rsid w:val="00BD18FA"/>
    <w:rsid w:val="00BD1C6F"/>
    <w:rsid w:val="00BD1FAE"/>
    <w:rsid w:val="00BD235B"/>
    <w:rsid w:val="00BD2441"/>
    <w:rsid w:val="00BD245F"/>
    <w:rsid w:val="00BD2562"/>
    <w:rsid w:val="00BD27CF"/>
    <w:rsid w:val="00BD28EB"/>
    <w:rsid w:val="00BD29D6"/>
    <w:rsid w:val="00BD2A57"/>
    <w:rsid w:val="00BD2CBA"/>
    <w:rsid w:val="00BD306C"/>
    <w:rsid w:val="00BD3206"/>
    <w:rsid w:val="00BD3777"/>
    <w:rsid w:val="00BD37B2"/>
    <w:rsid w:val="00BD386A"/>
    <w:rsid w:val="00BD38CC"/>
    <w:rsid w:val="00BD3906"/>
    <w:rsid w:val="00BD3C3C"/>
    <w:rsid w:val="00BD3D40"/>
    <w:rsid w:val="00BD3D4E"/>
    <w:rsid w:val="00BD3E85"/>
    <w:rsid w:val="00BD3FF0"/>
    <w:rsid w:val="00BD4033"/>
    <w:rsid w:val="00BD4334"/>
    <w:rsid w:val="00BD439A"/>
    <w:rsid w:val="00BD47F9"/>
    <w:rsid w:val="00BD4848"/>
    <w:rsid w:val="00BD499F"/>
    <w:rsid w:val="00BD4A2C"/>
    <w:rsid w:val="00BD4F87"/>
    <w:rsid w:val="00BD4F99"/>
    <w:rsid w:val="00BD507B"/>
    <w:rsid w:val="00BD514E"/>
    <w:rsid w:val="00BD5436"/>
    <w:rsid w:val="00BD54DF"/>
    <w:rsid w:val="00BD5554"/>
    <w:rsid w:val="00BD5DB1"/>
    <w:rsid w:val="00BD6042"/>
    <w:rsid w:val="00BD605E"/>
    <w:rsid w:val="00BD6353"/>
    <w:rsid w:val="00BD6536"/>
    <w:rsid w:val="00BD6613"/>
    <w:rsid w:val="00BD6741"/>
    <w:rsid w:val="00BD698B"/>
    <w:rsid w:val="00BD6BA6"/>
    <w:rsid w:val="00BD6D47"/>
    <w:rsid w:val="00BD6EB5"/>
    <w:rsid w:val="00BD7537"/>
    <w:rsid w:val="00BD753D"/>
    <w:rsid w:val="00BD79CA"/>
    <w:rsid w:val="00BE01E8"/>
    <w:rsid w:val="00BE01EA"/>
    <w:rsid w:val="00BE02B5"/>
    <w:rsid w:val="00BE051B"/>
    <w:rsid w:val="00BE0869"/>
    <w:rsid w:val="00BE0B6A"/>
    <w:rsid w:val="00BE102B"/>
    <w:rsid w:val="00BE10E6"/>
    <w:rsid w:val="00BE11D6"/>
    <w:rsid w:val="00BE1711"/>
    <w:rsid w:val="00BE17B1"/>
    <w:rsid w:val="00BE185E"/>
    <w:rsid w:val="00BE1909"/>
    <w:rsid w:val="00BE1B37"/>
    <w:rsid w:val="00BE1CDE"/>
    <w:rsid w:val="00BE1D7D"/>
    <w:rsid w:val="00BE1FE3"/>
    <w:rsid w:val="00BE218F"/>
    <w:rsid w:val="00BE2318"/>
    <w:rsid w:val="00BE24F7"/>
    <w:rsid w:val="00BE251A"/>
    <w:rsid w:val="00BE26E5"/>
    <w:rsid w:val="00BE26E8"/>
    <w:rsid w:val="00BE299C"/>
    <w:rsid w:val="00BE29A7"/>
    <w:rsid w:val="00BE29CF"/>
    <w:rsid w:val="00BE2A8A"/>
    <w:rsid w:val="00BE2BF8"/>
    <w:rsid w:val="00BE2D00"/>
    <w:rsid w:val="00BE2D9E"/>
    <w:rsid w:val="00BE2F69"/>
    <w:rsid w:val="00BE3663"/>
    <w:rsid w:val="00BE36FC"/>
    <w:rsid w:val="00BE38FA"/>
    <w:rsid w:val="00BE39AE"/>
    <w:rsid w:val="00BE3A11"/>
    <w:rsid w:val="00BE4275"/>
    <w:rsid w:val="00BE452F"/>
    <w:rsid w:val="00BE4618"/>
    <w:rsid w:val="00BE48CA"/>
    <w:rsid w:val="00BE4A65"/>
    <w:rsid w:val="00BE4A70"/>
    <w:rsid w:val="00BE4EE4"/>
    <w:rsid w:val="00BE4FDD"/>
    <w:rsid w:val="00BE5207"/>
    <w:rsid w:val="00BE5539"/>
    <w:rsid w:val="00BE5550"/>
    <w:rsid w:val="00BE5707"/>
    <w:rsid w:val="00BE587D"/>
    <w:rsid w:val="00BE5924"/>
    <w:rsid w:val="00BE5928"/>
    <w:rsid w:val="00BE5E42"/>
    <w:rsid w:val="00BE62A9"/>
    <w:rsid w:val="00BE6606"/>
    <w:rsid w:val="00BE6943"/>
    <w:rsid w:val="00BE6C7F"/>
    <w:rsid w:val="00BE6D70"/>
    <w:rsid w:val="00BE6F28"/>
    <w:rsid w:val="00BE6FCE"/>
    <w:rsid w:val="00BE7100"/>
    <w:rsid w:val="00BE7221"/>
    <w:rsid w:val="00BE747E"/>
    <w:rsid w:val="00BE7B0F"/>
    <w:rsid w:val="00BE7B8E"/>
    <w:rsid w:val="00BE7E5B"/>
    <w:rsid w:val="00BF01B9"/>
    <w:rsid w:val="00BF0205"/>
    <w:rsid w:val="00BF09CC"/>
    <w:rsid w:val="00BF0A46"/>
    <w:rsid w:val="00BF0A78"/>
    <w:rsid w:val="00BF0D5F"/>
    <w:rsid w:val="00BF0E1A"/>
    <w:rsid w:val="00BF12F2"/>
    <w:rsid w:val="00BF141A"/>
    <w:rsid w:val="00BF142E"/>
    <w:rsid w:val="00BF16F8"/>
    <w:rsid w:val="00BF1ADB"/>
    <w:rsid w:val="00BF1DE7"/>
    <w:rsid w:val="00BF1FD6"/>
    <w:rsid w:val="00BF21FB"/>
    <w:rsid w:val="00BF24CB"/>
    <w:rsid w:val="00BF25CA"/>
    <w:rsid w:val="00BF2627"/>
    <w:rsid w:val="00BF2931"/>
    <w:rsid w:val="00BF29D4"/>
    <w:rsid w:val="00BF2A85"/>
    <w:rsid w:val="00BF2B2D"/>
    <w:rsid w:val="00BF2D95"/>
    <w:rsid w:val="00BF306E"/>
    <w:rsid w:val="00BF311B"/>
    <w:rsid w:val="00BF3128"/>
    <w:rsid w:val="00BF31E7"/>
    <w:rsid w:val="00BF3296"/>
    <w:rsid w:val="00BF33AC"/>
    <w:rsid w:val="00BF366D"/>
    <w:rsid w:val="00BF37A9"/>
    <w:rsid w:val="00BF383B"/>
    <w:rsid w:val="00BF3A94"/>
    <w:rsid w:val="00BF3B49"/>
    <w:rsid w:val="00BF3C17"/>
    <w:rsid w:val="00BF445E"/>
    <w:rsid w:val="00BF48E5"/>
    <w:rsid w:val="00BF4987"/>
    <w:rsid w:val="00BF4AC9"/>
    <w:rsid w:val="00BF4B26"/>
    <w:rsid w:val="00BF5194"/>
    <w:rsid w:val="00BF53F6"/>
    <w:rsid w:val="00BF5438"/>
    <w:rsid w:val="00BF58AB"/>
    <w:rsid w:val="00BF58C4"/>
    <w:rsid w:val="00BF59D4"/>
    <w:rsid w:val="00BF5BFC"/>
    <w:rsid w:val="00BF5C7B"/>
    <w:rsid w:val="00BF5DE7"/>
    <w:rsid w:val="00BF5E3D"/>
    <w:rsid w:val="00BF5E7A"/>
    <w:rsid w:val="00BF5E98"/>
    <w:rsid w:val="00BF5EA6"/>
    <w:rsid w:val="00BF5F86"/>
    <w:rsid w:val="00BF5F9A"/>
    <w:rsid w:val="00BF6006"/>
    <w:rsid w:val="00BF62BB"/>
    <w:rsid w:val="00BF6632"/>
    <w:rsid w:val="00BF6865"/>
    <w:rsid w:val="00BF6914"/>
    <w:rsid w:val="00BF698C"/>
    <w:rsid w:val="00BF6C19"/>
    <w:rsid w:val="00BF6E98"/>
    <w:rsid w:val="00BF707A"/>
    <w:rsid w:val="00BF7690"/>
    <w:rsid w:val="00BF770A"/>
    <w:rsid w:val="00BF7BA1"/>
    <w:rsid w:val="00C000C5"/>
    <w:rsid w:val="00C000DB"/>
    <w:rsid w:val="00C00B38"/>
    <w:rsid w:val="00C00C25"/>
    <w:rsid w:val="00C00C47"/>
    <w:rsid w:val="00C00C7C"/>
    <w:rsid w:val="00C01451"/>
    <w:rsid w:val="00C014C0"/>
    <w:rsid w:val="00C01686"/>
    <w:rsid w:val="00C017DE"/>
    <w:rsid w:val="00C018A8"/>
    <w:rsid w:val="00C018FA"/>
    <w:rsid w:val="00C01BC9"/>
    <w:rsid w:val="00C01CDD"/>
    <w:rsid w:val="00C01FCE"/>
    <w:rsid w:val="00C024EC"/>
    <w:rsid w:val="00C0261D"/>
    <w:rsid w:val="00C02DDB"/>
    <w:rsid w:val="00C03355"/>
    <w:rsid w:val="00C03673"/>
    <w:rsid w:val="00C037C4"/>
    <w:rsid w:val="00C03B33"/>
    <w:rsid w:val="00C03CC1"/>
    <w:rsid w:val="00C03E21"/>
    <w:rsid w:val="00C03EE0"/>
    <w:rsid w:val="00C03F05"/>
    <w:rsid w:val="00C03F5E"/>
    <w:rsid w:val="00C0400F"/>
    <w:rsid w:val="00C0435A"/>
    <w:rsid w:val="00C0499C"/>
    <w:rsid w:val="00C04A01"/>
    <w:rsid w:val="00C04C94"/>
    <w:rsid w:val="00C0532E"/>
    <w:rsid w:val="00C055A9"/>
    <w:rsid w:val="00C056E6"/>
    <w:rsid w:val="00C05B92"/>
    <w:rsid w:val="00C05E54"/>
    <w:rsid w:val="00C0631F"/>
    <w:rsid w:val="00C066C1"/>
    <w:rsid w:val="00C0686B"/>
    <w:rsid w:val="00C06918"/>
    <w:rsid w:val="00C06FA2"/>
    <w:rsid w:val="00C07053"/>
    <w:rsid w:val="00C0715F"/>
    <w:rsid w:val="00C0717D"/>
    <w:rsid w:val="00C0742F"/>
    <w:rsid w:val="00C0763F"/>
    <w:rsid w:val="00C078E5"/>
    <w:rsid w:val="00C07940"/>
    <w:rsid w:val="00C07C25"/>
    <w:rsid w:val="00C07C82"/>
    <w:rsid w:val="00C07D76"/>
    <w:rsid w:val="00C101EE"/>
    <w:rsid w:val="00C1025A"/>
    <w:rsid w:val="00C10429"/>
    <w:rsid w:val="00C10691"/>
    <w:rsid w:val="00C107AB"/>
    <w:rsid w:val="00C108EF"/>
    <w:rsid w:val="00C109F5"/>
    <w:rsid w:val="00C10A32"/>
    <w:rsid w:val="00C10B35"/>
    <w:rsid w:val="00C10C23"/>
    <w:rsid w:val="00C10CC4"/>
    <w:rsid w:val="00C11319"/>
    <w:rsid w:val="00C11357"/>
    <w:rsid w:val="00C11458"/>
    <w:rsid w:val="00C114CC"/>
    <w:rsid w:val="00C117C9"/>
    <w:rsid w:val="00C118F0"/>
    <w:rsid w:val="00C11D25"/>
    <w:rsid w:val="00C12124"/>
    <w:rsid w:val="00C1253E"/>
    <w:rsid w:val="00C128D8"/>
    <w:rsid w:val="00C12944"/>
    <w:rsid w:val="00C12DD5"/>
    <w:rsid w:val="00C12F0E"/>
    <w:rsid w:val="00C1324F"/>
    <w:rsid w:val="00C13389"/>
    <w:rsid w:val="00C133A8"/>
    <w:rsid w:val="00C13639"/>
    <w:rsid w:val="00C13CC1"/>
    <w:rsid w:val="00C13DB9"/>
    <w:rsid w:val="00C13F25"/>
    <w:rsid w:val="00C14102"/>
    <w:rsid w:val="00C14371"/>
    <w:rsid w:val="00C14669"/>
    <w:rsid w:val="00C14892"/>
    <w:rsid w:val="00C14A3E"/>
    <w:rsid w:val="00C14A4D"/>
    <w:rsid w:val="00C14D9E"/>
    <w:rsid w:val="00C14DA4"/>
    <w:rsid w:val="00C14ECC"/>
    <w:rsid w:val="00C15595"/>
    <w:rsid w:val="00C156DA"/>
    <w:rsid w:val="00C158A8"/>
    <w:rsid w:val="00C15B41"/>
    <w:rsid w:val="00C15C7B"/>
    <w:rsid w:val="00C15FEC"/>
    <w:rsid w:val="00C1605E"/>
    <w:rsid w:val="00C16072"/>
    <w:rsid w:val="00C162C8"/>
    <w:rsid w:val="00C164A3"/>
    <w:rsid w:val="00C1650C"/>
    <w:rsid w:val="00C165CD"/>
    <w:rsid w:val="00C16A92"/>
    <w:rsid w:val="00C16C89"/>
    <w:rsid w:val="00C16DE7"/>
    <w:rsid w:val="00C16E71"/>
    <w:rsid w:val="00C173C4"/>
    <w:rsid w:val="00C17479"/>
    <w:rsid w:val="00C17631"/>
    <w:rsid w:val="00C1779E"/>
    <w:rsid w:val="00C17950"/>
    <w:rsid w:val="00C17C49"/>
    <w:rsid w:val="00C203C1"/>
    <w:rsid w:val="00C20A30"/>
    <w:rsid w:val="00C20BF1"/>
    <w:rsid w:val="00C20F3B"/>
    <w:rsid w:val="00C212F8"/>
    <w:rsid w:val="00C21353"/>
    <w:rsid w:val="00C21432"/>
    <w:rsid w:val="00C21654"/>
    <w:rsid w:val="00C21AF3"/>
    <w:rsid w:val="00C21E36"/>
    <w:rsid w:val="00C21FB6"/>
    <w:rsid w:val="00C22459"/>
    <w:rsid w:val="00C22539"/>
    <w:rsid w:val="00C228F7"/>
    <w:rsid w:val="00C22987"/>
    <w:rsid w:val="00C22A3C"/>
    <w:rsid w:val="00C22BE1"/>
    <w:rsid w:val="00C22F8C"/>
    <w:rsid w:val="00C2319E"/>
    <w:rsid w:val="00C231DD"/>
    <w:rsid w:val="00C23450"/>
    <w:rsid w:val="00C23743"/>
    <w:rsid w:val="00C237CD"/>
    <w:rsid w:val="00C23C3F"/>
    <w:rsid w:val="00C23C4B"/>
    <w:rsid w:val="00C23E21"/>
    <w:rsid w:val="00C23E6E"/>
    <w:rsid w:val="00C23F3C"/>
    <w:rsid w:val="00C24767"/>
    <w:rsid w:val="00C24BA7"/>
    <w:rsid w:val="00C250C0"/>
    <w:rsid w:val="00C2514C"/>
    <w:rsid w:val="00C251AB"/>
    <w:rsid w:val="00C255D6"/>
    <w:rsid w:val="00C25832"/>
    <w:rsid w:val="00C25DD8"/>
    <w:rsid w:val="00C2601C"/>
    <w:rsid w:val="00C26088"/>
    <w:rsid w:val="00C260FB"/>
    <w:rsid w:val="00C261F7"/>
    <w:rsid w:val="00C26293"/>
    <w:rsid w:val="00C262DE"/>
    <w:rsid w:val="00C26618"/>
    <w:rsid w:val="00C26682"/>
    <w:rsid w:val="00C2675A"/>
    <w:rsid w:val="00C26C72"/>
    <w:rsid w:val="00C2713E"/>
    <w:rsid w:val="00C27281"/>
    <w:rsid w:val="00C272E3"/>
    <w:rsid w:val="00C2731E"/>
    <w:rsid w:val="00C27366"/>
    <w:rsid w:val="00C274E5"/>
    <w:rsid w:val="00C27536"/>
    <w:rsid w:val="00C27B3B"/>
    <w:rsid w:val="00C27C10"/>
    <w:rsid w:val="00C27F7C"/>
    <w:rsid w:val="00C27F7F"/>
    <w:rsid w:val="00C303C1"/>
    <w:rsid w:val="00C30724"/>
    <w:rsid w:val="00C3078B"/>
    <w:rsid w:val="00C30B73"/>
    <w:rsid w:val="00C30E3A"/>
    <w:rsid w:val="00C30FBB"/>
    <w:rsid w:val="00C3137F"/>
    <w:rsid w:val="00C3182E"/>
    <w:rsid w:val="00C31E1B"/>
    <w:rsid w:val="00C32082"/>
    <w:rsid w:val="00C32374"/>
    <w:rsid w:val="00C32536"/>
    <w:rsid w:val="00C32585"/>
    <w:rsid w:val="00C32902"/>
    <w:rsid w:val="00C32935"/>
    <w:rsid w:val="00C3299B"/>
    <w:rsid w:val="00C32A62"/>
    <w:rsid w:val="00C32ADB"/>
    <w:rsid w:val="00C32B44"/>
    <w:rsid w:val="00C32B8F"/>
    <w:rsid w:val="00C32C43"/>
    <w:rsid w:val="00C32CD5"/>
    <w:rsid w:val="00C32CF7"/>
    <w:rsid w:val="00C32D36"/>
    <w:rsid w:val="00C32D85"/>
    <w:rsid w:val="00C33482"/>
    <w:rsid w:val="00C335AD"/>
    <w:rsid w:val="00C3370B"/>
    <w:rsid w:val="00C3380E"/>
    <w:rsid w:val="00C33C75"/>
    <w:rsid w:val="00C33CBF"/>
    <w:rsid w:val="00C33ECB"/>
    <w:rsid w:val="00C33F48"/>
    <w:rsid w:val="00C33F75"/>
    <w:rsid w:val="00C33F97"/>
    <w:rsid w:val="00C3458F"/>
    <w:rsid w:val="00C34594"/>
    <w:rsid w:val="00C345C4"/>
    <w:rsid w:val="00C34669"/>
    <w:rsid w:val="00C34706"/>
    <w:rsid w:val="00C348FA"/>
    <w:rsid w:val="00C349E5"/>
    <w:rsid w:val="00C34AED"/>
    <w:rsid w:val="00C34F4C"/>
    <w:rsid w:val="00C3516B"/>
    <w:rsid w:val="00C352B2"/>
    <w:rsid w:val="00C352DB"/>
    <w:rsid w:val="00C35320"/>
    <w:rsid w:val="00C3589F"/>
    <w:rsid w:val="00C35982"/>
    <w:rsid w:val="00C359A8"/>
    <w:rsid w:val="00C35BCF"/>
    <w:rsid w:val="00C35E0B"/>
    <w:rsid w:val="00C35E9E"/>
    <w:rsid w:val="00C35ED4"/>
    <w:rsid w:val="00C3622D"/>
    <w:rsid w:val="00C362BE"/>
    <w:rsid w:val="00C36678"/>
    <w:rsid w:val="00C366D9"/>
    <w:rsid w:val="00C36863"/>
    <w:rsid w:val="00C36BCB"/>
    <w:rsid w:val="00C36E82"/>
    <w:rsid w:val="00C36EEF"/>
    <w:rsid w:val="00C37306"/>
    <w:rsid w:val="00C373E6"/>
    <w:rsid w:val="00C3762D"/>
    <w:rsid w:val="00C37952"/>
    <w:rsid w:val="00C37B57"/>
    <w:rsid w:val="00C40111"/>
    <w:rsid w:val="00C402B4"/>
    <w:rsid w:val="00C40731"/>
    <w:rsid w:val="00C4088B"/>
    <w:rsid w:val="00C40B06"/>
    <w:rsid w:val="00C40D1E"/>
    <w:rsid w:val="00C40D40"/>
    <w:rsid w:val="00C40DC4"/>
    <w:rsid w:val="00C412BE"/>
    <w:rsid w:val="00C41313"/>
    <w:rsid w:val="00C414BD"/>
    <w:rsid w:val="00C415CA"/>
    <w:rsid w:val="00C41B24"/>
    <w:rsid w:val="00C41B47"/>
    <w:rsid w:val="00C41E89"/>
    <w:rsid w:val="00C41EBF"/>
    <w:rsid w:val="00C41F6E"/>
    <w:rsid w:val="00C4207A"/>
    <w:rsid w:val="00C42469"/>
    <w:rsid w:val="00C4275A"/>
    <w:rsid w:val="00C428A4"/>
    <w:rsid w:val="00C429D8"/>
    <w:rsid w:val="00C42E38"/>
    <w:rsid w:val="00C42EC5"/>
    <w:rsid w:val="00C42F0E"/>
    <w:rsid w:val="00C42F4B"/>
    <w:rsid w:val="00C42F54"/>
    <w:rsid w:val="00C42F61"/>
    <w:rsid w:val="00C4363E"/>
    <w:rsid w:val="00C436A2"/>
    <w:rsid w:val="00C43746"/>
    <w:rsid w:val="00C437E5"/>
    <w:rsid w:val="00C43BE9"/>
    <w:rsid w:val="00C43D62"/>
    <w:rsid w:val="00C44148"/>
    <w:rsid w:val="00C441B9"/>
    <w:rsid w:val="00C44263"/>
    <w:rsid w:val="00C443C3"/>
    <w:rsid w:val="00C443F2"/>
    <w:rsid w:val="00C446C0"/>
    <w:rsid w:val="00C449B1"/>
    <w:rsid w:val="00C44A96"/>
    <w:rsid w:val="00C45023"/>
    <w:rsid w:val="00C457ED"/>
    <w:rsid w:val="00C459B2"/>
    <w:rsid w:val="00C45BB5"/>
    <w:rsid w:val="00C45BEA"/>
    <w:rsid w:val="00C45C7D"/>
    <w:rsid w:val="00C45DFB"/>
    <w:rsid w:val="00C45FCF"/>
    <w:rsid w:val="00C46201"/>
    <w:rsid w:val="00C46A14"/>
    <w:rsid w:val="00C46E84"/>
    <w:rsid w:val="00C46ED5"/>
    <w:rsid w:val="00C46F96"/>
    <w:rsid w:val="00C4708D"/>
    <w:rsid w:val="00C4727E"/>
    <w:rsid w:val="00C473C4"/>
    <w:rsid w:val="00C47407"/>
    <w:rsid w:val="00C47453"/>
    <w:rsid w:val="00C47651"/>
    <w:rsid w:val="00C4768D"/>
    <w:rsid w:val="00C4770C"/>
    <w:rsid w:val="00C478B5"/>
    <w:rsid w:val="00C47A7A"/>
    <w:rsid w:val="00C47C74"/>
    <w:rsid w:val="00C47CC7"/>
    <w:rsid w:val="00C47D8D"/>
    <w:rsid w:val="00C5002B"/>
    <w:rsid w:val="00C50331"/>
    <w:rsid w:val="00C503F8"/>
    <w:rsid w:val="00C50AEE"/>
    <w:rsid w:val="00C50B52"/>
    <w:rsid w:val="00C50D7F"/>
    <w:rsid w:val="00C50DCE"/>
    <w:rsid w:val="00C510F6"/>
    <w:rsid w:val="00C51114"/>
    <w:rsid w:val="00C518A0"/>
    <w:rsid w:val="00C518AF"/>
    <w:rsid w:val="00C51901"/>
    <w:rsid w:val="00C51AD9"/>
    <w:rsid w:val="00C51BA1"/>
    <w:rsid w:val="00C51C11"/>
    <w:rsid w:val="00C51CF5"/>
    <w:rsid w:val="00C51E73"/>
    <w:rsid w:val="00C51F02"/>
    <w:rsid w:val="00C5208D"/>
    <w:rsid w:val="00C5217E"/>
    <w:rsid w:val="00C52266"/>
    <w:rsid w:val="00C5233A"/>
    <w:rsid w:val="00C5242C"/>
    <w:rsid w:val="00C524D2"/>
    <w:rsid w:val="00C527CF"/>
    <w:rsid w:val="00C530CF"/>
    <w:rsid w:val="00C535DC"/>
    <w:rsid w:val="00C5372F"/>
    <w:rsid w:val="00C5394B"/>
    <w:rsid w:val="00C53AD1"/>
    <w:rsid w:val="00C53D09"/>
    <w:rsid w:val="00C53F80"/>
    <w:rsid w:val="00C5403A"/>
    <w:rsid w:val="00C54080"/>
    <w:rsid w:val="00C541E9"/>
    <w:rsid w:val="00C542A6"/>
    <w:rsid w:val="00C54309"/>
    <w:rsid w:val="00C54501"/>
    <w:rsid w:val="00C545DE"/>
    <w:rsid w:val="00C54678"/>
    <w:rsid w:val="00C54685"/>
    <w:rsid w:val="00C546D3"/>
    <w:rsid w:val="00C54809"/>
    <w:rsid w:val="00C549C6"/>
    <w:rsid w:val="00C549D8"/>
    <w:rsid w:val="00C54EBA"/>
    <w:rsid w:val="00C5524D"/>
    <w:rsid w:val="00C5551D"/>
    <w:rsid w:val="00C55658"/>
    <w:rsid w:val="00C5572C"/>
    <w:rsid w:val="00C558D3"/>
    <w:rsid w:val="00C55A72"/>
    <w:rsid w:val="00C55CDC"/>
    <w:rsid w:val="00C56501"/>
    <w:rsid w:val="00C5651E"/>
    <w:rsid w:val="00C56C6A"/>
    <w:rsid w:val="00C56F0A"/>
    <w:rsid w:val="00C5709A"/>
    <w:rsid w:val="00C574E9"/>
    <w:rsid w:val="00C575AF"/>
    <w:rsid w:val="00C575C4"/>
    <w:rsid w:val="00C577F9"/>
    <w:rsid w:val="00C57B47"/>
    <w:rsid w:val="00C57B98"/>
    <w:rsid w:val="00C6018C"/>
    <w:rsid w:val="00C601A9"/>
    <w:rsid w:val="00C60B07"/>
    <w:rsid w:val="00C60E7D"/>
    <w:rsid w:val="00C6110C"/>
    <w:rsid w:val="00C61123"/>
    <w:rsid w:val="00C61197"/>
    <w:rsid w:val="00C6119F"/>
    <w:rsid w:val="00C6149A"/>
    <w:rsid w:val="00C614F8"/>
    <w:rsid w:val="00C61669"/>
    <w:rsid w:val="00C61739"/>
    <w:rsid w:val="00C61A89"/>
    <w:rsid w:val="00C61B2C"/>
    <w:rsid w:val="00C61B91"/>
    <w:rsid w:val="00C62041"/>
    <w:rsid w:val="00C62149"/>
    <w:rsid w:val="00C621F6"/>
    <w:rsid w:val="00C621F9"/>
    <w:rsid w:val="00C6226D"/>
    <w:rsid w:val="00C6228C"/>
    <w:rsid w:val="00C622F4"/>
    <w:rsid w:val="00C62356"/>
    <w:rsid w:val="00C62543"/>
    <w:rsid w:val="00C6272B"/>
    <w:rsid w:val="00C62779"/>
    <w:rsid w:val="00C628A4"/>
    <w:rsid w:val="00C629DE"/>
    <w:rsid w:val="00C62B79"/>
    <w:rsid w:val="00C62D3D"/>
    <w:rsid w:val="00C62EBE"/>
    <w:rsid w:val="00C63347"/>
    <w:rsid w:val="00C636BD"/>
    <w:rsid w:val="00C636C4"/>
    <w:rsid w:val="00C63722"/>
    <w:rsid w:val="00C638D7"/>
    <w:rsid w:val="00C63A5D"/>
    <w:rsid w:val="00C63AC2"/>
    <w:rsid w:val="00C63ADB"/>
    <w:rsid w:val="00C63C86"/>
    <w:rsid w:val="00C63EFA"/>
    <w:rsid w:val="00C63F49"/>
    <w:rsid w:val="00C63FC0"/>
    <w:rsid w:val="00C6459D"/>
    <w:rsid w:val="00C646D4"/>
    <w:rsid w:val="00C64B8E"/>
    <w:rsid w:val="00C64C09"/>
    <w:rsid w:val="00C64C1D"/>
    <w:rsid w:val="00C64FAB"/>
    <w:rsid w:val="00C65183"/>
    <w:rsid w:val="00C658C9"/>
    <w:rsid w:val="00C65A34"/>
    <w:rsid w:val="00C65A90"/>
    <w:rsid w:val="00C65B2E"/>
    <w:rsid w:val="00C65C11"/>
    <w:rsid w:val="00C65C88"/>
    <w:rsid w:val="00C6614F"/>
    <w:rsid w:val="00C661FC"/>
    <w:rsid w:val="00C66272"/>
    <w:rsid w:val="00C664A2"/>
    <w:rsid w:val="00C665C0"/>
    <w:rsid w:val="00C6660D"/>
    <w:rsid w:val="00C6665B"/>
    <w:rsid w:val="00C66783"/>
    <w:rsid w:val="00C668C5"/>
    <w:rsid w:val="00C66B3B"/>
    <w:rsid w:val="00C66D66"/>
    <w:rsid w:val="00C66DB0"/>
    <w:rsid w:val="00C67073"/>
    <w:rsid w:val="00C674C4"/>
    <w:rsid w:val="00C678FD"/>
    <w:rsid w:val="00C67CE9"/>
    <w:rsid w:val="00C67F8B"/>
    <w:rsid w:val="00C70006"/>
    <w:rsid w:val="00C700C7"/>
    <w:rsid w:val="00C70181"/>
    <w:rsid w:val="00C7032A"/>
    <w:rsid w:val="00C705FD"/>
    <w:rsid w:val="00C70820"/>
    <w:rsid w:val="00C70AE0"/>
    <w:rsid w:val="00C70B1D"/>
    <w:rsid w:val="00C70B89"/>
    <w:rsid w:val="00C70C0E"/>
    <w:rsid w:val="00C70DDA"/>
    <w:rsid w:val="00C70E13"/>
    <w:rsid w:val="00C70EFD"/>
    <w:rsid w:val="00C71063"/>
    <w:rsid w:val="00C71220"/>
    <w:rsid w:val="00C7140E"/>
    <w:rsid w:val="00C714E0"/>
    <w:rsid w:val="00C71697"/>
    <w:rsid w:val="00C71872"/>
    <w:rsid w:val="00C718E7"/>
    <w:rsid w:val="00C71EBD"/>
    <w:rsid w:val="00C724F5"/>
    <w:rsid w:val="00C728CF"/>
    <w:rsid w:val="00C73046"/>
    <w:rsid w:val="00C7389B"/>
    <w:rsid w:val="00C738F1"/>
    <w:rsid w:val="00C73F06"/>
    <w:rsid w:val="00C7453E"/>
    <w:rsid w:val="00C74747"/>
    <w:rsid w:val="00C747EB"/>
    <w:rsid w:val="00C74A2D"/>
    <w:rsid w:val="00C74A81"/>
    <w:rsid w:val="00C74AF0"/>
    <w:rsid w:val="00C74B88"/>
    <w:rsid w:val="00C74E24"/>
    <w:rsid w:val="00C74F5E"/>
    <w:rsid w:val="00C755D9"/>
    <w:rsid w:val="00C7562A"/>
    <w:rsid w:val="00C759A9"/>
    <w:rsid w:val="00C75AA1"/>
    <w:rsid w:val="00C75AF6"/>
    <w:rsid w:val="00C75D37"/>
    <w:rsid w:val="00C76111"/>
    <w:rsid w:val="00C7611D"/>
    <w:rsid w:val="00C7641E"/>
    <w:rsid w:val="00C76525"/>
    <w:rsid w:val="00C76857"/>
    <w:rsid w:val="00C76B1F"/>
    <w:rsid w:val="00C76C3A"/>
    <w:rsid w:val="00C76CB9"/>
    <w:rsid w:val="00C76EF8"/>
    <w:rsid w:val="00C76F05"/>
    <w:rsid w:val="00C76FAC"/>
    <w:rsid w:val="00C7711A"/>
    <w:rsid w:val="00C772BE"/>
    <w:rsid w:val="00C777C8"/>
    <w:rsid w:val="00C779AE"/>
    <w:rsid w:val="00C77C25"/>
    <w:rsid w:val="00C77E64"/>
    <w:rsid w:val="00C77F5C"/>
    <w:rsid w:val="00C80200"/>
    <w:rsid w:val="00C80322"/>
    <w:rsid w:val="00C803DB"/>
    <w:rsid w:val="00C80526"/>
    <w:rsid w:val="00C8059A"/>
    <w:rsid w:val="00C806B9"/>
    <w:rsid w:val="00C80720"/>
    <w:rsid w:val="00C80967"/>
    <w:rsid w:val="00C809E3"/>
    <w:rsid w:val="00C80D4C"/>
    <w:rsid w:val="00C811B2"/>
    <w:rsid w:val="00C8144A"/>
    <w:rsid w:val="00C8160F"/>
    <w:rsid w:val="00C8165D"/>
    <w:rsid w:val="00C81715"/>
    <w:rsid w:val="00C81A66"/>
    <w:rsid w:val="00C81BD1"/>
    <w:rsid w:val="00C81C99"/>
    <w:rsid w:val="00C81F09"/>
    <w:rsid w:val="00C82080"/>
    <w:rsid w:val="00C820A6"/>
    <w:rsid w:val="00C820C3"/>
    <w:rsid w:val="00C825A4"/>
    <w:rsid w:val="00C828DC"/>
    <w:rsid w:val="00C82964"/>
    <w:rsid w:val="00C82A47"/>
    <w:rsid w:val="00C82CDB"/>
    <w:rsid w:val="00C8325B"/>
    <w:rsid w:val="00C835A1"/>
    <w:rsid w:val="00C8362B"/>
    <w:rsid w:val="00C83864"/>
    <w:rsid w:val="00C83B1D"/>
    <w:rsid w:val="00C83CF1"/>
    <w:rsid w:val="00C83D55"/>
    <w:rsid w:val="00C83FE8"/>
    <w:rsid w:val="00C840CD"/>
    <w:rsid w:val="00C84184"/>
    <w:rsid w:val="00C84354"/>
    <w:rsid w:val="00C8439E"/>
    <w:rsid w:val="00C8470B"/>
    <w:rsid w:val="00C848D4"/>
    <w:rsid w:val="00C84A81"/>
    <w:rsid w:val="00C85030"/>
    <w:rsid w:val="00C8512D"/>
    <w:rsid w:val="00C853B1"/>
    <w:rsid w:val="00C853E5"/>
    <w:rsid w:val="00C854F5"/>
    <w:rsid w:val="00C85697"/>
    <w:rsid w:val="00C856D5"/>
    <w:rsid w:val="00C858AE"/>
    <w:rsid w:val="00C85985"/>
    <w:rsid w:val="00C85A42"/>
    <w:rsid w:val="00C85C12"/>
    <w:rsid w:val="00C85C6F"/>
    <w:rsid w:val="00C85CBB"/>
    <w:rsid w:val="00C85DEC"/>
    <w:rsid w:val="00C85F21"/>
    <w:rsid w:val="00C85FD6"/>
    <w:rsid w:val="00C86078"/>
    <w:rsid w:val="00C861CF"/>
    <w:rsid w:val="00C862CF"/>
    <w:rsid w:val="00C8666E"/>
    <w:rsid w:val="00C867F5"/>
    <w:rsid w:val="00C86C73"/>
    <w:rsid w:val="00C86F1A"/>
    <w:rsid w:val="00C86F31"/>
    <w:rsid w:val="00C87107"/>
    <w:rsid w:val="00C8715B"/>
    <w:rsid w:val="00C87264"/>
    <w:rsid w:val="00C87335"/>
    <w:rsid w:val="00C87694"/>
    <w:rsid w:val="00C876E5"/>
    <w:rsid w:val="00C878FF"/>
    <w:rsid w:val="00C87A30"/>
    <w:rsid w:val="00C87A3D"/>
    <w:rsid w:val="00C87B47"/>
    <w:rsid w:val="00C87DE2"/>
    <w:rsid w:val="00C9016B"/>
    <w:rsid w:val="00C901F8"/>
    <w:rsid w:val="00C9078C"/>
    <w:rsid w:val="00C909BC"/>
    <w:rsid w:val="00C90BD4"/>
    <w:rsid w:val="00C90D71"/>
    <w:rsid w:val="00C91239"/>
    <w:rsid w:val="00C912ED"/>
    <w:rsid w:val="00C91405"/>
    <w:rsid w:val="00C91806"/>
    <w:rsid w:val="00C9196F"/>
    <w:rsid w:val="00C91D9F"/>
    <w:rsid w:val="00C9206F"/>
    <w:rsid w:val="00C9227D"/>
    <w:rsid w:val="00C924A5"/>
    <w:rsid w:val="00C92587"/>
    <w:rsid w:val="00C92D20"/>
    <w:rsid w:val="00C92E12"/>
    <w:rsid w:val="00C93215"/>
    <w:rsid w:val="00C93270"/>
    <w:rsid w:val="00C93510"/>
    <w:rsid w:val="00C938D1"/>
    <w:rsid w:val="00C93996"/>
    <w:rsid w:val="00C93A6E"/>
    <w:rsid w:val="00C94226"/>
    <w:rsid w:val="00C9446C"/>
    <w:rsid w:val="00C9487C"/>
    <w:rsid w:val="00C94B00"/>
    <w:rsid w:val="00C94B49"/>
    <w:rsid w:val="00C94DBB"/>
    <w:rsid w:val="00C94DF1"/>
    <w:rsid w:val="00C94EB6"/>
    <w:rsid w:val="00C94F06"/>
    <w:rsid w:val="00C95467"/>
    <w:rsid w:val="00C9549C"/>
    <w:rsid w:val="00C95771"/>
    <w:rsid w:val="00C95AFC"/>
    <w:rsid w:val="00C95B80"/>
    <w:rsid w:val="00C95EAD"/>
    <w:rsid w:val="00C95F25"/>
    <w:rsid w:val="00C95FBA"/>
    <w:rsid w:val="00C96370"/>
    <w:rsid w:val="00C965A2"/>
    <w:rsid w:val="00C96720"/>
    <w:rsid w:val="00C97002"/>
    <w:rsid w:val="00C97077"/>
    <w:rsid w:val="00C97237"/>
    <w:rsid w:val="00C97290"/>
    <w:rsid w:val="00C973BA"/>
    <w:rsid w:val="00C975F5"/>
    <w:rsid w:val="00C97608"/>
    <w:rsid w:val="00C9787D"/>
    <w:rsid w:val="00C97910"/>
    <w:rsid w:val="00C97925"/>
    <w:rsid w:val="00C9792F"/>
    <w:rsid w:val="00C97B30"/>
    <w:rsid w:val="00C97D97"/>
    <w:rsid w:val="00C97EF2"/>
    <w:rsid w:val="00CA0296"/>
    <w:rsid w:val="00CA0377"/>
    <w:rsid w:val="00CA03B3"/>
    <w:rsid w:val="00CA06EC"/>
    <w:rsid w:val="00CA08A0"/>
    <w:rsid w:val="00CA091B"/>
    <w:rsid w:val="00CA0989"/>
    <w:rsid w:val="00CA0E2C"/>
    <w:rsid w:val="00CA0E4C"/>
    <w:rsid w:val="00CA1373"/>
    <w:rsid w:val="00CA142A"/>
    <w:rsid w:val="00CA16C6"/>
    <w:rsid w:val="00CA1B20"/>
    <w:rsid w:val="00CA1DB0"/>
    <w:rsid w:val="00CA1DDD"/>
    <w:rsid w:val="00CA20EE"/>
    <w:rsid w:val="00CA2101"/>
    <w:rsid w:val="00CA2226"/>
    <w:rsid w:val="00CA22AC"/>
    <w:rsid w:val="00CA27ED"/>
    <w:rsid w:val="00CA2901"/>
    <w:rsid w:val="00CA29EE"/>
    <w:rsid w:val="00CA2E90"/>
    <w:rsid w:val="00CA3238"/>
    <w:rsid w:val="00CA331A"/>
    <w:rsid w:val="00CA3388"/>
    <w:rsid w:val="00CA33C1"/>
    <w:rsid w:val="00CA38B1"/>
    <w:rsid w:val="00CA39C7"/>
    <w:rsid w:val="00CA3A2B"/>
    <w:rsid w:val="00CA3A66"/>
    <w:rsid w:val="00CA3BE0"/>
    <w:rsid w:val="00CA3C05"/>
    <w:rsid w:val="00CA3D98"/>
    <w:rsid w:val="00CA4127"/>
    <w:rsid w:val="00CA4264"/>
    <w:rsid w:val="00CA49D3"/>
    <w:rsid w:val="00CA4A90"/>
    <w:rsid w:val="00CA4DBE"/>
    <w:rsid w:val="00CA4EAB"/>
    <w:rsid w:val="00CA4EB6"/>
    <w:rsid w:val="00CA5037"/>
    <w:rsid w:val="00CA5043"/>
    <w:rsid w:val="00CA505F"/>
    <w:rsid w:val="00CA512C"/>
    <w:rsid w:val="00CA514D"/>
    <w:rsid w:val="00CA51AB"/>
    <w:rsid w:val="00CA524C"/>
    <w:rsid w:val="00CA528E"/>
    <w:rsid w:val="00CA53F7"/>
    <w:rsid w:val="00CA54D0"/>
    <w:rsid w:val="00CA54F7"/>
    <w:rsid w:val="00CA5543"/>
    <w:rsid w:val="00CA59AD"/>
    <w:rsid w:val="00CA5BE4"/>
    <w:rsid w:val="00CA5C24"/>
    <w:rsid w:val="00CA5E8B"/>
    <w:rsid w:val="00CA6114"/>
    <w:rsid w:val="00CA6497"/>
    <w:rsid w:val="00CA66AB"/>
    <w:rsid w:val="00CA670F"/>
    <w:rsid w:val="00CA6A83"/>
    <w:rsid w:val="00CA70EA"/>
    <w:rsid w:val="00CA7269"/>
    <w:rsid w:val="00CA738B"/>
    <w:rsid w:val="00CA7419"/>
    <w:rsid w:val="00CA7B0C"/>
    <w:rsid w:val="00CA7CA3"/>
    <w:rsid w:val="00CB00A2"/>
    <w:rsid w:val="00CB03CA"/>
    <w:rsid w:val="00CB0464"/>
    <w:rsid w:val="00CB0962"/>
    <w:rsid w:val="00CB0C5A"/>
    <w:rsid w:val="00CB0D6B"/>
    <w:rsid w:val="00CB0EF4"/>
    <w:rsid w:val="00CB10AD"/>
    <w:rsid w:val="00CB14E0"/>
    <w:rsid w:val="00CB155D"/>
    <w:rsid w:val="00CB24D3"/>
    <w:rsid w:val="00CB26DB"/>
    <w:rsid w:val="00CB27B1"/>
    <w:rsid w:val="00CB2E61"/>
    <w:rsid w:val="00CB2F1C"/>
    <w:rsid w:val="00CB306B"/>
    <w:rsid w:val="00CB3259"/>
    <w:rsid w:val="00CB34AF"/>
    <w:rsid w:val="00CB34BD"/>
    <w:rsid w:val="00CB3583"/>
    <w:rsid w:val="00CB38AB"/>
    <w:rsid w:val="00CB38FB"/>
    <w:rsid w:val="00CB398A"/>
    <w:rsid w:val="00CB3A36"/>
    <w:rsid w:val="00CB3C67"/>
    <w:rsid w:val="00CB3E2E"/>
    <w:rsid w:val="00CB3EF7"/>
    <w:rsid w:val="00CB409F"/>
    <w:rsid w:val="00CB42DA"/>
    <w:rsid w:val="00CB4519"/>
    <w:rsid w:val="00CB4544"/>
    <w:rsid w:val="00CB45CB"/>
    <w:rsid w:val="00CB4657"/>
    <w:rsid w:val="00CB47DA"/>
    <w:rsid w:val="00CB494C"/>
    <w:rsid w:val="00CB4B4C"/>
    <w:rsid w:val="00CB4BBD"/>
    <w:rsid w:val="00CB5094"/>
    <w:rsid w:val="00CB519E"/>
    <w:rsid w:val="00CB524D"/>
    <w:rsid w:val="00CB5542"/>
    <w:rsid w:val="00CB56EA"/>
    <w:rsid w:val="00CB577D"/>
    <w:rsid w:val="00CB5834"/>
    <w:rsid w:val="00CB5C2E"/>
    <w:rsid w:val="00CB5CD1"/>
    <w:rsid w:val="00CB5D1B"/>
    <w:rsid w:val="00CB6796"/>
    <w:rsid w:val="00CB68BB"/>
    <w:rsid w:val="00CB69A6"/>
    <w:rsid w:val="00CB6A81"/>
    <w:rsid w:val="00CB6F4F"/>
    <w:rsid w:val="00CB713C"/>
    <w:rsid w:val="00CB7604"/>
    <w:rsid w:val="00CB7828"/>
    <w:rsid w:val="00CB7B23"/>
    <w:rsid w:val="00CB7C19"/>
    <w:rsid w:val="00CB7CC2"/>
    <w:rsid w:val="00CB7FB6"/>
    <w:rsid w:val="00CC0043"/>
    <w:rsid w:val="00CC0099"/>
    <w:rsid w:val="00CC015E"/>
    <w:rsid w:val="00CC01ED"/>
    <w:rsid w:val="00CC0355"/>
    <w:rsid w:val="00CC03B8"/>
    <w:rsid w:val="00CC047E"/>
    <w:rsid w:val="00CC071B"/>
    <w:rsid w:val="00CC0F31"/>
    <w:rsid w:val="00CC1098"/>
    <w:rsid w:val="00CC125F"/>
    <w:rsid w:val="00CC14AC"/>
    <w:rsid w:val="00CC15AE"/>
    <w:rsid w:val="00CC1852"/>
    <w:rsid w:val="00CC1976"/>
    <w:rsid w:val="00CC1A97"/>
    <w:rsid w:val="00CC1CE6"/>
    <w:rsid w:val="00CC1D3E"/>
    <w:rsid w:val="00CC1E32"/>
    <w:rsid w:val="00CC1F9C"/>
    <w:rsid w:val="00CC2258"/>
    <w:rsid w:val="00CC2591"/>
    <w:rsid w:val="00CC26DD"/>
    <w:rsid w:val="00CC282D"/>
    <w:rsid w:val="00CC2875"/>
    <w:rsid w:val="00CC2931"/>
    <w:rsid w:val="00CC2B6B"/>
    <w:rsid w:val="00CC2BFA"/>
    <w:rsid w:val="00CC2C59"/>
    <w:rsid w:val="00CC2E5D"/>
    <w:rsid w:val="00CC3053"/>
    <w:rsid w:val="00CC3206"/>
    <w:rsid w:val="00CC32A7"/>
    <w:rsid w:val="00CC3AA5"/>
    <w:rsid w:val="00CC3AD1"/>
    <w:rsid w:val="00CC3B26"/>
    <w:rsid w:val="00CC3B71"/>
    <w:rsid w:val="00CC3C40"/>
    <w:rsid w:val="00CC3D58"/>
    <w:rsid w:val="00CC3D80"/>
    <w:rsid w:val="00CC3FF8"/>
    <w:rsid w:val="00CC40CC"/>
    <w:rsid w:val="00CC41C2"/>
    <w:rsid w:val="00CC424F"/>
    <w:rsid w:val="00CC42B3"/>
    <w:rsid w:val="00CC432D"/>
    <w:rsid w:val="00CC444F"/>
    <w:rsid w:val="00CC44ED"/>
    <w:rsid w:val="00CC4899"/>
    <w:rsid w:val="00CC4908"/>
    <w:rsid w:val="00CC4AA1"/>
    <w:rsid w:val="00CC4AC2"/>
    <w:rsid w:val="00CC4AE4"/>
    <w:rsid w:val="00CC516E"/>
    <w:rsid w:val="00CC5429"/>
    <w:rsid w:val="00CC5501"/>
    <w:rsid w:val="00CC568E"/>
    <w:rsid w:val="00CC5768"/>
    <w:rsid w:val="00CC5FC4"/>
    <w:rsid w:val="00CC60E0"/>
    <w:rsid w:val="00CC63C5"/>
    <w:rsid w:val="00CC641F"/>
    <w:rsid w:val="00CC6484"/>
    <w:rsid w:val="00CC6510"/>
    <w:rsid w:val="00CC6532"/>
    <w:rsid w:val="00CC6B26"/>
    <w:rsid w:val="00CC6EB1"/>
    <w:rsid w:val="00CC6F30"/>
    <w:rsid w:val="00CC6F4F"/>
    <w:rsid w:val="00CC72E0"/>
    <w:rsid w:val="00CC76E5"/>
    <w:rsid w:val="00CC77AE"/>
    <w:rsid w:val="00CC78E0"/>
    <w:rsid w:val="00CC7ABB"/>
    <w:rsid w:val="00CC7AE5"/>
    <w:rsid w:val="00CC7AEA"/>
    <w:rsid w:val="00CC7BB6"/>
    <w:rsid w:val="00CC7CF9"/>
    <w:rsid w:val="00CD0029"/>
    <w:rsid w:val="00CD05A0"/>
    <w:rsid w:val="00CD0724"/>
    <w:rsid w:val="00CD0DC3"/>
    <w:rsid w:val="00CD0ED6"/>
    <w:rsid w:val="00CD0FC3"/>
    <w:rsid w:val="00CD121C"/>
    <w:rsid w:val="00CD125A"/>
    <w:rsid w:val="00CD1454"/>
    <w:rsid w:val="00CD1552"/>
    <w:rsid w:val="00CD15B4"/>
    <w:rsid w:val="00CD1E3F"/>
    <w:rsid w:val="00CD21A9"/>
    <w:rsid w:val="00CD21FF"/>
    <w:rsid w:val="00CD222D"/>
    <w:rsid w:val="00CD224F"/>
    <w:rsid w:val="00CD2488"/>
    <w:rsid w:val="00CD2559"/>
    <w:rsid w:val="00CD2598"/>
    <w:rsid w:val="00CD25FE"/>
    <w:rsid w:val="00CD261B"/>
    <w:rsid w:val="00CD277D"/>
    <w:rsid w:val="00CD29D0"/>
    <w:rsid w:val="00CD2E04"/>
    <w:rsid w:val="00CD2F18"/>
    <w:rsid w:val="00CD2F20"/>
    <w:rsid w:val="00CD2FF6"/>
    <w:rsid w:val="00CD3283"/>
    <w:rsid w:val="00CD32C3"/>
    <w:rsid w:val="00CD32DE"/>
    <w:rsid w:val="00CD339F"/>
    <w:rsid w:val="00CD33B2"/>
    <w:rsid w:val="00CD3C1F"/>
    <w:rsid w:val="00CD3CD7"/>
    <w:rsid w:val="00CD3FD7"/>
    <w:rsid w:val="00CD407C"/>
    <w:rsid w:val="00CD40C6"/>
    <w:rsid w:val="00CD40E9"/>
    <w:rsid w:val="00CD45CD"/>
    <w:rsid w:val="00CD46AA"/>
    <w:rsid w:val="00CD46E2"/>
    <w:rsid w:val="00CD49E4"/>
    <w:rsid w:val="00CD4C8B"/>
    <w:rsid w:val="00CD4D2B"/>
    <w:rsid w:val="00CD55C5"/>
    <w:rsid w:val="00CD56DA"/>
    <w:rsid w:val="00CD5727"/>
    <w:rsid w:val="00CD5D67"/>
    <w:rsid w:val="00CD5E16"/>
    <w:rsid w:val="00CD5F8E"/>
    <w:rsid w:val="00CD6093"/>
    <w:rsid w:val="00CD61EA"/>
    <w:rsid w:val="00CD61F8"/>
    <w:rsid w:val="00CD6251"/>
    <w:rsid w:val="00CD6337"/>
    <w:rsid w:val="00CD647C"/>
    <w:rsid w:val="00CD6674"/>
    <w:rsid w:val="00CD67D3"/>
    <w:rsid w:val="00CD6869"/>
    <w:rsid w:val="00CD6C76"/>
    <w:rsid w:val="00CD6CBD"/>
    <w:rsid w:val="00CD6F22"/>
    <w:rsid w:val="00CD7564"/>
    <w:rsid w:val="00CD769C"/>
    <w:rsid w:val="00CD77B7"/>
    <w:rsid w:val="00CD7DAB"/>
    <w:rsid w:val="00CD7E75"/>
    <w:rsid w:val="00CD7FB0"/>
    <w:rsid w:val="00CE00E5"/>
    <w:rsid w:val="00CE0211"/>
    <w:rsid w:val="00CE04BD"/>
    <w:rsid w:val="00CE0990"/>
    <w:rsid w:val="00CE0CF3"/>
    <w:rsid w:val="00CE149D"/>
    <w:rsid w:val="00CE1DB7"/>
    <w:rsid w:val="00CE1EF8"/>
    <w:rsid w:val="00CE1F7B"/>
    <w:rsid w:val="00CE2021"/>
    <w:rsid w:val="00CE2378"/>
    <w:rsid w:val="00CE2437"/>
    <w:rsid w:val="00CE2497"/>
    <w:rsid w:val="00CE2859"/>
    <w:rsid w:val="00CE294B"/>
    <w:rsid w:val="00CE2AD3"/>
    <w:rsid w:val="00CE2C55"/>
    <w:rsid w:val="00CE2C84"/>
    <w:rsid w:val="00CE2D55"/>
    <w:rsid w:val="00CE30D7"/>
    <w:rsid w:val="00CE33AF"/>
    <w:rsid w:val="00CE34E2"/>
    <w:rsid w:val="00CE3590"/>
    <w:rsid w:val="00CE35BC"/>
    <w:rsid w:val="00CE35E5"/>
    <w:rsid w:val="00CE36A8"/>
    <w:rsid w:val="00CE3A5B"/>
    <w:rsid w:val="00CE3ACD"/>
    <w:rsid w:val="00CE3ADA"/>
    <w:rsid w:val="00CE3BCC"/>
    <w:rsid w:val="00CE3BE3"/>
    <w:rsid w:val="00CE3C27"/>
    <w:rsid w:val="00CE4003"/>
    <w:rsid w:val="00CE4083"/>
    <w:rsid w:val="00CE4101"/>
    <w:rsid w:val="00CE42A8"/>
    <w:rsid w:val="00CE4401"/>
    <w:rsid w:val="00CE450E"/>
    <w:rsid w:val="00CE45AD"/>
    <w:rsid w:val="00CE4728"/>
    <w:rsid w:val="00CE4781"/>
    <w:rsid w:val="00CE4AAB"/>
    <w:rsid w:val="00CE4BB0"/>
    <w:rsid w:val="00CE4BD1"/>
    <w:rsid w:val="00CE4BD4"/>
    <w:rsid w:val="00CE4EC5"/>
    <w:rsid w:val="00CE52FD"/>
    <w:rsid w:val="00CE5441"/>
    <w:rsid w:val="00CE5497"/>
    <w:rsid w:val="00CE5625"/>
    <w:rsid w:val="00CE5778"/>
    <w:rsid w:val="00CE577E"/>
    <w:rsid w:val="00CE5958"/>
    <w:rsid w:val="00CE5AFE"/>
    <w:rsid w:val="00CE5D19"/>
    <w:rsid w:val="00CE5E14"/>
    <w:rsid w:val="00CE61E2"/>
    <w:rsid w:val="00CE6232"/>
    <w:rsid w:val="00CE62FF"/>
    <w:rsid w:val="00CE6324"/>
    <w:rsid w:val="00CE6645"/>
    <w:rsid w:val="00CE6AE3"/>
    <w:rsid w:val="00CE6F2D"/>
    <w:rsid w:val="00CE7146"/>
    <w:rsid w:val="00CE73AE"/>
    <w:rsid w:val="00CE75C0"/>
    <w:rsid w:val="00CE7747"/>
    <w:rsid w:val="00CE794C"/>
    <w:rsid w:val="00CE7F8B"/>
    <w:rsid w:val="00CF0148"/>
    <w:rsid w:val="00CF0685"/>
    <w:rsid w:val="00CF0A3C"/>
    <w:rsid w:val="00CF0D57"/>
    <w:rsid w:val="00CF143D"/>
    <w:rsid w:val="00CF14ED"/>
    <w:rsid w:val="00CF1ADF"/>
    <w:rsid w:val="00CF1B02"/>
    <w:rsid w:val="00CF1BC4"/>
    <w:rsid w:val="00CF1DD9"/>
    <w:rsid w:val="00CF1EC1"/>
    <w:rsid w:val="00CF1FAA"/>
    <w:rsid w:val="00CF2156"/>
    <w:rsid w:val="00CF21C6"/>
    <w:rsid w:val="00CF21EB"/>
    <w:rsid w:val="00CF2532"/>
    <w:rsid w:val="00CF2922"/>
    <w:rsid w:val="00CF2A3D"/>
    <w:rsid w:val="00CF2BC6"/>
    <w:rsid w:val="00CF2C4D"/>
    <w:rsid w:val="00CF2D93"/>
    <w:rsid w:val="00CF30A5"/>
    <w:rsid w:val="00CF3265"/>
    <w:rsid w:val="00CF3413"/>
    <w:rsid w:val="00CF35AA"/>
    <w:rsid w:val="00CF365C"/>
    <w:rsid w:val="00CF3798"/>
    <w:rsid w:val="00CF39A6"/>
    <w:rsid w:val="00CF3B99"/>
    <w:rsid w:val="00CF3C01"/>
    <w:rsid w:val="00CF3ECA"/>
    <w:rsid w:val="00CF3EFF"/>
    <w:rsid w:val="00CF4350"/>
    <w:rsid w:val="00CF45DC"/>
    <w:rsid w:val="00CF46EE"/>
    <w:rsid w:val="00CF48F9"/>
    <w:rsid w:val="00CF4D4B"/>
    <w:rsid w:val="00CF4DE7"/>
    <w:rsid w:val="00CF507F"/>
    <w:rsid w:val="00CF521B"/>
    <w:rsid w:val="00CF5322"/>
    <w:rsid w:val="00CF564E"/>
    <w:rsid w:val="00CF56D6"/>
    <w:rsid w:val="00CF589F"/>
    <w:rsid w:val="00CF59AA"/>
    <w:rsid w:val="00CF5A6F"/>
    <w:rsid w:val="00CF5AF0"/>
    <w:rsid w:val="00CF5B42"/>
    <w:rsid w:val="00CF5C3C"/>
    <w:rsid w:val="00CF5C98"/>
    <w:rsid w:val="00CF60CD"/>
    <w:rsid w:val="00CF6105"/>
    <w:rsid w:val="00CF6179"/>
    <w:rsid w:val="00CF621A"/>
    <w:rsid w:val="00CF628A"/>
    <w:rsid w:val="00CF628D"/>
    <w:rsid w:val="00CF640F"/>
    <w:rsid w:val="00CF653E"/>
    <w:rsid w:val="00CF6A99"/>
    <w:rsid w:val="00CF6AF6"/>
    <w:rsid w:val="00CF7028"/>
    <w:rsid w:val="00CF706E"/>
    <w:rsid w:val="00CF7119"/>
    <w:rsid w:val="00CF782E"/>
    <w:rsid w:val="00CF7859"/>
    <w:rsid w:val="00CF7A1E"/>
    <w:rsid w:val="00CF7C3C"/>
    <w:rsid w:val="00CF7DC7"/>
    <w:rsid w:val="00CF7E10"/>
    <w:rsid w:val="00CF7E57"/>
    <w:rsid w:val="00CF7EC1"/>
    <w:rsid w:val="00CF7ECA"/>
    <w:rsid w:val="00CF7F53"/>
    <w:rsid w:val="00CF7F64"/>
    <w:rsid w:val="00CF7F94"/>
    <w:rsid w:val="00CF7FAF"/>
    <w:rsid w:val="00D00425"/>
    <w:rsid w:val="00D005CF"/>
    <w:rsid w:val="00D00780"/>
    <w:rsid w:val="00D008E9"/>
    <w:rsid w:val="00D009F1"/>
    <w:rsid w:val="00D00EDB"/>
    <w:rsid w:val="00D00EFF"/>
    <w:rsid w:val="00D0117E"/>
    <w:rsid w:val="00D01190"/>
    <w:rsid w:val="00D0123F"/>
    <w:rsid w:val="00D01288"/>
    <w:rsid w:val="00D012FC"/>
    <w:rsid w:val="00D013D5"/>
    <w:rsid w:val="00D0144F"/>
    <w:rsid w:val="00D014F7"/>
    <w:rsid w:val="00D0162B"/>
    <w:rsid w:val="00D01ABC"/>
    <w:rsid w:val="00D01CD0"/>
    <w:rsid w:val="00D01D66"/>
    <w:rsid w:val="00D020F2"/>
    <w:rsid w:val="00D02465"/>
    <w:rsid w:val="00D0247A"/>
    <w:rsid w:val="00D0256C"/>
    <w:rsid w:val="00D02CD0"/>
    <w:rsid w:val="00D02DBA"/>
    <w:rsid w:val="00D0315C"/>
    <w:rsid w:val="00D032E4"/>
    <w:rsid w:val="00D034AC"/>
    <w:rsid w:val="00D03508"/>
    <w:rsid w:val="00D037A8"/>
    <w:rsid w:val="00D037D0"/>
    <w:rsid w:val="00D03B51"/>
    <w:rsid w:val="00D03DAB"/>
    <w:rsid w:val="00D04076"/>
    <w:rsid w:val="00D04279"/>
    <w:rsid w:val="00D0433D"/>
    <w:rsid w:val="00D0435A"/>
    <w:rsid w:val="00D0441D"/>
    <w:rsid w:val="00D0446E"/>
    <w:rsid w:val="00D045F4"/>
    <w:rsid w:val="00D04A38"/>
    <w:rsid w:val="00D04AFC"/>
    <w:rsid w:val="00D04FE9"/>
    <w:rsid w:val="00D0504F"/>
    <w:rsid w:val="00D050E6"/>
    <w:rsid w:val="00D05168"/>
    <w:rsid w:val="00D05729"/>
    <w:rsid w:val="00D0573C"/>
    <w:rsid w:val="00D0591A"/>
    <w:rsid w:val="00D05C3A"/>
    <w:rsid w:val="00D05C3C"/>
    <w:rsid w:val="00D05C6E"/>
    <w:rsid w:val="00D05F34"/>
    <w:rsid w:val="00D06126"/>
    <w:rsid w:val="00D067F8"/>
    <w:rsid w:val="00D06A98"/>
    <w:rsid w:val="00D06C7B"/>
    <w:rsid w:val="00D0709A"/>
    <w:rsid w:val="00D073BA"/>
    <w:rsid w:val="00D07451"/>
    <w:rsid w:val="00D07723"/>
    <w:rsid w:val="00D07747"/>
    <w:rsid w:val="00D07B93"/>
    <w:rsid w:val="00D07BC4"/>
    <w:rsid w:val="00D07C49"/>
    <w:rsid w:val="00D07CD7"/>
    <w:rsid w:val="00D07F57"/>
    <w:rsid w:val="00D10242"/>
    <w:rsid w:val="00D1033D"/>
    <w:rsid w:val="00D10708"/>
    <w:rsid w:val="00D10838"/>
    <w:rsid w:val="00D10A59"/>
    <w:rsid w:val="00D10AEC"/>
    <w:rsid w:val="00D10EB1"/>
    <w:rsid w:val="00D11011"/>
    <w:rsid w:val="00D11042"/>
    <w:rsid w:val="00D11053"/>
    <w:rsid w:val="00D11269"/>
    <w:rsid w:val="00D113F3"/>
    <w:rsid w:val="00D11439"/>
    <w:rsid w:val="00D116C8"/>
    <w:rsid w:val="00D1176D"/>
    <w:rsid w:val="00D1181E"/>
    <w:rsid w:val="00D11937"/>
    <w:rsid w:val="00D11E1E"/>
    <w:rsid w:val="00D11F17"/>
    <w:rsid w:val="00D1230E"/>
    <w:rsid w:val="00D12534"/>
    <w:rsid w:val="00D12726"/>
    <w:rsid w:val="00D12759"/>
    <w:rsid w:val="00D12978"/>
    <w:rsid w:val="00D12999"/>
    <w:rsid w:val="00D129AB"/>
    <w:rsid w:val="00D12A0F"/>
    <w:rsid w:val="00D12AB0"/>
    <w:rsid w:val="00D12D88"/>
    <w:rsid w:val="00D134C8"/>
    <w:rsid w:val="00D1358F"/>
    <w:rsid w:val="00D135F6"/>
    <w:rsid w:val="00D13673"/>
    <w:rsid w:val="00D13784"/>
    <w:rsid w:val="00D137C8"/>
    <w:rsid w:val="00D13906"/>
    <w:rsid w:val="00D139B1"/>
    <w:rsid w:val="00D13D1B"/>
    <w:rsid w:val="00D13E37"/>
    <w:rsid w:val="00D13FA9"/>
    <w:rsid w:val="00D14104"/>
    <w:rsid w:val="00D142D3"/>
    <w:rsid w:val="00D145C8"/>
    <w:rsid w:val="00D14606"/>
    <w:rsid w:val="00D14802"/>
    <w:rsid w:val="00D14A3B"/>
    <w:rsid w:val="00D14E8A"/>
    <w:rsid w:val="00D14EF2"/>
    <w:rsid w:val="00D15122"/>
    <w:rsid w:val="00D1515B"/>
    <w:rsid w:val="00D152DF"/>
    <w:rsid w:val="00D1549C"/>
    <w:rsid w:val="00D15615"/>
    <w:rsid w:val="00D15874"/>
    <w:rsid w:val="00D15D9A"/>
    <w:rsid w:val="00D160B9"/>
    <w:rsid w:val="00D16620"/>
    <w:rsid w:val="00D16C7B"/>
    <w:rsid w:val="00D16E56"/>
    <w:rsid w:val="00D16EF5"/>
    <w:rsid w:val="00D17014"/>
    <w:rsid w:val="00D1709F"/>
    <w:rsid w:val="00D170D3"/>
    <w:rsid w:val="00D17108"/>
    <w:rsid w:val="00D17373"/>
    <w:rsid w:val="00D175A1"/>
    <w:rsid w:val="00D175F1"/>
    <w:rsid w:val="00D17AB3"/>
    <w:rsid w:val="00D17B2A"/>
    <w:rsid w:val="00D17B4D"/>
    <w:rsid w:val="00D17F3D"/>
    <w:rsid w:val="00D17FD2"/>
    <w:rsid w:val="00D20010"/>
    <w:rsid w:val="00D202A8"/>
    <w:rsid w:val="00D204BC"/>
    <w:rsid w:val="00D20767"/>
    <w:rsid w:val="00D20912"/>
    <w:rsid w:val="00D209DD"/>
    <w:rsid w:val="00D20AE0"/>
    <w:rsid w:val="00D20B98"/>
    <w:rsid w:val="00D20C36"/>
    <w:rsid w:val="00D20D39"/>
    <w:rsid w:val="00D20DC3"/>
    <w:rsid w:val="00D20E2A"/>
    <w:rsid w:val="00D20E44"/>
    <w:rsid w:val="00D20ECF"/>
    <w:rsid w:val="00D2101B"/>
    <w:rsid w:val="00D21077"/>
    <w:rsid w:val="00D21237"/>
    <w:rsid w:val="00D212CC"/>
    <w:rsid w:val="00D21556"/>
    <w:rsid w:val="00D21DE4"/>
    <w:rsid w:val="00D21F54"/>
    <w:rsid w:val="00D22130"/>
    <w:rsid w:val="00D22320"/>
    <w:rsid w:val="00D2239F"/>
    <w:rsid w:val="00D2250B"/>
    <w:rsid w:val="00D22556"/>
    <w:rsid w:val="00D2267B"/>
    <w:rsid w:val="00D2267F"/>
    <w:rsid w:val="00D2268D"/>
    <w:rsid w:val="00D22A61"/>
    <w:rsid w:val="00D22B05"/>
    <w:rsid w:val="00D22F61"/>
    <w:rsid w:val="00D2303D"/>
    <w:rsid w:val="00D23050"/>
    <w:rsid w:val="00D2308D"/>
    <w:rsid w:val="00D230C3"/>
    <w:rsid w:val="00D2311D"/>
    <w:rsid w:val="00D231BF"/>
    <w:rsid w:val="00D23343"/>
    <w:rsid w:val="00D234AE"/>
    <w:rsid w:val="00D235BF"/>
    <w:rsid w:val="00D23781"/>
    <w:rsid w:val="00D2398C"/>
    <w:rsid w:val="00D23A55"/>
    <w:rsid w:val="00D23D93"/>
    <w:rsid w:val="00D23EE8"/>
    <w:rsid w:val="00D2426A"/>
    <w:rsid w:val="00D247F4"/>
    <w:rsid w:val="00D24AE4"/>
    <w:rsid w:val="00D24C82"/>
    <w:rsid w:val="00D24C87"/>
    <w:rsid w:val="00D24CB2"/>
    <w:rsid w:val="00D24DF2"/>
    <w:rsid w:val="00D24E4D"/>
    <w:rsid w:val="00D24FE2"/>
    <w:rsid w:val="00D2502B"/>
    <w:rsid w:val="00D25063"/>
    <w:rsid w:val="00D250DE"/>
    <w:rsid w:val="00D254D3"/>
    <w:rsid w:val="00D256B3"/>
    <w:rsid w:val="00D25724"/>
    <w:rsid w:val="00D25A7D"/>
    <w:rsid w:val="00D262C5"/>
    <w:rsid w:val="00D26692"/>
    <w:rsid w:val="00D266D2"/>
    <w:rsid w:val="00D2679E"/>
    <w:rsid w:val="00D26879"/>
    <w:rsid w:val="00D268EC"/>
    <w:rsid w:val="00D268FE"/>
    <w:rsid w:val="00D26FDE"/>
    <w:rsid w:val="00D27355"/>
    <w:rsid w:val="00D27683"/>
    <w:rsid w:val="00D277B2"/>
    <w:rsid w:val="00D27865"/>
    <w:rsid w:val="00D2787E"/>
    <w:rsid w:val="00D27B5D"/>
    <w:rsid w:val="00D27BA2"/>
    <w:rsid w:val="00D27C2D"/>
    <w:rsid w:val="00D27F13"/>
    <w:rsid w:val="00D27F2A"/>
    <w:rsid w:val="00D30029"/>
    <w:rsid w:val="00D30534"/>
    <w:rsid w:val="00D30920"/>
    <w:rsid w:val="00D30BDF"/>
    <w:rsid w:val="00D30C40"/>
    <w:rsid w:val="00D30E55"/>
    <w:rsid w:val="00D30F7E"/>
    <w:rsid w:val="00D310B7"/>
    <w:rsid w:val="00D3135A"/>
    <w:rsid w:val="00D313DF"/>
    <w:rsid w:val="00D3147E"/>
    <w:rsid w:val="00D3163F"/>
    <w:rsid w:val="00D31B4C"/>
    <w:rsid w:val="00D31C6D"/>
    <w:rsid w:val="00D31D2E"/>
    <w:rsid w:val="00D32D6C"/>
    <w:rsid w:val="00D330CE"/>
    <w:rsid w:val="00D3322F"/>
    <w:rsid w:val="00D332DD"/>
    <w:rsid w:val="00D33308"/>
    <w:rsid w:val="00D33403"/>
    <w:rsid w:val="00D33511"/>
    <w:rsid w:val="00D3373E"/>
    <w:rsid w:val="00D338FD"/>
    <w:rsid w:val="00D33C68"/>
    <w:rsid w:val="00D33CCA"/>
    <w:rsid w:val="00D34662"/>
    <w:rsid w:val="00D3485C"/>
    <w:rsid w:val="00D349E4"/>
    <w:rsid w:val="00D34A56"/>
    <w:rsid w:val="00D34BA2"/>
    <w:rsid w:val="00D351BE"/>
    <w:rsid w:val="00D355E8"/>
    <w:rsid w:val="00D35968"/>
    <w:rsid w:val="00D35A56"/>
    <w:rsid w:val="00D35A68"/>
    <w:rsid w:val="00D35D5B"/>
    <w:rsid w:val="00D35E6C"/>
    <w:rsid w:val="00D36140"/>
    <w:rsid w:val="00D361FF"/>
    <w:rsid w:val="00D36225"/>
    <w:rsid w:val="00D363F0"/>
    <w:rsid w:val="00D364FC"/>
    <w:rsid w:val="00D3654C"/>
    <w:rsid w:val="00D36592"/>
    <w:rsid w:val="00D36618"/>
    <w:rsid w:val="00D36843"/>
    <w:rsid w:val="00D36949"/>
    <w:rsid w:val="00D36AD7"/>
    <w:rsid w:val="00D36B10"/>
    <w:rsid w:val="00D36C48"/>
    <w:rsid w:val="00D36F8D"/>
    <w:rsid w:val="00D37080"/>
    <w:rsid w:val="00D3726A"/>
    <w:rsid w:val="00D373BC"/>
    <w:rsid w:val="00D37591"/>
    <w:rsid w:val="00D3763F"/>
    <w:rsid w:val="00D377DC"/>
    <w:rsid w:val="00D37B47"/>
    <w:rsid w:val="00D37DE3"/>
    <w:rsid w:val="00D37EA3"/>
    <w:rsid w:val="00D37FD3"/>
    <w:rsid w:val="00D4002F"/>
    <w:rsid w:val="00D40095"/>
    <w:rsid w:val="00D4039F"/>
    <w:rsid w:val="00D40509"/>
    <w:rsid w:val="00D406D0"/>
    <w:rsid w:val="00D406FE"/>
    <w:rsid w:val="00D40A0E"/>
    <w:rsid w:val="00D413C6"/>
    <w:rsid w:val="00D4143A"/>
    <w:rsid w:val="00D41639"/>
    <w:rsid w:val="00D418E3"/>
    <w:rsid w:val="00D419E6"/>
    <w:rsid w:val="00D41D1D"/>
    <w:rsid w:val="00D41E74"/>
    <w:rsid w:val="00D41EF2"/>
    <w:rsid w:val="00D420CE"/>
    <w:rsid w:val="00D42375"/>
    <w:rsid w:val="00D4251D"/>
    <w:rsid w:val="00D42659"/>
    <w:rsid w:val="00D426E3"/>
    <w:rsid w:val="00D427A3"/>
    <w:rsid w:val="00D42874"/>
    <w:rsid w:val="00D42A61"/>
    <w:rsid w:val="00D42BE6"/>
    <w:rsid w:val="00D42CB2"/>
    <w:rsid w:val="00D42D04"/>
    <w:rsid w:val="00D42D67"/>
    <w:rsid w:val="00D42E48"/>
    <w:rsid w:val="00D42FF8"/>
    <w:rsid w:val="00D43054"/>
    <w:rsid w:val="00D4311E"/>
    <w:rsid w:val="00D432D8"/>
    <w:rsid w:val="00D43A10"/>
    <w:rsid w:val="00D43AB4"/>
    <w:rsid w:val="00D43AD0"/>
    <w:rsid w:val="00D43B14"/>
    <w:rsid w:val="00D43D71"/>
    <w:rsid w:val="00D43E48"/>
    <w:rsid w:val="00D4434A"/>
    <w:rsid w:val="00D448EB"/>
    <w:rsid w:val="00D44FB6"/>
    <w:rsid w:val="00D44FC3"/>
    <w:rsid w:val="00D451CF"/>
    <w:rsid w:val="00D452C9"/>
    <w:rsid w:val="00D45436"/>
    <w:rsid w:val="00D4571D"/>
    <w:rsid w:val="00D4577F"/>
    <w:rsid w:val="00D457F9"/>
    <w:rsid w:val="00D45A2C"/>
    <w:rsid w:val="00D45C9F"/>
    <w:rsid w:val="00D45D74"/>
    <w:rsid w:val="00D45E5B"/>
    <w:rsid w:val="00D46079"/>
    <w:rsid w:val="00D4656C"/>
    <w:rsid w:val="00D4681E"/>
    <w:rsid w:val="00D4685E"/>
    <w:rsid w:val="00D46CA1"/>
    <w:rsid w:val="00D46DBB"/>
    <w:rsid w:val="00D46F20"/>
    <w:rsid w:val="00D4711E"/>
    <w:rsid w:val="00D471EE"/>
    <w:rsid w:val="00D4720C"/>
    <w:rsid w:val="00D474D2"/>
    <w:rsid w:val="00D47593"/>
    <w:rsid w:val="00D47765"/>
    <w:rsid w:val="00D47B4F"/>
    <w:rsid w:val="00D47B55"/>
    <w:rsid w:val="00D47E17"/>
    <w:rsid w:val="00D50152"/>
    <w:rsid w:val="00D50160"/>
    <w:rsid w:val="00D503CD"/>
    <w:rsid w:val="00D504BE"/>
    <w:rsid w:val="00D50642"/>
    <w:rsid w:val="00D506F3"/>
    <w:rsid w:val="00D508AF"/>
    <w:rsid w:val="00D50BBF"/>
    <w:rsid w:val="00D50CD6"/>
    <w:rsid w:val="00D51393"/>
    <w:rsid w:val="00D513EF"/>
    <w:rsid w:val="00D5145E"/>
    <w:rsid w:val="00D514B9"/>
    <w:rsid w:val="00D515F6"/>
    <w:rsid w:val="00D5190C"/>
    <w:rsid w:val="00D51936"/>
    <w:rsid w:val="00D51F3E"/>
    <w:rsid w:val="00D52044"/>
    <w:rsid w:val="00D52114"/>
    <w:rsid w:val="00D52406"/>
    <w:rsid w:val="00D5252D"/>
    <w:rsid w:val="00D525B6"/>
    <w:rsid w:val="00D5286E"/>
    <w:rsid w:val="00D5287F"/>
    <w:rsid w:val="00D52A36"/>
    <w:rsid w:val="00D52CCE"/>
    <w:rsid w:val="00D52CD0"/>
    <w:rsid w:val="00D52D59"/>
    <w:rsid w:val="00D52E09"/>
    <w:rsid w:val="00D5314C"/>
    <w:rsid w:val="00D534B8"/>
    <w:rsid w:val="00D5389B"/>
    <w:rsid w:val="00D53CCB"/>
    <w:rsid w:val="00D53F54"/>
    <w:rsid w:val="00D54046"/>
    <w:rsid w:val="00D54242"/>
    <w:rsid w:val="00D54844"/>
    <w:rsid w:val="00D548AA"/>
    <w:rsid w:val="00D549F4"/>
    <w:rsid w:val="00D54BB9"/>
    <w:rsid w:val="00D54C66"/>
    <w:rsid w:val="00D54ECE"/>
    <w:rsid w:val="00D54FAE"/>
    <w:rsid w:val="00D5513C"/>
    <w:rsid w:val="00D55614"/>
    <w:rsid w:val="00D5570B"/>
    <w:rsid w:val="00D557E8"/>
    <w:rsid w:val="00D559E3"/>
    <w:rsid w:val="00D55B7F"/>
    <w:rsid w:val="00D55CA2"/>
    <w:rsid w:val="00D55D3B"/>
    <w:rsid w:val="00D55DF2"/>
    <w:rsid w:val="00D560AB"/>
    <w:rsid w:val="00D56170"/>
    <w:rsid w:val="00D561D6"/>
    <w:rsid w:val="00D56727"/>
    <w:rsid w:val="00D56923"/>
    <w:rsid w:val="00D56932"/>
    <w:rsid w:val="00D56A3D"/>
    <w:rsid w:val="00D56AC9"/>
    <w:rsid w:val="00D56DB0"/>
    <w:rsid w:val="00D56E69"/>
    <w:rsid w:val="00D57303"/>
    <w:rsid w:val="00D5737F"/>
    <w:rsid w:val="00D573D4"/>
    <w:rsid w:val="00D57454"/>
    <w:rsid w:val="00D57465"/>
    <w:rsid w:val="00D57546"/>
    <w:rsid w:val="00D576A0"/>
    <w:rsid w:val="00D57763"/>
    <w:rsid w:val="00D57A0F"/>
    <w:rsid w:val="00D57E10"/>
    <w:rsid w:val="00D57FA4"/>
    <w:rsid w:val="00D600EB"/>
    <w:rsid w:val="00D600FF"/>
    <w:rsid w:val="00D60427"/>
    <w:rsid w:val="00D609B7"/>
    <w:rsid w:val="00D60A3F"/>
    <w:rsid w:val="00D60AD5"/>
    <w:rsid w:val="00D60BEA"/>
    <w:rsid w:val="00D60C8E"/>
    <w:rsid w:val="00D61045"/>
    <w:rsid w:val="00D61111"/>
    <w:rsid w:val="00D61598"/>
    <w:rsid w:val="00D6184C"/>
    <w:rsid w:val="00D61875"/>
    <w:rsid w:val="00D61C3A"/>
    <w:rsid w:val="00D61FED"/>
    <w:rsid w:val="00D62696"/>
    <w:rsid w:val="00D626D2"/>
    <w:rsid w:val="00D626E8"/>
    <w:rsid w:val="00D62752"/>
    <w:rsid w:val="00D629C7"/>
    <w:rsid w:val="00D62F97"/>
    <w:rsid w:val="00D63188"/>
    <w:rsid w:val="00D6328B"/>
    <w:rsid w:val="00D63378"/>
    <w:rsid w:val="00D636C7"/>
    <w:rsid w:val="00D63742"/>
    <w:rsid w:val="00D637A2"/>
    <w:rsid w:val="00D639C9"/>
    <w:rsid w:val="00D63CBE"/>
    <w:rsid w:val="00D6404D"/>
    <w:rsid w:val="00D64135"/>
    <w:rsid w:val="00D64224"/>
    <w:rsid w:val="00D64330"/>
    <w:rsid w:val="00D64337"/>
    <w:rsid w:val="00D64446"/>
    <w:rsid w:val="00D64527"/>
    <w:rsid w:val="00D64607"/>
    <w:rsid w:val="00D648C7"/>
    <w:rsid w:val="00D6497C"/>
    <w:rsid w:val="00D64C28"/>
    <w:rsid w:val="00D64DBB"/>
    <w:rsid w:val="00D64E9A"/>
    <w:rsid w:val="00D65188"/>
    <w:rsid w:val="00D65293"/>
    <w:rsid w:val="00D655E9"/>
    <w:rsid w:val="00D658DE"/>
    <w:rsid w:val="00D659A3"/>
    <w:rsid w:val="00D65ACB"/>
    <w:rsid w:val="00D65AE9"/>
    <w:rsid w:val="00D65B5B"/>
    <w:rsid w:val="00D66222"/>
    <w:rsid w:val="00D665E3"/>
    <w:rsid w:val="00D66D2B"/>
    <w:rsid w:val="00D67004"/>
    <w:rsid w:val="00D671EF"/>
    <w:rsid w:val="00D674F2"/>
    <w:rsid w:val="00D67CEA"/>
    <w:rsid w:val="00D70235"/>
    <w:rsid w:val="00D703F9"/>
    <w:rsid w:val="00D708C4"/>
    <w:rsid w:val="00D70B07"/>
    <w:rsid w:val="00D70E0A"/>
    <w:rsid w:val="00D70FE6"/>
    <w:rsid w:val="00D71125"/>
    <w:rsid w:val="00D715E1"/>
    <w:rsid w:val="00D71923"/>
    <w:rsid w:val="00D71C0D"/>
    <w:rsid w:val="00D71C50"/>
    <w:rsid w:val="00D71E9B"/>
    <w:rsid w:val="00D72115"/>
    <w:rsid w:val="00D7233A"/>
    <w:rsid w:val="00D72434"/>
    <w:rsid w:val="00D7257B"/>
    <w:rsid w:val="00D725FF"/>
    <w:rsid w:val="00D72973"/>
    <w:rsid w:val="00D72B35"/>
    <w:rsid w:val="00D72C33"/>
    <w:rsid w:val="00D72E84"/>
    <w:rsid w:val="00D72F01"/>
    <w:rsid w:val="00D73538"/>
    <w:rsid w:val="00D738A6"/>
    <w:rsid w:val="00D73ADE"/>
    <w:rsid w:val="00D73D25"/>
    <w:rsid w:val="00D742E0"/>
    <w:rsid w:val="00D749AB"/>
    <w:rsid w:val="00D74A0E"/>
    <w:rsid w:val="00D74B3E"/>
    <w:rsid w:val="00D74D76"/>
    <w:rsid w:val="00D74D8D"/>
    <w:rsid w:val="00D75061"/>
    <w:rsid w:val="00D7509B"/>
    <w:rsid w:val="00D75394"/>
    <w:rsid w:val="00D75629"/>
    <w:rsid w:val="00D75EE8"/>
    <w:rsid w:val="00D761AB"/>
    <w:rsid w:val="00D762A0"/>
    <w:rsid w:val="00D7646F"/>
    <w:rsid w:val="00D764F1"/>
    <w:rsid w:val="00D76AC5"/>
    <w:rsid w:val="00D76B43"/>
    <w:rsid w:val="00D76FB7"/>
    <w:rsid w:val="00D7735B"/>
    <w:rsid w:val="00D774BF"/>
    <w:rsid w:val="00D77724"/>
    <w:rsid w:val="00D7787D"/>
    <w:rsid w:val="00D77CE8"/>
    <w:rsid w:val="00D77F45"/>
    <w:rsid w:val="00D800E8"/>
    <w:rsid w:val="00D8015E"/>
    <w:rsid w:val="00D8063F"/>
    <w:rsid w:val="00D806E9"/>
    <w:rsid w:val="00D80729"/>
    <w:rsid w:val="00D809B1"/>
    <w:rsid w:val="00D80BE8"/>
    <w:rsid w:val="00D80CFD"/>
    <w:rsid w:val="00D80D83"/>
    <w:rsid w:val="00D80F1B"/>
    <w:rsid w:val="00D81089"/>
    <w:rsid w:val="00D810B3"/>
    <w:rsid w:val="00D8154D"/>
    <w:rsid w:val="00D81605"/>
    <w:rsid w:val="00D8163A"/>
    <w:rsid w:val="00D81992"/>
    <w:rsid w:val="00D81AFA"/>
    <w:rsid w:val="00D81C97"/>
    <w:rsid w:val="00D81D89"/>
    <w:rsid w:val="00D81E21"/>
    <w:rsid w:val="00D81FA5"/>
    <w:rsid w:val="00D82111"/>
    <w:rsid w:val="00D82343"/>
    <w:rsid w:val="00D825FB"/>
    <w:rsid w:val="00D82841"/>
    <w:rsid w:val="00D830CF"/>
    <w:rsid w:val="00D833FE"/>
    <w:rsid w:val="00D83787"/>
    <w:rsid w:val="00D83982"/>
    <w:rsid w:val="00D83DDE"/>
    <w:rsid w:val="00D83F43"/>
    <w:rsid w:val="00D83FC4"/>
    <w:rsid w:val="00D840F3"/>
    <w:rsid w:val="00D843C0"/>
    <w:rsid w:val="00D846A6"/>
    <w:rsid w:val="00D846E2"/>
    <w:rsid w:val="00D84814"/>
    <w:rsid w:val="00D84921"/>
    <w:rsid w:val="00D8495B"/>
    <w:rsid w:val="00D84B70"/>
    <w:rsid w:val="00D84C31"/>
    <w:rsid w:val="00D84EBE"/>
    <w:rsid w:val="00D85035"/>
    <w:rsid w:val="00D850E2"/>
    <w:rsid w:val="00D853DB"/>
    <w:rsid w:val="00D85462"/>
    <w:rsid w:val="00D8585A"/>
    <w:rsid w:val="00D85ADC"/>
    <w:rsid w:val="00D85E74"/>
    <w:rsid w:val="00D861D3"/>
    <w:rsid w:val="00D8634F"/>
    <w:rsid w:val="00D864D4"/>
    <w:rsid w:val="00D86612"/>
    <w:rsid w:val="00D86663"/>
    <w:rsid w:val="00D867ED"/>
    <w:rsid w:val="00D869F6"/>
    <w:rsid w:val="00D86B98"/>
    <w:rsid w:val="00D86C8F"/>
    <w:rsid w:val="00D86E5A"/>
    <w:rsid w:val="00D86EE3"/>
    <w:rsid w:val="00D87041"/>
    <w:rsid w:val="00D8768E"/>
    <w:rsid w:val="00D876C4"/>
    <w:rsid w:val="00D87A2E"/>
    <w:rsid w:val="00D87A9A"/>
    <w:rsid w:val="00D87C75"/>
    <w:rsid w:val="00D87CB6"/>
    <w:rsid w:val="00D87CD2"/>
    <w:rsid w:val="00D90000"/>
    <w:rsid w:val="00D90066"/>
    <w:rsid w:val="00D9041E"/>
    <w:rsid w:val="00D90AA6"/>
    <w:rsid w:val="00D90B27"/>
    <w:rsid w:val="00D90BA6"/>
    <w:rsid w:val="00D90D1C"/>
    <w:rsid w:val="00D90DC7"/>
    <w:rsid w:val="00D91045"/>
    <w:rsid w:val="00D910A1"/>
    <w:rsid w:val="00D910EF"/>
    <w:rsid w:val="00D91366"/>
    <w:rsid w:val="00D914B3"/>
    <w:rsid w:val="00D914EF"/>
    <w:rsid w:val="00D9188C"/>
    <w:rsid w:val="00D91A80"/>
    <w:rsid w:val="00D91CFC"/>
    <w:rsid w:val="00D91EFA"/>
    <w:rsid w:val="00D91F86"/>
    <w:rsid w:val="00D9247A"/>
    <w:rsid w:val="00D92665"/>
    <w:rsid w:val="00D92A45"/>
    <w:rsid w:val="00D92AD1"/>
    <w:rsid w:val="00D92C6B"/>
    <w:rsid w:val="00D92DD5"/>
    <w:rsid w:val="00D93192"/>
    <w:rsid w:val="00D932D0"/>
    <w:rsid w:val="00D9335E"/>
    <w:rsid w:val="00D93501"/>
    <w:rsid w:val="00D936D2"/>
    <w:rsid w:val="00D937C8"/>
    <w:rsid w:val="00D938A2"/>
    <w:rsid w:val="00D9399A"/>
    <w:rsid w:val="00D93C35"/>
    <w:rsid w:val="00D93C37"/>
    <w:rsid w:val="00D93D39"/>
    <w:rsid w:val="00D943A3"/>
    <w:rsid w:val="00D94458"/>
    <w:rsid w:val="00D944AD"/>
    <w:rsid w:val="00D94C46"/>
    <w:rsid w:val="00D94F19"/>
    <w:rsid w:val="00D94F2E"/>
    <w:rsid w:val="00D94F4B"/>
    <w:rsid w:val="00D95014"/>
    <w:rsid w:val="00D95704"/>
    <w:rsid w:val="00D95BFB"/>
    <w:rsid w:val="00D95DF3"/>
    <w:rsid w:val="00D95EE3"/>
    <w:rsid w:val="00D96049"/>
    <w:rsid w:val="00D961B7"/>
    <w:rsid w:val="00D96466"/>
    <w:rsid w:val="00D966C1"/>
    <w:rsid w:val="00D966C3"/>
    <w:rsid w:val="00D967C0"/>
    <w:rsid w:val="00D971D5"/>
    <w:rsid w:val="00D97314"/>
    <w:rsid w:val="00D97492"/>
    <w:rsid w:val="00D97743"/>
    <w:rsid w:val="00D977D2"/>
    <w:rsid w:val="00D97B1D"/>
    <w:rsid w:val="00D97BBE"/>
    <w:rsid w:val="00D97C6A"/>
    <w:rsid w:val="00D97E80"/>
    <w:rsid w:val="00DA020B"/>
    <w:rsid w:val="00DA0310"/>
    <w:rsid w:val="00DA06E3"/>
    <w:rsid w:val="00DA0ABE"/>
    <w:rsid w:val="00DA0CA4"/>
    <w:rsid w:val="00DA101C"/>
    <w:rsid w:val="00DA10C3"/>
    <w:rsid w:val="00DA143E"/>
    <w:rsid w:val="00DA154C"/>
    <w:rsid w:val="00DA1A33"/>
    <w:rsid w:val="00DA1C9D"/>
    <w:rsid w:val="00DA1E57"/>
    <w:rsid w:val="00DA1EC1"/>
    <w:rsid w:val="00DA24F2"/>
    <w:rsid w:val="00DA2808"/>
    <w:rsid w:val="00DA28DC"/>
    <w:rsid w:val="00DA28FF"/>
    <w:rsid w:val="00DA2DB5"/>
    <w:rsid w:val="00DA2EE7"/>
    <w:rsid w:val="00DA2FA9"/>
    <w:rsid w:val="00DA3767"/>
    <w:rsid w:val="00DA37CC"/>
    <w:rsid w:val="00DA3ACD"/>
    <w:rsid w:val="00DA3CF2"/>
    <w:rsid w:val="00DA3D61"/>
    <w:rsid w:val="00DA3E79"/>
    <w:rsid w:val="00DA41C9"/>
    <w:rsid w:val="00DA42C9"/>
    <w:rsid w:val="00DA46DD"/>
    <w:rsid w:val="00DA47DF"/>
    <w:rsid w:val="00DA4907"/>
    <w:rsid w:val="00DA4EF2"/>
    <w:rsid w:val="00DA4FF4"/>
    <w:rsid w:val="00DA5112"/>
    <w:rsid w:val="00DA56A4"/>
    <w:rsid w:val="00DA578C"/>
    <w:rsid w:val="00DA5902"/>
    <w:rsid w:val="00DA5B23"/>
    <w:rsid w:val="00DA5C07"/>
    <w:rsid w:val="00DA5CA3"/>
    <w:rsid w:val="00DA5D41"/>
    <w:rsid w:val="00DA5FB6"/>
    <w:rsid w:val="00DA61B3"/>
    <w:rsid w:val="00DA62DF"/>
    <w:rsid w:val="00DA69F9"/>
    <w:rsid w:val="00DA6BC1"/>
    <w:rsid w:val="00DA6DB3"/>
    <w:rsid w:val="00DA6F91"/>
    <w:rsid w:val="00DA70A4"/>
    <w:rsid w:val="00DA73EE"/>
    <w:rsid w:val="00DA74C0"/>
    <w:rsid w:val="00DA7676"/>
    <w:rsid w:val="00DA76A8"/>
    <w:rsid w:val="00DA7758"/>
    <w:rsid w:val="00DA785D"/>
    <w:rsid w:val="00DA7CD4"/>
    <w:rsid w:val="00DA7D0D"/>
    <w:rsid w:val="00DB0153"/>
    <w:rsid w:val="00DB0901"/>
    <w:rsid w:val="00DB0E9E"/>
    <w:rsid w:val="00DB12EB"/>
    <w:rsid w:val="00DB1321"/>
    <w:rsid w:val="00DB1354"/>
    <w:rsid w:val="00DB13BB"/>
    <w:rsid w:val="00DB1648"/>
    <w:rsid w:val="00DB1725"/>
    <w:rsid w:val="00DB1A51"/>
    <w:rsid w:val="00DB1A86"/>
    <w:rsid w:val="00DB1BE0"/>
    <w:rsid w:val="00DB1E75"/>
    <w:rsid w:val="00DB20BC"/>
    <w:rsid w:val="00DB2435"/>
    <w:rsid w:val="00DB269D"/>
    <w:rsid w:val="00DB2A9A"/>
    <w:rsid w:val="00DB2B97"/>
    <w:rsid w:val="00DB2DCC"/>
    <w:rsid w:val="00DB30BD"/>
    <w:rsid w:val="00DB315A"/>
    <w:rsid w:val="00DB3666"/>
    <w:rsid w:val="00DB370B"/>
    <w:rsid w:val="00DB3934"/>
    <w:rsid w:val="00DB3C1D"/>
    <w:rsid w:val="00DB3DAC"/>
    <w:rsid w:val="00DB3E46"/>
    <w:rsid w:val="00DB41D7"/>
    <w:rsid w:val="00DB422B"/>
    <w:rsid w:val="00DB42B8"/>
    <w:rsid w:val="00DB44E1"/>
    <w:rsid w:val="00DB47CE"/>
    <w:rsid w:val="00DB486E"/>
    <w:rsid w:val="00DB4A77"/>
    <w:rsid w:val="00DB4ABC"/>
    <w:rsid w:val="00DB4C2E"/>
    <w:rsid w:val="00DB4DC0"/>
    <w:rsid w:val="00DB4DE4"/>
    <w:rsid w:val="00DB4F84"/>
    <w:rsid w:val="00DB5287"/>
    <w:rsid w:val="00DB552E"/>
    <w:rsid w:val="00DB5577"/>
    <w:rsid w:val="00DB56A6"/>
    <w:rsid w:val="00DB5A17"/>
    <w:rsid w:val="00DB5A1F"/>
    <w:rsid w:val="00DB5A93"/>
    <w:rsid w:val="00DB5B76"/>
    <w:rsid w:val="00DB5B8F"/>
    <w:rsid w:val="00DB5BC9"/>
    <w:rsid w:val="00DB5C0D"/>
    <w:rsid w:val="00DB5D0E"/>
    <w:rsid w:val="00DB5F33"/>
    <w:rsid w:val="00DB603B"/>
    <w:rsid w:val="00DB6137"/>
    <w:rsid w:val="00DB6277"/>
    <w:rsid w:val="00DB64AE"/>
    <w:rsid w:val="00DB652B"/>
    <w:rsid w:val="00DB6575"/>
    <w:rsid w:val="00DB6951"/>
    <w:rsid w:val="00DB6980"/>
    <w:rsid w:val="00DB6C04"/>
    <w:rsid w:val="00DB6DC7"/>
    <w:rsid w:val="00DB700E"/>
    <w:rsid w:val="00DB7108"/>
    <w:rsid w:val="00DB714E"/>
    <w:rsid w:val="00DB74F8"/>
    <w:rsid w:val="00DB754F"/>
    <w:rsid w:val="00DB7635"/>
    <w:rsid w:val="00DB763D"/>
    <w:rsid w:val="00DB78FE"/>
    <w:rsid w:val="00DB793B"/>
    <w:rsid w:val="00DB7B28"/>
    <w:rsid w:val="00DB7DC4"/>
    <w:rsid w:val="00DB7FB8"/>
    <w:rsid w:val="00DC03B2"/>
    <w:rsid w:val="00DC0673"/>
    <w:rsid w:val="00DC0760"/>
    <w:rsid w:val="00DC08A9"/>
    <w:rsid w:val="00DC0A14"/>
    <w:rsid w:val="00DC0E32"/>
    <w:rsid w:val="00DC1111"/>
    <w:rsid w:val="00DC12C3"/>
    <w:rsid w:val="00DC13C7"/>
    <w:rsid w:val="00DC140E"/>
    <w:rsid w:val="00DC1CBE"/>
    <w:rsid w:val="00DC1E2B"/>
    <w:rsid w:val="00DC1E75"/>
    <w:rsid w:val="00DC2410"/>
    <w:rsid w:val="00DC24E4"/>
    <w:rsid w:val="00DC2512"/>
    <w:rsid w:val="00DC2864"/>
    <w:rsid w:val="00DC2868"/>
    <w:rsid w:val="00DC2C2D"/>
    <w:rsid w:val="00DC3017"/>
    <w:rsid w:val="00DC302C"/>
    <w:rsid w:val="00DC38F1"/>
    <w:rsid w:val="00DC3B68"/>
    <w:rsid w:val="00DC4479"/>
    <w:rsid w:val="00DC462A"/>
    <w:rsid w:val="00DC4A58"/>
    <w:rsid w:val="00DC4C17"/>
    <w:rsid w:val="00DC4D5A"/>
    <w:rsid w:val="00DC50EA"/>
    <w:rsid w:val="00DC553D"/>
    <w:rsid w:val="00DC5783"/>
    <w:rsid w:val="00DC57F0"/>
    <w:rsid w:val="00DC5B36"/>
    <w:rsid w:val="00DC5BE7"/>
    <w:rsid w:val="00DC5BF0"/>
    <w:rsid w:val="00DC5DBC"/>
    <w:rsid w:val="00DC5EB8"/>
    <w:rsid w:val="00DC60BE"/>
    <w:rsid w:val="00DC60C3"/>
    <w:rsid w:val="00DC60C7"/>
    <w:rsid w:val="00DC6239"/>
    <w:rsid w:val="00DC63A3"/>
    <w:rsid w:val="00DC63C4"/>
    <w:rsid w:val="00DC669C"/>
    <w:rsid w:val="00DC6798"/>
    <w:rsid w:val="00DC68C0"/>
    <w:rsid w:val="00DC6914"/>
    <w:rsid w:val="00DC6984"/>
    <w:rsid w:val="00DC6B2B"/>
    <w:rsid w:val="00DC6E2B"/>
    <w:rsid w:val="00DC6E7F"/>
    <w:rsid w:val="00DC703A"/>
    <w:rsid w:val="00DC70C5"/>
    <w:rsid w:val="00DC7193"/>
    <w:rsid w:val="00DC73D1"/>
    <w:rsid w:val="00DC78DE"/>
    <w:rsid w:val="00DC7C68"/>
    <w:rsid w:val="00DC7C8B"/>
    <w:rsid w:val="00DC7E23"/>
    <w:rsid w:val="00DC7E7A"/>
    <w:rsid w:val="00DC7F68"/>
    <w:rsid w:val="00DC7F9F"/>
    <w:rsid w:val="00DD0103"/>
    <w:rsid w:val="00DD0195"/>
    <w:rsid w:val="00DD019E"/>
    <w:rsid w:val="00DD01B8"/>
    <w:rsid w:val="00DD04FB"/>
    <w:rsid w:val="00DD051F"/>
    <w:rsid w:val="00DD0681"/>
    <w:rsid w:val="00DD088C"/>
    <w:rsid w:val="00DD08B7"/>
    <w:rsid w:val="00DD098C"/>
    <w:rsid w:val="00DD0D26"/>
    <w:rsid w:val="00DD0DC1"/>
    <w:rsid w:val="00DD0E83"/>
    <w:rsid w:val="00DD1183"/>
    <w:rsid w:val="00DD18B9"/>
    <w:rsid w:val="00DD18D4"/>
    <w:rsid w:val="00DD1978"/>
    <w:rsid w:val="00DD1986"/>
    <w:rsid w:val="00DD1E64"/>
    <w:rsid w:val="00DD1F40"/>
    <w:rsid w:val="00DD1FC4"/>
    <w:rsid w:val="00DD205E"/>
    <w:rsid w:val="00DD2131"/>
    <w:rsid w:val="00DD23FF"/>
    <w:rsid w:val="00DD27D6"/>
    <w:rsid w:val="00DD27DC"/>
    <w:rsid w:val="00DD2AA1"/>
    <w:rsid w:val="00DD2CAA"/>
    <w:rsid w:val="00DD3506"/>
    <w:rsid w:val="00DD36E4"/>
    <w:rsid w:val="00DD3838"/>
    <w:rsid w:val="00DD3970"/>
    <w:rsid w:val="00DD3A2C"/>
    <w:rsid w:val="00DD3ADC"/>
    <w:rsid w:val="00DD3BDD"/>
    <w:rsid w:val="00DD3E69"/>
    <w:rsid w:val="00DD3E6D"/>
    <w:rsid w:val="00DD403C"/>
    <w:rsid w:val="00DD41CD"/>
    <w:rsid w:val="00DD4BBB"/>
    <w:rsid w:val="00DD4D98"/>
    <w:rsid w:val="00DD4DAC"/>
    <w:rsid w:val="00DD511C"/>
    <w:rsid w:val="00DD5335"/>
    <w:rsid w:val="00DD5348"/>
    <w:rsid w:val="00DD5672"/>
    <w:rsid w:val="00DD5D70"/>
    <w:rsid w:val="00DD5F00"/>
    <w:rsid w:val="00DD63DC"/>
    <w:rsid w:val="00DD6955"/>
    <w:rsid w:val="00DD6B71"/>
    <w:rsid w:val="00DD6FBC"/>
    <w:rsid w:val="00DD7057"/>
    <w:rsid w:val="00DD7134"/>
    <w:rsid w:val="00DD7690"/>
    <w:rsid w:val="00DD7798"/>
    <w:rsid w:val="00DD77A2"/>
    <w:rsid w:val="00DD781B"/>
    <w:rsid w:val="00DD793B"/>
    <w:rsid w:val="00DD7A72"/>
    <w:rsid w:val="00DD7B67"/>
    <w:rsid w:val="00DD7CCD"/>
    <w:rsid w:val="00DE00A7"/>
    <w:rsid w:val="00DE017F"/>
    <w:rsid w:val="00DE02C9"/>
    <w:rsid w:val="00DE0675"/>
    <w:rsid w:val="00DE09F1"/>
    <w:rsid w:val="00DE0B40"/>
    <w:rsid w:val="00DE0BB3"/>
    <w:rsid w:val="00DE0CAB"/>
    <w:rsid w:val="00DE1025"/>
    <w:rsid w:val="00DE117B"/>
    <w:rsid w:val="00DE12A7"/>
    <w:rsid w:val="00DE1304"/>
    <w:rsid w:val="00DE146F"/>
    <w:rsid w:val="00DE1612"/>
    <w:rsid w:val="00DE1762"/>
    <w:rsid w:val="00DE1B47"/>
    <w:rsid w:val="00DE1D2F"/>
    <w:rsid w:val="00DE1DEF"/>
    <w:rsid w:val="00DE1F60"/>
    <w:rsid w:val="00DE1FE1"/>
    <w:rsid w:val="00DE2012"/>
    <w:rsid w:val="00DE2123"/>
    <w:rsid w:val="00DE2143"/>
    <w:rsid w:val="00DE2148"/>
    <w:rsid w:val="00DE21C1"/>
    <w:rsid w:val="00DE2299"/>
    <w:rsid w:val="00DE28AE"/>
    <w:rsid w:val="00DE2B64"/>
    <w:rsid w:val="00DE2B6A"/>
    <w:rsid w:val="00DE2BDB"/>
    <w:rsid w:val="00DE2C3A"/>
    <w:rsid w:val="00DE2CE6"/>
    <w:rsid w:val="00DE2D7B"/>
    <w:rsid w:val="00DE2DBF"/>
    <w:rsid w:val="00DE2F16"/>
    <w:rsid w:val="00DE323D"/>
    <w:rsid w:val="00DE35DE"/>
    <w:rsid w:val="00DE3B72"/>
    <w:rsid w:val="00DE3C55"/>
    <w:rsid w:val="00DE3CAE"/>
    <w:rsid w:val="00DE3D3C"/>
    <w:rsid w:val="00DE3EFD"/>
    <w:rsid w:val="00DE4061"/>
    <w:rsid w:val="00DE40D8"/>
    <w:rsid w:val="00DE438C"/>
    <w:rsid w:val="00DE43EE"/>
    <w:rsid w:val="00DE444B"/>
    <w:rsid w:val="00DE4592"/>
    <w:rsid w:val="00DE45B1"/>
    <w:rsid w:val="00DE45C0"/>
    <w:rsid w:val="00DE4D25"/>
    <w:rsid w:val="00DE4F94"/>
    <w:rsid w:val="00DE510D"/>
    <w:rsid w:val="00DE526A"/>
    <w:rsid w:val="00DE52A7"/>
    <w:rsid w:val="00DE5776"/>
    <w:rsid w:val="00DE5796"/>
    <w:rsid w:val="00DE5880"/>
    <w:rsid w:val="00DE58D0"/>
    <w:rsid w:val="00DE59C2"/>
    <w:rsid w:val="00DE5ACF"/>
    <w:rsid w:val="00DE5BD7"/>
    <w:rsid w:val="00DE5E0F"/>
    <w:rsid w:val="00DE5F88"/>
    <w:rsid w:val="00DE5FA0"/>
    <w:rsid w:val="00DE60DE"/>
    <w:rsid w:val="00DE6349"/>
    <w:rsid w:val="00DE65BA"/>
    <w:rsid w:val="00DE6798"/>
    <w:rsid w:val="00DE6938"/>
    <w:rsid w:val="00DE697C"/>
    <w:rsid w:val="00DE6C96"/>
    <w:rsid w:val="00DE6EC4"/>
    <w:rsid w:val="00DE6F01"/>
    <w:rsid w:val="00DE719A"/>
    <w:rsid w:val="00DE746D"/>
    <w:rsid w:val="00DE76A1"/>
    <w:rsid w:val="00DE76AA"/>
    <w:rsid w:val="00DE7816"/>
    <w:rsid w:val="00DF00C5"/>
    <w:rsid w:val="00DF027B"/>
    <w:rsid w:val="00DF048C"/>
    <w:rsid w:val="00DF0632"/>
    <w:rsid w:val="00DF063E"/>
    <w:rsid w:val="00DF065A"/>
    <w:rsid w:val="00DF08E6"/>
    <w:rsid w:val="00DF09AC"/>
    <w:rsid w:val="00DF0A76"/>
    <w:rsid w:val="00DF0AC5"/>
    <w:rsid w:val="00DF0C2A"/>
    <w:rsid w:val="00DF0CCA"/>
    <w:rsid w:val="00DF0F0C"/>
    <w:rsid w:val="00DF0FBA"/>
    <w:rsid w:val="00DF1348"/>
    <w:rsid w:val="00DF137A"/>
    <w:rsid w:val="00DF144B"/>
    <w:rsid w:val="00DF16DE"/>
    <w:rsid w:val="00DF1BF6"/>
    <w:rsid w:val="00DF1DB9"/>
    <w:rsid w:val="00DF1E47"/>
    <w:rsid w:val="00DF203B"/>
    <w:rsid w:val="00DF2157"/>
    <w:rsid w:val="00DF21CC"/>
    <w:rsid w:val="00DF223A"/>
    <w:rsid w:val="00DF22D3"/>
    <w:rsid w:val="00DF2315"/>
    <w:rsid w:val="00DF25F6"/>
    <w:rsid w:val="00DF2B35"/>
    <w:rsid w:val="00DF2BD3"/>
    <w:rsid w:val="00DF2CB1"/>
    <w:rsid w:val="00DF31E5"/>
    <w:rsid w:val="00DF34A8"/>
    <w:rsid w:val="00DF38AB"/>
    <w:rsid w:val="00DF399F"/>
    <w:rsid w:val="00DF3ABD"/>
    <w:rsid w:val="00DF3BE5"/>
    <w:rsid w:val="00DF3E11"/>
    <w:rsid w:val="00DF3E34"/>
    <w:rsid w:val="00DF41AF"/>
    <w:rsid w:val="00DF438C"/>
    <w:rsid w:val="00DF440D"/>
    <w:rsid w:val="00DF45E6"/>
    <w:rsid w:val="00DF476F"/>
    <w:rsid w:val="00DF477A"/>
    <w:rsid w:val="00DF47ED"/>
    <w:rsid w:val="00DF4998"/>
    <w:rsid w:val="00DF49CD"/>
    <w:rsid w:val="00DF4E73"/>
    <w:rsid w:val="00DF4F47"/>
    <w:rsid w:val="00DF5040"/>
    <w:rsid w:val="00DF512B"/>
    <w:rsid w:val="00DF55BF"/>
    <w:rsid w:val="00DF6078"/>
    <w:rsid w:val="00DF625A"/>
    <w:rsid w:val="00DF638C"/>
    <w:rsid w:val="00DF657E"/>
    <w:rsid w:val="00DF6599"/>
    <w:rsid w:val="00DF65CA"/>
    <w:rsid w:val="00DF6605"/>
    <w:rsid w:val="00DF6657"/>
    <w:rsid w:val="00DF66CA"/>
    <w:rsid w:val="00DF678B"/>
    <w:rsid w:val="00DF6C1D"/>
    <w:rsid w:val="00DF6E56"/>
    <w:rsid w:val="00DF6EF7"/>
    <w:rsid w:val="00DF7085"/>
    <w:rsid w:val="00DF74FA"/>
    <w:rsid w:val="00DF7579"/>
    <w:rsid w:val="00DF7590"/>
    <w:rsid w:val="00DF796E"/>
    <w:rsid w:val="00DF7A71"/>
    <w:rsid w:val="00DF7C53"/>
    <w:rsid w:val="00DF7D0C"/>
    <w:rsid w:val="00DF7D20"/>
    <w:rsid w:val="00DF7F9B"/>
    <w:rsid w:val="00E00092"/>
    <w:rsid w:val="00E001AB"/>
    <w:rsid w:val="00E00925"/>
    <w:rsid w:val="00E00F93"/>
    <w:rsid w:val="00E0103C"/>
    <w:rsid w:val="00E010E6"/>
    <w:rsid w:val="00E011EF"/>
    <w:rsid w:val="00E01298"/>
    <w:rsid w:val="00E01489"/>
    <w:rsid w:val="00E0152D"/>
    <w:rsid w:val="00E01A28"/>
    <w:rsid w:val="00E01DE7"/>
    <w:rsid w:val="00E01E0F"/>
    <w:rsid w:val="00E01F20"/>
    <w:rsid w:val="00E01FF1"/>
    <w:rsid w:val="00E0206E"/>
    <w:rsid w:val="00E02603"/>
    <w:rsid w:val="00E026C5"/>
    <w:rsid w:val="00E02746"/>
    <w:rsid w:val="00E027B2"/>
    <w:rsid w:val="00E02968"/>
    <w:rsid w:val="00E02E0B"/>
    <w:rsid w:val="00E02E21"/>
    <w:rsid w:val="00E02EF8"/>
    <w:rsid w:val="00E02F6C"/>
    <w:rsid w:val="00E02FAB"/>
    <w:rsid w:val="00E031A7"/>
    <w:rsid w:val="00E0344E"/>
    <w:rsid w:val="00E03499"/>
    <w:rsid w:val="00E034CE"/>
    <w:rsid w:val="00E0358A"/>
    <w:rsid w:val="00E0379B"/>
    <w:rsid w:val="00E03CFC"/>
    <w:rsid w:val="00E03FC9"/>
    <w:rsid w:val="00E0408F"/>
    <w:rsid w:val="00E04108"/>
    <w:rsid w:val="00E0424F"/>
    <w:rsid w:val="00E042F1"/>
    <w:rsid w:val="00E044CF"/>
    <w:rsid w:val="00E04690"/>
    <w:rsid w:val="00E04A48"/>
    <w:rsid w:val="00E04B76"/>
    <w:rsid w:val="00E04D85"/>
    <w:rsid w:val="00E04E4A"/>
    <w:rsid w:val="00E050C5"/>
    <w:rsid w:val="00E053C5"/>
    <w:rsid w:val="00E055F5"/>
    <w:rsid w:val="00E05627"/>
    <w:rsid w:val="00E05A9E"/>
    <w:rsid w:val="00E05BC6"/>
    <w:rsid w:val="00E05C2F"/>
    <w:rsid w:val="00E05CA3"/>
    <w:rsid w:val="00E060A3"/>
    <w:rsid w:val="00E06332"/>
    <w:rsid w:val="00E06337"/>
    <w:rsid w:val="00E063EE"/>
    <w:rsid w:val="00E0682F"/>
    <w:rsid w:val="00E069E4"/>
    <w:rsid w:val="00E06A2E"/>
    <w:rsid w:val="00E06EA7"/>
    <w:rsid w:val="00E07257"/>
    <w:rsid w:val="00E077D4"/>
    <w:rsid w:val="00E0790C"/>
    <w:rsid w:val="00E079EE"/>
    <w:rsid w:val="00E07A04"/>
    <w:rsid w:val="00E07AFB"/>
    <w:rsid w:val="00E07B00"/>
    <w:rsid w:val="00E07C54"/>
    <w:rsid w:val="00E07EC0"/>
    <w:rsid w:val="00E07F3F"/>
    <w:rsid w:val="00E07F52"/>
    <w:rsid w:val="00E1001A"/>
    <w:rsid w:val="00E10136"/>
    <w:rsid w:val="00E1038E"/>
    <w:rsid w:val="00E103EB"/>
    <w:rsid w:val="00E1068A"/>
    <w:rsid w:val="00E106A5"/>
    <w:rsid w:val="00E10CC3"/>
    <w:rsid w:val="00E1107B"/>
    <w:rsid w:val="00E11391"/>
    <w:rsid w:val="00E114EB"/>
    <w:rsid w:val="00E11B41"/>
    <w:rsid w:val="00E11D2A"/>
    <w:rsid w:val="00E12283"/>
    <w:rsid w:val="00E1283D"/>
    <w:rsid w:val="00E12BB9"/>
    <w:rsid w:val="00E12C65"/>
    <w:rsid w:val="00E130E7"/>
    <w:rsid w:val="00E13139"/>
    <w:rsid w:val="00E13220"/>
    <w:rsid w:val="00E1378B"/>
    <w:rsid w:val="00E13AA5"/>
    <w:rsid w:val="00E13AE6"/>
    <w:rsid w:val="00E13B08"/>
    <w:rsid w:val="00E14144"/>
    <w:rsid w:val="00E141F1"/>
    <w:rsid w:val="00E147BA"/>
    <w:rsid w:val="00E1482C"/>
    <w:rsid w:val="00E149A6"/>
    <w:rsid w:val="00E14A15"/>
    <w:rsid w:val="00E14A2B"/>
    <w:rsid w:val="00E14CBB"/>
    <w:rsid w:val="00E156C9"/>
    <w:rsid w:val="00E157DC"/>
    <w:rsid w:val="00E15BB8"/>
    <w:rsid w:val="00E15C21"/>
    <w:rsid w:val="00E15E03"/>
    <w:rsid w:val="00E15E5B"/>
    <w:rsid w:val="00E15ED8"/>
    <w:rsid w:val="00E16355"/>
    <w:rsid w:val="00E164B2"/>
    <w:rsid w:val="00E164DC"/>
    <w:rsid w:val="00E1659B"/>
    <w:rsid w:val="00E16614"/>
    <w:rsid w:val="00E16DC9"/>
    <w:rsid w:val="00E1721E"/>
    <w:rsid w:val="00E17228"/>
    <w:rsid w:val="00E1730E"/>
    <w:rsid w:val="00E17312"/>
    <w:rsid w:val="00E173EA"/>
    <w:rsid w:val="00E17E42"/>
    <w:rsid w:val="00E20117"/>
    <w:rsid w:val="00E20198"/>
    <w:rsid w:val="00E202A7"/>
    <w:rsid w:val="00E202F3"/>
    <w:rsid w:val="00E20337"/>
    <w:rsid w:val="00E20352"/>
    <w:rsid w:val="00E20575"/>
    <w:rsid w:val="00E2067E"/>
    <w:rsid w:val="00E2069E"/>
    <w:rsid w:val="00E207AE"/>
    <w:rsid w:val="00E20952"/>
    <w:rsid w:val="00E20A37"/>
    <w:rsid w:val="00E20B74"/>
    <w:rsid w:val="00E20B92"/>
    <w:rsid w:val="00E20BFD"/>
    <w:rsid w:val="00E20C6E"/>
    <w:rsid w:val="00E21331"/>
    <w:rsid w:val="00E213C3"/>
    <w:rsid w:val="00E213D6"/>
    <w:rsid w:val="00E213EC"/>
    <w:rsid w:val="00E2143E"/>
    <w:rsid w:val="00E214A4"/>
    <w:rsid w:val="00E2168A"/>
    <w:rsid w:val="00E217D4"/>
    <w:rsid w:val="00E21C54"/>
    <w:rsid w:val="00E21C61"/>
    <w:rsid w:val="00E21DC8"/>
    <w:rsid w:val="00E220B5"/>
    <w:rsid w:val="00E2259D"/>
    <w:rsid w:val="00E22670"/>
    <w:rsid w:val="00E229A1"/>
    <w:rsid w:val="00E229C6"/>
    <w:rsid w:val="00E22A31"/>
    <w:rsid w:val="00E22A97"/>
    <w:rsid w:val="00E22ABD"/>
    <w:rsid w:val="00E22F06"/>
    <w:rsid w:val="00E22F1E"/>
    <w:rsid w:val="00E230B3"/>
    <w:rsid w:val="00E23192"/>
    <w:rsid w:val="00E232FA"/>
    <w:rsid w:val="00E23475"/>
    <w:rsid w:val="00E2352B"/>
    <w:rsid w:val="00E235A6"/>
    <w:rsid w:val="00E23707"/>
    <w:rsid w:val="00E23A60"/>
    <w:rsid w:val="00E23BB4"/>
    <w:rsid w:val="00E23BBE"/>
    <w:rsid w:val="00E23CDF"/>
    <w:rsid w:val="00E23E24"/>
    <w:rsid w:val="00E24302"/>
    <w:rsid w:val="00E24323"/>
    <w:rsid w:val="00E2443E"/>
    <w:rsid w:val="00E244F1"/>
    <w:rsid w:val="00E2492F"/>
    <w:rsid w:val="00E2495B"/>
    <w:rsid w:val="00E24982"/>
    <w:rsid w:val="00E24986"/>
    <w:rsid w:val="00E249D0"/>
    <w:rsid w:val="00E24A3F"/>
    <w:rsid w:val="00E24C5B"/>
    <w:rsid w:val="00E24DF8"/>
    <w:rsid w:val="00E250B4"/>
    <w:rsid w:val="00E250D5"/>
    <w:rsid w:val="00E25373"/>
    <w:rsid w:val="00E25574"/>
    <w:rsid w:val="00E2563F"/>
    <w:rsid w:val="00E2567F"/>
    <w:rsid w:val="00E25A58"/>
    <w:rsid w:val="00E25A7A"/>
    <w:rsid w:val="00E25DAF"/>
    <w:rsid w:val="00E25E77"/>
    <w:rsid w:val="00E260E6"/>
    <w:rsid w:val="00E26147"/>
    <w:rsid w:val="00E261BB"/>
    <w:rsid w:val="00E26381"/>
    <w:rsid w:val="00E2640D"/>
    <w:rsid w:val="00E267AB"/>
    <w:rsid w:val="00E268F5"/>
    <w:rsid w:val="00E268F8"/>
    <w:rsid w:val="00E26986"/>
    <w:rsid w:val="00E269CB"/>
    <w:rsid w:val="00E26A8D"/>
    <w:rsid w:val="00E26B9D"/>
    <w:rsid w:val="00E26C2B"/>
    <w:rsid w:val="00E270E5"/>
    <w:rsid w:val="00E271CB"/>
    <w:rsid w:val="00E27337"/>
    <w:rsid w:val="00E27769"/>
    <w:rsid w:val="00E278B5"/>
    <w:rsid w:val="00E27997"/>
    <w:rsid w:val="00E27AD5"/>
    <w:rsid w:val="00E27B8D"/>
    <w:rsid w:val="00E27D4A"/>
    <w:rsid w:val="00E27D5C"/>
    <w:rsid w:val="00E27D6D"/>
    <w:rsid w:val="00E27DCA"/>
    <w:rsid w:val="00E300E7"/>
    <w:rsid w:val="00E301DE"/>
    <w:rsid w:val="00E30402"/>
    <w:rsid w:val="00E30601"/>
    <w:rsid w:val="00E30621"/>
    <w:rsid w:val="00E30731"/>
    <w:rsid w:val="00E309E7"/>
    <w:rsid w:val="00E30A4C"/>
    <w:rsid w:val="00E30C3A"/>
    <w:rsid w:val="00E30D24"/>
    <w:rsid w:val="00E30D62"/>
    <w:rsid w:val="00E30DA5"/>
    <w:rsid w:val="00E30E69"/>
    <w:rsid w:val="00E30F87"/>
    <w:rsid w:val="00E310D1"/>
    <w:rsid w:val="00E31117"/>
    <w:rsid w:val="00E311A1"/>
    <w:rsid w:val="00E312D3"/>
    <w:rsid w:val="00E315C3"/>
    <w:rsid w:val="00E3162F"/>
    <w:rsid w:val="00E318A5"/>
    <w:rsid w:val="00E319CC"/>
    <w:rsid w:val="00E31B28"/>
    <w:rsid w:val="00E32018"/>
    <w:rsid w:val="00E32244"/>
    <w:rsid w:val="00E324C8"/>
    <w:rsid w:val="00E325BA"/>
    <w:rsid w:val="00E326AF"/>
    <w:rsid w:val="00E32AEF"/>
    <w:rsid w:val="00E32BCD"/>
    <w:rsid w:val="00E32E0E"/>
    <w:rsid w:val="00E33002"/>
    <w:rsid w:val="00E330AD"/>
    <w:rsid w:val="00E3316B"/>
    <w:rsid w:val="00E33189"/>
    <w:rsid w:val="00E3334C"/>
    <w:rsid w:val="00E333CB"/>
    <w:rsid w:val="00E337E9"/>
    <w:rsid w:val="00E33D85"/>
    <w:rsid w:val="00E33E2E"/>
    <w:rsid w:val="00E346FC"/>
    <w:rsid w:val="00E34767"/>
    <w:rsid w:val="00E3482D"/>
    <w:rsid w:val="00E34A39"/>
    <w:rsid w:val="00E34ACB"/>
    <w:rsid w:val="00E34BB0"/>
    <w:rsid w:val="00E34C65"/>
    <w:rsid w:val="00E34D20"/>
    <w:rsid w:val="00E34F4D"/>
    <w:rsid w:val="00E34FDD"/>
    <w:rsid w:val="00E352C3"/>
    <w:rsid w:val="00E3532F"/>
    <w:rsid w:val="00E353E6"/>
    <w:rsid w:val="00E354FD"/>
    <w:rsid w:val="00E359AA"/>
    <w:rsid w:val="00E35CA6"/>
    <w:rsid w:val="00E35CB9"/>
    <w:rsid w:val="00E36533"/>
    <w:rsid w:val="00E368C8"/>
    <w:rsid w:val="00E36980"/>
    <w:rsid w:val="00E369D7"/>
    <w:rsid w:val="00E36C26"/>
    <w:rsid w:val="00E36F12"/>
    <w:rsid w:val="00E3725A"/>
    <w:rsid w:val="00E3732E"/>
    <w:rsid w:val="00E373CD"/>
    <w:rsid w:val="00E37699"/>
    <w:rsid w:val="00E376DC"/>
    <w:rsid w:val="00E3792A"/>
    <w:rsid w:val="00E37BAF"/>
    <w:rsid w:val="00E37CC0"/>
    <w:rsid w:val="00E40001"/>
    <w:rsid w:val="00E401B0"/>
    <w:rsid w:val="00E40249"/>
    <w:rsid w:val="00E403A7"/>
    <w:rsid w:val="00E4086A"/>
    <w:rsid w:val="00E40B09"/>
    <w:rsid w:val="00E40BEA"/>
    <w:rsid w:val="00E40F6E"/>
    <w:rsid w:val="00E410CC"/>
    <w:rsid w:val="00E41181"/>
    <w:rsid w:val="00E4156C"/>
    <w:rsid w:val="00E41595"/>
    <w:rsid w:val="00E4168F"/>
    <w:rsid w:val="00E419B2"/>
    <w:rsid w:val="00E419CD"/>
    <w:rsid w:val="00E41ECE"/>
    <w:rsid w:val="00E420F8"/>
    <w:rsid w:val="00E42364"/>
    <w:rsid w:val="00E424D8"/>
    <w:rsid w:val="00E42591"/>
    <w:rsid w:val="00E42814"/>
    <w:rsid w:val="00E42934"/>
    <w:rsid w:val="00E42A40"/>
    <w:rsid w:val="00E42A68"/>
    <w:rsid w:val="00E42A77"/>
    <w:rsid w:val="00E42C85"/>
    <w:rsid w:val="00E42DD1"/>
    <w:rsid w:val="00E42DD7"/>
    <w:rsid w:val="00E4306C"/>
    <w:rsid w:val="00E432F6"/>
    <w:rsid w:val="00E433E6"/>
    <w:rsid w:val="00E434B6"/>
    <w:rsid w:val="00E435E1"/>
    <w:rsid w:val="00E43953"/>
    <w:rsid w:val="00E439C5"/>
    <w:rsid w:val="00E43B17"/>
    <w:rsid w:val="00E43C0E"/>
    <w:rsid w:val="00E43FF5"/>
    <w:rsid w:val="00E44154"/>
    <w:rsid w:val="00E442F6"/>
    <w:rsid w:val="00E4469D"/>
    <w:rsid w:val="00E44783"/>
    <w:rsid w:val="00E44EB7"/>
    <w:rsid w:val="00E44EDF"/>
    <w:rsid w:val="00E44F33"/>
    <w:rsid w:val="00E44F8F"/>
    <w:rsid w:val="00E4534C"/>
    <w:rsid w:val="00E45452"/>
    <w:rsid w:val="00E45689"/>
    <w:rsid w:val="00E456CE"/>
    <w:rsid w:val="00E456D4"/>
    <w:rsid w:val="00E456D7"/>
    <w:rsid w:val="00E45721"/>
    <w:rsid w:val="00E45973"/>
    <w:rsid w:val="00E45AE9"/>
    <w:rsid w:val="00E45B4A"/>
    <w:rsid w:val="00E45CAC"/>
    <w:rsid w:val="00E45CD4"/>
    <w:rsid w:val="00E45DD0"/>
    <w:rsid w:val="00E45EC5"/>
    <w:rsid w:val="00E46052"/>
    <w:rsid w:val="00E4611B"/>
    <w:rsid w:val="00E46157"/>
    <w:rsid w:val="00E462E4"/>
    <w:rsid w:val="00E4655E"/>
    <w:rsid w:val="00E4686B"/>
    <w:rsid w:val="00E46B2B"/>
    <w:rsid w:val="00E46BC2"/>
    <w:rsid w:val="00E46FD6"/>
    <w:rsid w:val="00E4711C"/>
    <w:rsid w:val="00E47511"/>
    <w:rsid w:val="00E47606"/>
    <w:rsid w:val="00E47B02"/>
    <w:rsid w:val="00E47D42"/>
    <w:rsid w:val="00E5012D"/>
    <w:rsid w:val="00E5034A"/>
    <w:rsid w:val="00E50408"/>
    <w:rsid w:val="00E504EF"/>
    <w:rsid w:val="00E5091D"/>
    <w:rsid w:val="00E50BC8"/>
    <w:rsid w:val="00E50C26"/>
    <w:rsid w:val="00E50C8B"/>
    <w:rsid w:val="00E50EDC"/>
    <w:rsid w:val="00E50F7F"/>
    <w:rsid w:val="00E5139B"/>
    <w:rsid w:val="00E5160C"/>
    <w:rsid w:val="00E51B5B"/>
    <w:rsid w:val="00E51EC7"/>
    <w:rsid w:val="00E51EDD"/>
    <w:rsid w:val="00E52712"/>
    <w:rsid w:val="00E52B54"/>
    <w:rsid w:val="00E52B8C"/>
    <w:rsid w:val="00E52DF1"/>
    <w:rsid w:val="00E5379D"/>
    <w:rsid w:val="00E53B04"/>
    <w:rsid w:val="00E53E87"/>
    <w:rsid w:val="00E5451C"/>
    <w:rsid w:val="00E54572"/>
    <w:rsid w:val="00E54622"/>
    <w:rsid w:val="00E54684"/>
    <w:rsid w:val="00E54928"/>
    <w:rsid w:val="00E54D32"/>
    <w:rsid w:val="00E54F4E"/>
    <w:rsid w:val="00E54FC8"/>
    <w:rsid w:val="00E55270"/>
    <w:rsid w:val="00E55406"/>
    <w:rsid w:val="00E554E8"/>
    <w:rsid w:val="00E55685"/>
    <w:rsid w:val="00E55837"/>
    <w:rsid w:val="00E55BB0"/>
    <w:rsid w:val="00E55E83"/>
    <w:rsid w:val="00E56066"/>
    <w:rsid w:val="00E5617D"/>
    <w:rsid w:val="00E561CB"/>
    <w:rsid w:val="00E562E0"/>
    <w:rsid w:val="00E56409"/>
    <w:rsid w:val="00E56A02"/>
    <w:rsid w:val="00E56A70"/>
    <w:rsid w:val="00E56AA6"/>
    <w:rsid w:val="00E56E05"/>
    <w:rsid w:val="00E56F93"/>
    <w:rsid w:val="00E56F9D"/>
    <w:rsid w:val="00E57610"/>
    <w:rsid w:val="00E5767A"/>
    <w:rsid w:val="00E5785E"/>
    <w:rsid w:val="00E57868"/>
    <w:rsid w:val="00E5792C"/>
    <w:rsid w:val="00E579F1"/>
    <w:rsid w:val="00E57D94"/>
    <w:rsid w:val="00E57FD1"/>
    <w:rsid w:val="00E60328"/>
    <w:rsid w:val="00E60353"/>
    <w:rsid w:val="00E603C0"/>
    <w:rsid w:val="00E605DD"/>
    <w:rsid w:val="00E605FB"/>
    <w:rsid w:val="00E60644"/>
    <w:rsid w:val="00E60EBD"/>
    <w:rsid w:val="00E60FCE"/>
    <w:rsid w:val="00E61013"/>
    <w:rsid w:val="00E61139"/>
    <w:rsid w:val="00E61176"/>
    <w:rsid w:val="00E61182"/>
    <w:rsid w:val="00E613D7"/>
    <w:rsid w:val="00E613FC"/>
    <w:rsid w:val="00E614E5"/>
    <w:rsid w:val="00E61508"/>
    <w:rsid w:val="00E615B2"/>
    <w:rsid w:val="00E615D5"/>
    <w:rsid w:val="00E615E8"/>
    <w:rsid w:val="00E61F13"/>
    <w:rsid w:val="00E61F60"/>
    <w:rsid w:val="00E61FA8"/>
    <w:rsid w:val="00E62131"/>
    <w:rsid w:val="00E62459"/>
    <w:rsid w:val="00E6274A"/>
    <w:rsid w:val="00E62985"/>
    <w:rsid w:val="00E629B2"/>
    <w:rsid w:val="00E62AB2"/>
    <w:rsid w:val="00E62DA2"/>
    <w:rsid w:val="00E62DA4"/>
    <w:rsid w:val="00E62DAD"/>
    <w:rsid w:val="00E62DDC"/>
    <w:rsid w:val="00E62F0C"/>
    <w:rsid w:val="00E632FB"/>
    <w:rsid w:val="00E633AE"/>
    <w:rsid w:val="00E635D2"/>
    <w:rsid w:val="00E63634"/>
    <w:rsid w:val="00E63743"/>
    <w:rsid w:val="00E6391D"/>
    <w:rsid w:val="00E6394D"/>
    <w:rsid w:val="00E6397B"/>
    <w:rsid w:val="00E63B3E"/>
    <w:rsid w:val="00E642A9"/>
    <w:rsid w:val="00E64535"/>
    <w:rsid w:val="00E64558"/>
    <w:rsid w:val="00E647C1"/>
    <w:rsid w:val="00E6483B"/>
    <w:rsid w:val="00E6490B"/>
    <w:rsid w:val="00E64AA3"/>
    <w:rsid w:val="00E64B6D"/>
    <w:rsid w:val="00E64BBC"/>
    <w:rsid w:val="00E64CE8"/>
    <w:rsid w:val="00E64D9B"/>
    <w:rsid w:val="00E64FAF"/>
    <w:rsid w:val="00E65168"/>
    <w:rsid w:val="00E652B9"/>
    <w:rsid w:val="00E65619"/>
    <w:rsid w:val="00E6562F"/>
    <w:rsid w:val="00E65D5B"/>
    <w:rsid w:val="00E66152"/>
    <w:rsid w:val="00E6641F"/>
    <w:rsid w:val="00E6642C"/>
    <w:rsid w:val="00E6662A"/>
    <w:rsid w:val="00E66767"/>
    <w:rsid w:val="00E66798"/>
    <w:rsid w:val="00E667A0"/>
    <w:rsid w:val="00E66874"/>
    <w:rsid w:val="00E669DF"/>
    <w:rsid w:val="00E670AF"/>
    <w:rsid w:val="00E6721F"/>
    <w:rsid w:val="00E67632"/>
    <w:rsid w:val="00E676C8"/>
    <w:rsid w:val="00E6774B"/>
    <w:rsid w:val="00E6775C"/>
    <w:rsid w:val="00E6783C"/>
    <w:rsid w:val="00E6786A"/>
    <w:rsid w:val="00E67BB3"/>
    <w:rsid w:val="00E67D86"/>
    <w:rsid w:val="00E70294"/>
    <w:rsid w:val="00E7040F"/>
    <w:rsid w:val="00E70439"/>
    <w:rsid w:val="00E70508"/>
    <w:rsid w:val="00E70621"/>
    <w:rsid w:val="00E7062A"/>
    <w:rsid w:val="00E7081F"/>
    <w:rsid w:val="00E70901"/>
    <w:rsid w:val="00E70A0A"/>
    <w:rsid w:val="00E70C35"/>
    <w:rsid w:val="00E70C9B"/>
    <w:rsid w:val="00E70F51"/>
    <w:rsid w:val="00E71107"/>
    <w:rsid w:val="00E7115F"/>
    <w:rsid w:val="00E711CD"/>
    <w:rsid w:val="00E71237"/>
    <w:rsid w:val="00E7154D"/>
    <w:rsid w:val="00E71601"/>
    <w:rsid w:val="00E716D1"/>
    <w:rsid w:val="00E71766"/>
    <w:rsid w:val="00E7195B"/>
    <w:rsid w:val="00E71C0E"/>
    <w:rsid w:val="00E71D1C"/>
    <w:rsid w:val="00E71EA2"/>
    <w:rsid w:val="00E71F99"/>
    <w:rsid w:val="00E722C2"/>
    <w:rsid w:val="00E7240F"/>
    <w:rsid w:val="00E7259F"/>
    <w:rsid w:val="00E7269B"/>
    <w:rsid w:val="00E728CE"/>
    <w:rsid w:val="00E72A6B"/>
    <w:rsid w:val="00E731DF"/>
    <w:rsid w:val="00E735B9"/>
    <w:rsid w:val="00E73891"/>
    <w:rsid w:val="00E7398A"/>
    <w:rsid w:val="00E74270"/>
    <w:rsid w:val="00E74490"/>
    <w:rsid w:val="00E744F6"/>
    <w:rsid w:val="00E745EE"/>
    <w:rsid w:val="00E74C5C"/>
    <w:rsid w:val="00E74D13"/>
    <w:rsid w:val="00E74FCD"/>
    <w:rsid w:val="00E75070"/>
    <w:rsid w:val="00E750AB"/>
    <w:rsid w:val="00E75269"/>
    <w:rsid w:val="00E755E0"/>
    <w:rsid w:val="00E75713"/>
    <w:rsid w:val="00E759EE"/>
    <w:rsid w:val="00E75CF2"/>
    <w:rsid w:val="00E7639F"/>
    <w:rsid w:val="00E7663E"/>
    <w:rsid w:val="00E76B0D"/>
    <w:rsid w:val="00E76BBE"/>
    <w:rsid w:val="00E772A4"/>
    <w:rsid w:val="00E77C87"/>
    <w:rsid w:val="00E80083"/>
    <w:rsid w:val="00E80599"/>
    <w:rsid w:val="00E8064F"/>
    <w:rsid w:val="00E80A57"/>
    <w:rsid w:val="00E80A80"/>
    <w:rsid w:val="00E810D8"/>
    <w:rsid w:val="00E81223"/>
    <w:rsid w:val="00E81256"/>
    <w:rsid w:val="00E81328"/>
    <w:rsid w:val="00E81406"/>
    <w:rsid w:val="00E81707"/>
    <w:rsid w:val="00E8184F"/>
    <w:rsid w:val="00E819F0"/>
    <w:rsid w:val="00E819FE"/>
    <w:rsid w:val="00E81CA6"/>
    <w:rsid w:val="00E81DD1"/>
    <w:rsid w:val="00E81F94"/>
    <w:rsid w:val="00E82094"/>
    <w:rsid w:val="00E829FB"/>
    <w:rsid w:val="00E82A8D"/>
    <w:rsid w:val="00E82BFE"/>
    <w:rsid w:val="00E82D5F"/>
    <w:rsid w:val="00E82E0D"/>
    <w:rsid w:val="00E82F76"/>
    <w:rsid w:val="00E83402"/>
    <w:rsid w:val="00E8352F"/>
    <w:rsid w:val="00E836CC"/>
    <w:rsid w:val="00E83814"/>
    <w:rsid w:val="00E84423"/>
    <w:rsid w:val="00E84496"/>
    <w:rsid w:val="00E845A7"/>
    <w:rsid w:val="00E8473D"/>
    <w:rsid w:val="00E84BB6"/>
    <w:rsid w:val="00E84CC8"/>
    <w:rsid w:val="00E84CD0"/>
    <w:rsid w:val="00E84F42"/>
    <w:rsid w:val="00E8504C"/>
    <w:rsid w:val="00E85071"/>
    <w:rsid w:val="00E8533B"/>
    <w:rsid w:val="00E85745"/>
    <w:rsid w:val="00E85783"/>
    <w:rsid w:val="00E85B7E"/>
    <w:rsid w:val="00E85F16"/>
    <w:rsid w:val="00E8662A"/>
    <w:rsid w:val="00E867DB"/>
    <w:rsid w:val="00E867FA"/>
    <w:rsid w:val="00E8688C"/>
    <w:rsid w:val="00E86914"/>
    <w:rsid w:val="00E8699D"/>
    <w:rsid w:val="00E86A78"/>
    <w:rsid w:val="00E86B3D"/>
    <w:rsid w:val="00E86E51"/>
    <w:rsid w:val="00E873F7"/>
    <w:rsid w:val="00E8749B"/>
    <w:rsid w:val="00E876BB"/>
    <w:rsid w:val="00E87855"/>
    <w:rsid w:val="00E878C7"/>
    <w:rsid w:val="00E87A0A"/>
    <w:rsid w:val="00E87B20"/>
    <w:rsid w:val="00E87B39"/>
    <w:rsid w:val="00E90029"/>
    <w:rsid w:val="00E9007E"/>
    <w:rsid w:val="00E90135"/>
    <w:rsid w:val="00E90226"/>
    <w:rsid w:val="00E90264"/>
    <w:rsid w:val="00E903A4"/>
    <w:rsid w:val="00E9058E"/>
    <w:rsid w:val="00E9065E"/>
    <w:rsid w:val="00E90787"/>
    <w:rsid w:val="00E90A11"/>
    <w:rsid w:val="00E90A26"/>
    <w:rsid w:val="00E90A6D"/>
    <w:rsid w:val="00E90C26"/>
    <w:rsid w:val="00E90F33"/>
    <w:rsid w:val="00E91035"/>
    <w:rsid w:val="00E91194"/>
    <w:rsid w:val="00E9119F"/>
    <w:rsid w:val="00E911A7"/>
    <w:rsid w:val="00E914DC"/>
    <w:rsid w:val="00E915A2"/>
    <w:rsid w:val="00E91942"/>
    <w:rsid w:val="00E91E4E"/>
    <w:rsid w:val="00E92231"/>
    <w:rsid w:val="00E923BD"/>
    <w:rsid w:val="00E923C6"/>
    <w:rsid w:val="00E92482"/>
    <w:rsid w:val="00E9249E"/>
    <w:rsid w:val="00E927FC"/>
    <w:rsid w:val="00E92875"/>
    <w:rsid w:val="00E928C7"/>
    <w:rsid w:val="00E92BE1"/>
    <w:rsid w:val="00E931BB"/>
    <w:rsid w:val="00E931D9"/>
    <w:rsid w:val="00E934B4"/>
    <w:rsid w:val="00E93757"/>
    <w:rsid w:val="00E93829"/>
    <w:rsid w:val="00E93AF0"/>
    <w:rsid w:val="00E93B57"/>
    <w:rsid w:val="00E93C12"/>
    <w:rsid w:val="00E93DCB"/>
    <w:rsid w:val="00E93E3F"/>
    <w:rsid w:val="00E93FB1"/>
    <w:rsid w:val="00E940C5"/>
    <w:rsid w:val="00E944DD"/>
    <w:rsid w:val="00E948BA"/>
    <w:rsid w:val="00E94A88"/>
    <w:rsid w:val="00E94E96"/>
    <w:rsid w:val="00E94F1C"/>
    <w:rsid w:val="00E94FC5"/>
    <w:rsid w:val="00E95155"/>
    <w:rsid w:val="00E95358"/>
    <w:rsid w:val="00E95452"/>
    <w:rsid w:val="00E95457"/>
    <w:rsid w:val="00E954A7"/>
    <w:rsid w:val="00E955CC"/>
    <w:rsid w:val="00E9572B"/>
    <w:rsid w:val="00E95867"/>
    <w:rsid w:val="00E9587D"/>
    <w:rsid w:val="00E96205"/>
    <w:rsid w:val="00E96255"/>
    <w:rsid w:val="00E962D5"/>
    <w:rsid w:val="00E9642C"/>
    <w:rsid w:val="00E96676"/>
    <w:rsid w:val="00E96872"/>
    <w:rsid w:val="00E969FF"/>
    <w:rsid w:val="00E96C80"/>
    <w:rsid w:val="00E96F62"/>
    <w:rsid w:val="00E971A8"/>
    <w:rsid w:val="00E97273"/>
    <w:rsid w:val="00E97284"/>
    <w:rsid w:val="00E97396"/>
    <w:rsid w:val="00E97817"/>
    <w:rsid w:val="00E97834"/>
    <w:rsid w:val="00E9794D"/>
    <w:rsid w:val="00E979B7"/>
    <w:rsid w:val="00E97B93"/>
    <w:rsid w:val="00E97D0E"/>
    <w:rsid w:val="00E97D75"/>
    <w:rsid w:val="00E97E9E"/>
    <w:rsid w:val="00EA0176"/>
    <w:rsid w:val="00EA05A4"/>
    <w:rsid w:val="00EA0B0D"/>
    <w:rsid w:val="00EA0E04"/>
    <w:rsid w:val="00EA0E29"/>
    <w:rsid w:val="00EA1422"/>
    <w:rsid w:val="00EA1ACE"/>
    <w:rsid w:val="00EA2053"/>
    <w:rsid w:val="00EA2389"/>
    <w:rsid w:val="00EA2748"/>
    <w:rsid w:val="00EA2D4C"/>
    <w:rsid w:val="00EA2DAA"/>
    <w:rsid w:val="00EA3021"/>
    <w:rsid w:val="00EA30E0"/>
    <w:rsid w:val="00EA32C9"/>
    <w:rsid w:val="00EA3421"/>
    <w:rsid w:val="00EA353C"/>
    <w:rsid w:val="00EA3A42"/>
    <w:rsid w:val="00EA3B89"/>
    <w:rsid w:val="00EA3E61"/>
    <w:rsid w:val="00EA4161"/>
    <w:rsid w:val="00EA41DE"/>
    <w:rsid w:val="00EA454B"/>
    <w:rsid w:val="00EA4605"/>
    <w:rsid w:val="00EA4619"/>
    <w:rsid w:val="00EA4A1C"/>
    <w:rsid w:val="00EA4C64"/>
    <w:rsid w:val="00EA581B"/>
    <w:rsid w:val="00EA5BC0"/>
    <w:rsid w:val="00EA5C9D"/>
    <w:rsid w:val="00EA5F09"/>
    <w:rsid w:val="00EA5FCB"/>
    <w:rsid w:val="00EA6568"/>
    <w:rsid w:val="00EA6646"/>
    <w:rsid w:val="00EA67E7"/>
    <w:rsid w:val="00EA6851"/>
    <w:rsid w:val="00EA6D6B"/>
    <w:rsid w:val="00EA6DDE"/>
    <w:rsid w:val="00EA73D7"/>
    <w:rsid w:val="00EA7452"/>
    <w:rsid w:val="00EA7705"/>
    <w:rsid w:val="00EA7757"/>
    <w:rsid w:val="00EA7960"/>
    <w:rsid w:val="00EB058D"/>
    <w:rsid w:val="00EB072A"/>
    <w:rsid w:val="00EB0967"/>
    <w:rsid w:val="00EB0DCE"/>
    <w:rsid w:val="00EB0F66"/>
    <w:rsid w:val="00EB123D"/>
    <w:rsid w:val="00EB148E"/>
    <w:rsid w:val="00EB1620"/>
    <w:rsid w:val="00EB1ECB"/>
    <w:rsid w:val="00EB1F1A"/>
    <w:rsid w:val="00EB211F"/>
    <w:rsid w:val="00EB2411"/>
    <w:rsid w:val="00EB2770"/>
    <w:rsid w:val="00EB28A6"/>
    <w:rsid w:val="00EB2C64"/>
    <w:rsid w:val="00EB31FF"/>
    <w:rsid w:val="00EB330E"/>
    <w:rsid w:val="00EB33A9"/>
    <w:rsid w:val="00EB33F9"/>
    <w:rsid w:val="00EB33FD"/>
    <w:rsid w:val="00EB341C"/>
    <w:rsid w:val="00EB344E"/>
    <w:rsid w:val="00EB34E2"/>
    <w:rsid w:val="00EB36B7"/>
    <w:rsid w:val="00EB3C28"/>
    <w:rsid w:val="00EB3C29"/>
    <w:rsid w:val="00EB3DF8"/>
    <w:rsid w:val="00EB3F69"/>
    <w:rsid w:val="00EB40A2"/>
    <w:rsid w:val="00EB4283"/>
    <w:rsid w:val="00EB4780"/>
    <w:rsid w:val="00EB47DE"/>
    <w:rsid w:val="00EB4AED"/>
    <w:rsid w:val="00EB4B96"/>
    <w:rsid w:val="00EB4C1A"/>
    <w:rsid w:val="00EB4D3B"/>
    <w:rsid w:val="00EB4E60"/>
    <w:rsid w:val="00EB52A6"/>
    <w:rsid w:val="00EB559A"/>
    <w:rsid w:val="00EB5D6E"/>
    <w:rsid w:val="00EB5F71"/>
    <w:rsid w:val="00EB601B"/>
    <w:rsid w:val="00EB626B"/>
    <w:rsid w:val="00EB6722"/>
    <w:rsid w:val="00EB672D"/>
    <w:rsid w:val="00EB6A1B"/>
    <w:rsid w:val="00EB6FDC"/>
    <w:rsid w:val="00EB6FFB"/>
    <w:rsid w:val="00EB7204"/>
    <w:rsid w:val="00EB75E7"/>
    <w:rsid w:val="00EB7A15"/>
    <w:rsid w:val="00EB7B42"/>
    <w:rsid w:val="00EB7D12"/>
    <w:rsid w:val="00EB7DBA"/>
    <w:rsid w:val="00EB7DD7"/>
    <w:rsid w:val="00EC02BC"/>
    <w:rsid w:val="00EC0499"/>
    <w:rsid w:val="00EC04AA"/>
    <w:rsid w:val="00EC0606"/>
    <w:rsid w:val="00EC0791"/>
    <w:rsid w:val="00EC09D2"/>
    <w:rsid w:val="00EC0C15"/>
    <w:rsid w:val="00EC0D5E"/>
    <w:rsid w:val="00EC0D9D"/>
    <w:rsid w:val="00EC0DC4"/>
    <w:rsid w:val="00EC0EF6"/>
    <w:rsid w:val="00EC0F62"/>
    <w:rsid w:val="00EC1228"/>
    <w:rsid w:val="00EC12F5"/>
    <w:rsid w:val="00EC1526"/>
    <w:rsid w:val="00EC1639"/>
    <w:rsid w:val="00EC1D21"/>
    <w:rsid w:val="00EC1DB8"/>
    <w:rsid w:val="00EC238B"/>
    <w:rsid w:val="00EC2836"/>
    <w:rsid w:val="00EC28F3"/>
    <w:rsid w:val="00EC2996"/>
    <w:rsid w:val="00EC2ACA"/>
    <w:rsid w:val="00EC2D52"/>
    <w:rsid w:val="00EC2D8D"/>
    <w:rsid w:val="00EC2F92"/>
    <w:rsid w:val="00EC327D"/>
    <w:rsid w:val="00EC33E2"/>
    <w:rsid w:val="00EC38C7"/>
    <w:rsid w:val="00EC3956"/>
    <w:rsid w:val="00EC3A9E"/>
    <w:rsid w:val="00EC3BC2"/>
    <w:rsid w:val="00EC3EE5"/>
    <w:rsid w:val="00EC3F39"/>
    <w:rsid w:val="00EC3F4A"/>
    <w:rsid w:val="00EC40E6"/>
    <w:rsid w:val="00EC4352"/>
    <w:rsid w:val="00EC4605"/>
    <w:rsid w:val="00EC4779"/>
    <w:rsid w:val="00EC4806"/>
    <w:rsid w:val="00EC4B05"/>
    <w:rsid w:val="00EC4D82"/>
    <w:rsid w:val="00EC4EE4"/>
    <w:rsid w:val="00EC50BB"/>
    <w:rsid w:val="00EC54F9"/>
    <w:rsid w:val="00EC55D3"/>
    <w:rsid w:val="00EC59BA"/>
    <w:rsid w:val="00EC5A32"/>
    <w:rsid w:val="00EC5C86"/>
    <w:rsid w:val="00EC5DAF"/>
    <w:rsid w:val="00EC5E71"/>
    <w:rsid w:val="00EC5EE1"/>
    <w:rsid w:val="00EC5FF9"/>
    <w:rsid w:val="00EC64CD"/>
    <w:rsid w:val="00EC6534"/>
    <w:rsid w:val="00EC666C"/>
    <w:rsid w:val="00EC670B"/>
    <w:rsid w:val="00EC6786"/>
    <w:rsid w:val="00EC6CB1"/>
    <w:rsid w:val="00EC7079"/>
    <w:rsid w:val="00EC72C0"/>
    <w:rsid w:val="00EC74D6"/>
    <w:rsid w:val="00EC76A6"/>
    <w:rsid w:val="00EC76AB"/>
    <w:rsid w:val="00EC7B00"/>
    <w:rsid w:val="00EC7D12"/>
    <w:rsid w:val="00EC7E15"/>
    <w:rsid w:val="00EC7E29"/>
    <w:rsid w:val="00EC7FB5"/>
    <w:rsid w:val="00ED03D2"/>
    <w:rsid w:val="00ED03DF"/>
    <w:rsid w:val="00ED04F4"/>
    <w:rsid w:val="00ED05D1"/>
    <w:rsid w:val="00ED064F"/>
    <w:rsid w:val="00ED06DA"/>
    <w:rsid w:val="00ED0B09"/>
    <w:rsid w:val="00ED0B81"/>
    <w:rsid w:val="00ED0C1E"/>
    <w:rsid w:val="00ED0D3B"/>
    <w:rsid w:val="00ED1201"/>
    <w:rsid w:val="00ED148A"/>
    <w:rsid w:val="00ED15EB"/>
    <w:rsid w:val="00ED1664"/>
    <w:rsid w:val="00ED17E1"/>
    <w:rsid w:val="00ED185A"/>
    <w:rsid w:val="00ED18AF"/>
    <w:rsid w:val="00ED18FD"/>
    <w:rsid w:val="00ED19A6"/>
    <w:rsid w:val="00ED19E7"/>
    <w:rsid w:val="00ED1D68"/>
    <w:rsid w:val="00ED1F32"/>
    <w:rsid w:val="00ED2030"/>
    <w:rsid w:val="00ED20A1"/>
    <w:rsid w:val="00ED2195"/>
    <w:rsid w:val="00ED21ED"/>
    <w:rsid w:val="00ED2282"/>
    <w:rsid w:val="00ED2363"/>
    <w:rsid w:val="00ED2692"/>
    <w:rsid w:val="00ED26C0"/>
    <w:rsid w:val="00ED27DD"/>
    <w:rsid w:val="00ED2890"/>
    <w:rsid w:val="00ED2924"/>
    <w:rsid w:val="00ED2AD2"/>
    <w:rsid w:val="00ED2B37"/>
    <w:rsid w:val="00ED30D7"/>
    <w:rsid w:val="00ED348B"/>
    <w:rsid w:val="00ED386C"/>
    <w:rsid w:val="00ED386E"/>
    <w:rsid w:val="00ED3C38"/>
    <w:rsid w:val="00ED3CD9"/>
    <w:rsid w:val="00ED3E44"/>
    <w:rsid w:val="00ED466A"/>
    <w:rsid w:val="00ED4F70"/>
    <w:rsid w:val="00ED5068"/>
    <w:rsid w:val="00ED53FE"/>
    <w:rsid w:val="00ED5950"/>
    <w:rsid w:val="00ED59C3"/>
    <w:rsid w:val="00ED5C07"/>
    <w:rsid w:val="00ED5D02"/>
    <w:rsid w:val="00ED5F69"/>
    <w:rsid w:val="00ED5FAD"/>
    <w:rsid w:val="00ED612C"/>
    <w:rsid w:val="00ED672C"/>
    <w:rsid w:val="00ED67C0"/>
    <w:rsid w:val="00ED681A"/>
    <w:rsid w:val="00ED68B8"/>
    <w:rsid w:val="00ED6960"/>
    <w:rsid w:val="00ED6B2D"/>
    <w:rsid w:val="00ED775C"/>
    <w:rsid w:val="00ED7898"/>
    <w:rsid w:val="00ED7927"/>
    <w:rsid w:val="00EE0010"/>
    <w:rsid w:val="00EE00F2"/>
    <w:rsid w:val="00EE0481"/>
    <w:rsid w:val="00EE0611"/>
    <w:rsid w:val="00EE09BF"/>
    <w:rsid w:val="00EE0FCC"/>
    <w:rsid w:val="00EE101D"/>
    <w:rsid w:val="00EE10FC"/>
    <w:rsid w:val="00EE1138"/>
    <w:rsid w:val="00EE1173"/>
    <w:rsid w:val="00EE12A5"/>
    <w:rsid w:val="00EE1307"/>
    <w:rsid w:val="00EE1383"/>
    <w:rsid w:val="00EE1478"/>
    <w:rsid w:val="00EE1AA2"/>
    <w:rsid w:val="00EE1AB7"/>
    <w:rsid w:val="00EE1BBB"/>
    <w:rsid w:val="00EE1D8D"/>
    <w:rsid w:val="00EE1F46"/>
    <w:rsid w:val="00EE2020"/>
    <w:rsid w:val="00EE20F3"/>
    <w:rsid w:val="00EE22AD"/>
    <w:rsid w:val="00EE2370"/>
    <w:rsid w:val="00EE24E9"/>
    <w:rsid w:val="00EE2B20"/>
    <w:rsid w:val="00EE2CBA"/>
    <w:rsid w:val="00EE2CF6"/>
    <w:rsid w:val="00EE2DF0"/>
    <w:rsid w:val="00EE2FAE"/>
    <w:rsid w:val="00EE30D6"/>
    <w:rsid w:val="00EE3216"/>
    <w:rsid w:val="00EE3335"/>
    <w:rsid w:val="00EE339D"/>
    <w:rsid w:val="00EE33C9"/>
    <w:rsid w:val="00EE3882"/>
    <w:rsid w:val="00EE3C12"/>
    <w:rsid w:val="00EE3C76"/>
    <w:rsid w:val="00EE3D00"/>
    <w:rsid w:val="00EE3E34"/>
    <w:rsid w:val="00EE41E5"/>
    <w:rsid w:val="00EE4206"/>
    <w:rsid w:val="00EE44AA"/>
    <w:rsid w:val="00EE468B"/>
    <w:rsid w:val="00EE4879"/>
    <w:rsid w:val="00EE49F0"/>
    <w:rsid w:val="00EE4E02"/>
    <w:rsid w:val="00EE51D3"/>
    <w:rsid w:val="00EE5236"/>
    <w:rsid w:val="00EE5361"/>
    <w:rsid w:val="00EE53DC"/>
    <w:rsid w:val="00EE5638"/>
    <w:rsid w:val="00EE5857"/>
    <w:rsid w:val="00EE5BC0"/>
    <w:rsid w:val="00EE5E5C"/>
    <w:rsid w:val="00EE5FEB"/>
    <w:rsid w:val="00EE5FFF"/>
    <w:rsid w:val="00EE6015"/>
    <w:rsid w:val="00EE6468"/>
    <w:rsid w:val="00EE67B8"/>
    <w:rsid w:val="00EE68A2"/>
    <w:rsid w:val="00EE6954"/>
    <w:rsid w:val="00EE69BD"/>
    <w:rsid w:val="00EE6B71"/>
    <w:rsid w:val="00EE700A"/>
    <w:rsid w:val="00EE7034"/>
    <w:rsid w:val="00EE72E1"/>
    <w:rsid w:val="00EE7307"/>
    <w:rsid w:val="00EE74B5"/>
    <w:rsid w:val="00EE74D1"/>
    <w:rsid w:val="00EE75AF"/>
    <w:rsid w:val="00EE7664"/>
    <w:rsid w:val="00EE7722"/>
    <w:rsid w:val="00EE7B1B"/>
    <w:rsid w:val="00EE7C4D"/>
    <w:rsid w:val="00EE7DF5"/>
    <w:rsid w:val="00EE7E1F"/>
    <w:rsid w:val="00EE7E74"/>
    <w:rsid w:val="00EF012F"/>
    <w:rsid w:val="00EF0547"/>
    <w:rsid w:val="00EF0740"/>
    <w:rsid w:val="00EF07B9"/>
    <w:rsid w:val="00EF0C83"/>
    <w:rsid w:val="00EF0D6E"/>
    <w:rsid w:val="00EF0E0D"/>
    <w:rsid w:val="00EF0EE7"/>
    <w:rsid w:val="00EF117E"/>
    <w:rsid w:val="00EF1422"/>
    <w:rsid w:val="00EF1718"/>
    <w:rsid w:val="00EF1748"/>
    <w:rsid w:val="00EF17E3"/>
    <w:rsid w:val="00EF1B09"/>
    <w:rsid w:val="00EF1B27"/>
    <w:rsid w:val="00EF1E89"/>
    <w:rsid w:val="00EF1FA2"/>
    <w:rsid w:val="00EF2313"/>
    <w:rsid w:val="00EF238C"/>
    <w:rsid w:val="00EF288C"/>
    <w:rsid w:val="00EF29FD"/>
    <w:rsid w:val="00EF2B40"/>
    <w:rsid w:val="00EF2B93"/>
    <w:rsid w:val="00EF2CE0"/>
    <w:rsid w:val="00EF2F5C"/>
    <w:rsid w:val="00EF3173"/>
    <w:rsid w:val="00EF351B"/>
    <w:rsid w:val="00EF3798"/>
    <w:rsid w:val="00EF39D2"/>
    <w:rsid w:val="00EF39EA"/>
    <w:rsid w:val="00EF4352"/>
    <w:rsid w:val="00EF43E2"/>
    <w:rsid w:val="00EF45A4"/>
    <w:rsid w:val="00EF4682"/>
    <w:rsid w:val="00EF46C3"/>
    <w:rsid w:val="00EF46E6"/>
    <w:rsid w:val="00EF4A8F"/>
    <w:rsid w:val="00EF4FBF"/>
    <w:rsid w:val="00EF5179"/>
    <w:rsid w:val="00EF51F8"/>
    <w:rsid w:val="00EF5785"/>
    <w:rsid w:val="00EF591E"/>
    <w:rsid w:val="00EF5E5B"/>
    <w:rsid w:val="00EF5E80"/>
    <w:rsid w:val="00EF61AF"/>
    <w:rsid w:val="00EF61E5"/>
    <w:rsid w:val="00EF637F"/>
    <w:rsid w:val="00EF63DA"/>
    <w:rsid w:val="00EF64AD"/>
    <w:rsid w:val="00EF6AD5"/>
    <w:rsid w:val="00EF6DA1"/>
    <w:rsid w:val="00EF6E3A"/>
    <w:rsid w:val="00EF6F68"/>
    <w:rsid w:val="00EF7007"/>
    <w:rsid w:val="00EF70F7"/>
    <w:rsid w:val="00EF7401"/>
    <w:rsid w:val="00EF78AA"/>
    <w:rsid w:val="00EF7923"/>
    <w:rsid w:val="00EF7C03"/>
    <w:rsid w:val="00EF7E36"/>
    <w:rsid w:val="00EF7F24"/>
    <w:rsid w:val="00F001B8"/>
    <w:rsid w:val="00F0051E"/>
    <w:rsid w:val="00F00587"/>
    <w:rsid w:val="00F005FF"/>
    <w:rsid w:val="00F0068B"/>
    <w:rsid w:val="00F007EE"/>
    <w:rsid w:val="00F009F3"/>
    <w:rsid w:val="00F00D63"/>
    <w:rsid w:val="00F00D84"/>
    <w:rsid w:val="00F00DE2"/>
    <w:rsid w:val="00F010FB"/>
    <w:rsid w:val="00F012CC"/>
    <w:rsid w:val="00F015C6"/>
    <w:rsid w:val="00F01950"/>
    <w:rsid w:val="00F01ABA"/>
    <w:rsid w:val="00F01C67"/>
    <w:rsid w:val="00F01DCE"/>
    <w:rsid w:val="00F0271B"/>
    <w:rsid w:val="00F030A6"/>
    <w:rsid w:val="00F03664"/>
    <w:rsid w:val="00F03E5F"/>
    <w:rsid w:val="00F040C8"/>
    <w:rsid w:val="00F04130"/>
    <w:rsid w:val="00F04421"/>
    <w:rsid w:val="00F04694"/>
    <w:rsid w:val="00F047D6"/>
    <w:rsid w:val="00F04951"/>
    <w:rsid w:val="00F04CD0"/>
    <w:rsid w:val="00F04E9D"/>
    <w:rsid w:val="00F0560E"/>
    <w:rsid w:val="00F057E6"/>
    <w:rsid w:val="00F058C8"/>
    <w:rsid w:val="00F05A3F"/>
    <w:rsid w:val="00F05CF9"/>
    <w:rsid w:val="00F05D1F"/>
    <w:rsid w:val="00F05D6C"/>
    <w:rsid w:val="00F05D9A"/>
    <w:rsid w:val="00F05ECA"/>
    <w:rsid w:val="00F0600A"/>
    <w:rsid w:val="00F063A1"/>
    <w:rsid w:val="00F064D2"/>
    <w:rsid w:val="00F06642"/>
    <w:rsid w:val="00F067C2"/>
    <w:rsid w:val="00F06924"/>
    <w:rsid w:val="00F06B2F"/>
    <w:rsid w:val="00F06C5F"/>
    <w:rsid w:val="00F06D32"/>
    <w:rsid w:val="00F06E9F"/>
    <w:rsid w:val="00F06F35"/>
    <w:rsid w:val="00F070CD"/>
    <w:rsid w:val="00F071B3"/>
    <w:rsid w:val="00F07712"/>
    <w:rsid w:val="00F0774C"/>
    <w:rsid w:val="00F079DA"/>
    <w:rsid w:val="00F07F65"/>
    <w:rsid w:val="00F07FE9"/>
    <w:rsid w:val="00F101DD"/>
    <w:rsid w:val="00F1088F"/>
    <w:rsid w:val="00F10B86"/>
    <w:rsid w:val="00F10D2B"/>
    <w:rsid w:val="00F10E07"/>
    <w:rsid w:val="00F110C6"/>
    <w:rsid w:val="00F110E8"/>
    <w:rsid w:val="00F112A4"/>
    <w:rsid w:val="00F117D2"/>
    <w:rsid w:val="00F1198E"/>
    <w:rsid w:val="00F11BBA"/>
    <w:rsid w:val="00F11C73"/>
    <w:rsid w:val="00F11CBC"/>
    <w:rsid w:val="00F11CE1"/>
    <w:rsid w:val="00F11F17"/>
    <w:rsid w:val="00F11F34"/>
    <w:rsid w:val="00F120AF"/>
    <w:rsid w:val="00F12543"/>
    <w:rsid w:val="00F1270B"/>
    <w:rsid w:val="00F1282C"/>
    <w:rsid w:val="00F12AD2"/>
    <w:rsid w:val="00F12B6C"/>
    <w:rsid w:val="00F12BAD"/>
    <w:rsid w:val="00F12DD6"/>
    <w:rsid w:val="00F1316A"/>
    <w:rsid w:val="00F131FC"/>
    <w:rsid w:val="00F13460"/>
    <w:rsid w:val="00F1391E"/>
    <w:rsid w:val="00F140E4"/>
    <w:rsid w:val="00F142BF"/>
    <w:rsid w:val="00F142FC"/>
    <w:rsid w:val="00F14344"/>
    <w:rsid w:val="00F144C7"/>
    <w:rsid w:val="00F14676"/>
    <w:rsid w:val="00F1479A"/>
    <w:rsid w:val="00F14A93"/>
    <w:rsid w:val="00F14C59"/>
    <w:rsid w:val="00F14CB2"/>
    <w:rsid w:val="00F14CB5"/>
    <w:rsid w:val="00F14F31"/>
    <w:rsid w:val="00F15035"/>
    <w:rsid w:val="00F15169"/>
    <w:rsid w:val="00F1591E"/>
    <w:rsid w:val="00F15C89"/>
    <w:rsid w:val="00F15DDB"/>
    <w:rsid w:val="00F15E4B"/>
    <w:rsid w:val="00F15FB8"/>
    <w:rsid w:val="00F15FED"/>
    <w:rsid w:val="00F161B3"/>
    <w:rsid w:val="00F161E3"/>
    <w:rsid w:val="00F16396"/>
    <w:rsid w:val="00F16428"/>
    <w:rsid w:val="00F16553"/>
    <w:rsid w:val="00F16740"/>
    <w:rsid w:val="00F168A5"/>
    <w:rsid w:val="00F169BE"/>
    <w:rsid w:val="00F16A64"/>
    <w:rsid w:val="00F17001"/>
    <w:rsid w:val="00F172DE"/>
    <w:rsid w:val="00F173FB"/>
    <w:rsid w:val="00F17B7C"/>
    <w:rsid w:val="00F2018A"/>
    <w:rsid w:val="00F202A1"/>
    <w:rsid w:val="00F20623"/>
    <w:rsid w:val="00F206BD"/>
    <w:rsid w:val="00F206E4"/>
    <w:rsid w:val="00F20751"/>
    <w:rsid w:val="00F20958"/>
    <w:rsid w:val="00F20ADA"/>
    <w:rsid w:val="00F20B43"/>
    <w:rsid w:val="00F20CB6"/>
    <w:rsid w:val="00F210A3"/>
    <w:rsid w:val="00F211F5"/>
    <w:rsid w:val="00F2134B"/>
    <w:rsid w:val="00F21378"/>
    <w:rsid w:val="00F213F1"/>
    <w:rsid w:val="00F219A4"/>
    <w:rsid w:val="00F21D99"/>
    <w:rsid w:val="00F22189"/>
    <w:rsid w:val="00F2236D"/>
    <w:rsid w:val="00F22371"/>
    <w:rsid w:val="00F22788"/>
    <w:rsid w:val="00F22DA8"/>
    <w:rsid w:val="00F22E13"/>
    <w:rsid w:val="00F22FA5"/>
    <w:rsid w:val="00F232AF"/>
    <w:rsid w:val="00F23402"/>
    <w:rsid w:val="00F23580"/>
    <w:rsid w:val="00F237C8"/>
    <w:rsid w:val="00F239B8"/>
    <w:rsid w:val="00F23AE9"/>
    <w:rsid w:val="00F23B26"/>
    <w:rsid w:val="00F23C6F"/>
    <w:rsid w:val="00F23C7A"/>
    <w:rsid w:val="00F24067"/>
    <w:rsid w:val="00F2428D"/>
    <w:rsid w:val="00F24404"/>
    <w:rsid w:val="00F2457C"/>
    <w:rsid w:val="00F24955"/>
    <w:rsid w:val="00F249BD"/>
    <w:rsid w:val="00F24C93"/>
    <w:rsid w:val="00F2533B"/>
    <w:rsid w:val="00F253FD"/>
    <w:rsid w:val="00F2544E"/>
    <w:rsid w:val="00F25491"/>
    <w:rsid w:val="00F259B5"/>
    <w:rsid w:val="00F25BB0"/>
    <w:rsid w:val="00F25C35"/>
    <w:rsid w:val="00F260AD"/>
    <w:rsid w:val="00F2635E"/>
    <w:rsid w:val="00F2695C"/>
    <w:rsid w:val="00F26CD9"/>
    <w:rsid w:val="00F2718E"/>
    <w:rsid w:val="00F271BD"/>
    <w:rsid w:val="00F272E1"/>
    <w:rsid w:val="00F27608"/>
    <w:rsid w:val="00F27610"/>
    <w:rsid w:val="00F2765D"/>
    <w:rsid w:val="00F276E4"/>
    <w:rsid w:val="00F27839"/>
    <w:rsid w:val="00F27968"/>
    <w:rsid w:val="00F27DA9"/>
    <w:rsid w:val="00F27E75"/>
    <w:rsid w:val="00F301B8"/>
    <w:rsid w:val="00F30595"/>
    <w:rsid w:val="00F30898"/>
    <w:rsid w:val="00F308B8"/>
    <w:rsid w:val="00F30A1D"/>
    <w:rsid w:val="00F30C0A"/>
    <w:rsid w:val="00F310F9"/>
    <w:rsid w:val="00F315BD"/>
    <w:rsid w:val="00F31704"/>
    <w:rsid w:val="00F318B5"/>
    <w:rsid w:val="00F31B64"/>
    <w:rsid w:val="00F31CA0"/>
    <w:rsid w:val="00F31DB5"/>
    <w:rsid w:val="00F322C4"/>
    <w:rsid w:val="00F32538"/>
    <w:rsid w:val="00F32828"/>
    <w:rsid w:val="00F32A66"/>
    <w:rsid w:val="00F32B45"/>
    <w:rsid w:val="00F32EB4"/>
    <w:rsid w:val="00F32F18"/>
    <w:rsid w:val="00F32FD8"/>
    <w:rsid w:val="00F3308C"/>
    <w:rsid w:val="00F33110"/>
    <w:rsid w:val="00F331A7"/>
    <w:rsid w:val="00F333E4"/>
    <w:rsid w:val="00F33AA1"/>
    <w:rsid w:val="00F33AEB"/>
    <w:rsid w:val="00F33AEF"/>
    <w:rsid w:val="00F33D31"/>
    <w:rsid w:val="00F33EBB"/>
    <w:rsid w:val="00F33F22"/>
    <w:rsid w:val="00F34263"/>
    <w:rsid w:val="00F3444A"/>
    <w:rsid w:val="00F349AD"/>
    <w:rsid w:val="00F34CBB"/>
    <w:rsid w:val="00F34E47"/>
    <w:rsid w:val="00F34F51"/>
    <w:rsid w:val="00F350A9"/>
    <w:rsid w:val="00F358EF"/>
    <w:rsid w:val="00F359E6"/>
    <w:rsid w:val="00F35B36"/>
    <w:rsid w:val="00F35D8C"/>
    <w:rsid w:val="00F3609E"/>
    <w:rsid w:val="00F362E8"/>
    <w:rsid w:val="00F3635E"/>
    <w:rsid w:val="00F363F8"/>
    <w:rsid w:val="00F364B1"/>
    <w:rsid w:val="00F368D0"/>
    <w:rsid w:val="00F36B04"/>
    <w:rsid w:val="00F36BF9"/>
    <w:rsid w:val="00F36FCB"/>
    <w:rsid w:val="00F37505"/>
    <w:rsid w:val="00F37604"/>
    <w:rsid w:val="00F3792F"/>
    <w:rsid w:val="00F379FC"/>
    <w:rsid w:val="00F37AE0"/>
    <w:rsid w:val="00F37C07"/>
    <w:rsid w:val="00F37D59"/>
    <w:rsid w:val="00F37E00"/>
    <w:rsid w:val="00F4001A"/>
    <w:rsid w:val="00F40056"/>
    <w:rsid w:val="00F40247"/>
    <w:rsid w:val="00F40395"/>
    <w:rsid w:val="00F4053A"/>
    <w:rsid w:val="00F407AD"/>
    <w:rsid w:val="00F40810"/>
    <w:rsid w:val="00F40830"/>
    <w:rsid w:val="00F4084C"/>
    <w:rsid w:val="00F40A2B"/>
    <w:rsid w:val="00F40AB0"/>
    <w:rsid w:val="00F40C2E"/>
    <w:rsid w:val="00F40DE5"/>
    <w:rsid w:val="00F411B9"/>
    <w:rsid w:val="00F4154E"/>
    <w:rsid w:val="00F4157D"/>
    <w:rsid w:val="00F4180B"/>
    <w:rsid w:val="00F41C83"/>
    <w:rsid w:val="00F42192"/>
    <w:rsid w:val="00F4222F"/>
    <w:rsid w:val="00F4257D"/>
    <w:rsid w:val="00F4258D"/>
    <w:rsid w:val="00F42938"/>
    <w:rsid w:val="00F42AF8"/>
    <w:rsid w:val="00F42B98"/>
    <w:rsid w:val="00F42BDA"/>
    <w:rsid w:val="00F42E34"/>
    <w:rsid w:val="00F43119"/>
    <w:rsid w:val="00F431CB"/>
    <w:rsid w:val="00F4331A"/>
    <w:rsid w:val="00F43401"/>
    <w:rsid w:val="00F43675"/>
    <w:rsid w:val="00F438B1"/>
    <w:rsid w:val="00F43D56"/>
    <w:rsid w:val="00F44417"/>
    <w:rsid w:val="00F447F8"/>
    <w:rsid w:val="00F448B4"/>
    <w:rsid w:val="00F4492F"/>
    <w:rsid w:val="00F449A8"/>
    <w:rsid w:val="00F44FE5"/>
    <w:rsid w:val="00F450CB"/>
    <w:rsid w:val="00F4519D"/>
    <w:rsid w:val="00F451D8"/>
    <w:rsid w:val="00F45239"/>
    <w:rsid w:val="00F45436"/>
    <w:rsid w:val="00F4573E"/>
    <w:rsid w:val="00F45770"/>
    <w:rsid w:val="00F4583D"/>
    <w:rsid w:val="00F458B1"/>
    <w:rsid w:val="00F458C0"/>
    <w:rsid w:val="00F45AB1"/>
    <w:rsid w:val="00F45D54"/>
    <w:rsid w:val="00F45ECF"/>
    <w:rsid w:val="00F45F4E"/>
    <w:rsid w:val="00F46356"/>
    <w:rsid w:val="00F463C9"/>
    <w:rsid w:val="00F46413"/>
    <w:rsid w:val="00F46484"/>
    <w:rsid w:val="00F46506"/>
    <w:rsid w:val="00F46673"/>
    <w:rsid w:val="00F466A4"/>
    <w:rsid w:val="00F46858"/>
    <w:rsid w:val="00F46BA6"/>
    <w:rsid w:val="00F46F8B"/>
    <w:rsid w:val="00F47486"/>
    <w:rsid w:val="00F478D5"/>
    <w:rsid w:val="00F47CEE"/>
    <w:rsid w:val="00F47EC4"/>
    <w:rsid w:val="00F5008D"/>
    <w:rsid w:val="00F50937"/>
    <w:rsid w:val="00F50DA4"/>
    <w:rsid w:val="00F51206"/>
    <w:rsid w:val="00F51BB9"/>
    <w:rsid w:val="00F51F95"/>
    <w:rsid w:val="00F5203D"/>
    <w:rsid w:val="00F52066"/>
    <w:rsid w:val="00F52172"/>
    <w:rsid w:val="00F5218E"/>
    <w:rsid w:val="00F523C2"/>
    <w:rsid w:val="00F524F3"/>
    <w:rsid w:val="00F525CA"/>
    <w:rsid w:val="00F52E8B"/>
    <w:rsid w:val="00F53071"/>
    <w:rsid w:val="00F530B7"/>
    <w:rsid w:val="00F53246"/>
    <w:rsid w:val="00F53570"/>
    <w:rsid w:val="00F53714"/>
    <w:rsid w:val="00F537C9"/>
    <w:rsid w:val="00F53D6C"/>
    <w:rsid w:val="00F53F5C"/>
    <w:rsid w:val="00F53FD7"/>
    <w:rsid w:val="00F54014"/>
    <w:rsid w:val="00F54060"/>
    <w:rsid w:val="00F541DF"/>
    <w:rsid w:val="00F543FA"/>
    <w:rsid w:val="00F54400"/>
    <w:rsid w:val="00F5456F"/>
    <w:rsid w:val="00F54958"/>
    <w:rsid w:val="00F54999"/>
    <w:rsid w:val="00F549CD"/>
    <w:rsid w:val="00F54A1C"/>
    <w:rsid w:val="00F54B7E"/>
    <w:rsid w:val="00F54C66"/>
    <w:rsid w:val="00F54CCD"/>
    <w:rsid w:val="00F54D91"/>
    <w:rsid w:val="00F54E33"/>
    <w:rsid w:val="00F54E50"/>
    <w:rsid w:val="00F54E99"/>
    <w:rsid w:val="00F55145"/>
    <w:rsid w:val="00F5516F"/>
    <w:rsid w:val="00F55174"/>
    <w:rsid w:val="00F551D6"/>
    <w:rsid w:val="00F553D1"/>
    <w:rsid w:val="00F554CE"/>
    <w:rsid w:val="00F554F7"/>
    <w:rsid w:val="00F5598E"/>
    <w:rsid w:val="00F55ACE"/>
    <w:rsid w:val="00F55D71"/>
    <w:rsid w:val="00F55DDC"/>
    <w:rsid w:val="00F55E33"/>
    <w:rsid w:val="00F55E61"/>
    <w:rsid w:val="00F55E78"/>
    <w:rsid w:val="00F561A7"/>
    <w:rsid w:val="00F561AE"/>
    <w:rsid w:val="00F564E2"/>
    <w:rsid w:val="00F56556"/>
    <w:rsid w:val="00F57081"/>
    <w:rsid w:val="00F57125"/>
    <w:rsid w:val="00F57683"/>
    <w:rsid w:val="00F576DF"/>
    <w:rsid w:val="00F57987"/>
    <w:rsid w:val="00F57A60"/>
    <w:rsid w:val="00F57EEF"/>
    <w:rsid w:val="00F6006D"/>
    <w:rsid w:val="00F601BE"/>
    <w:rsid w:val="00F60253"/>
    <w:rsid w:val="00F60275"/>
    <w:rsid w:val="00F608B4"/>
    <w:rsid w:val="00F60994"/>
    <w:rsid w:val="00F60C64"/>
    <w:rsid w:val="00F60E52"/>
    <w:rsid w:val="00F60E69"/>
    <w:rsid w:val="00F610B5"/>
    <w:rsid w:val="00F61385"/>
    <w:rsid w:val="00F61BD5"/>
    <w:rsid w:val="00F61E0A"/>
    <w:rsid w:val="00F61F88"/>
    <w:rsid w:val="00F62022"/>
    <w:rsid w:val="00F62035"/>
    <w:rsid w:val="00F6238F"/>
    <w:rsid w:val="00F624A3"/>
    <w:rsid w:val="00F6265A"/>
    <w:rsid w:val="00F6286F"/>
    <w:rsid w:val="00F62999"/>
    <w:rsid w:val="00F62A17"/>
    <w:rsid w:val="00F62D29"/>
    <w:rsid w:val="00F630DA"/>
    <w:rsid w:val="00F6335A"/>
    <w:rsid w:val="00F6361C"/>
    <w:rsid w:val="00F63835"/>
    <w:rsid w:val="00F638FA"/>
    <w:rsid w:val="00F63A0E"/>
    <w:rsid w:val="00F63C15"/>
    <w:rsid w:val="00F63DFB"/>
    <w:rsid w:val="00F6423D"/>
    <w:rsid w:val="00F64359"/>
    <w:rsid w:val="00F64440"/>
    <w:rsid w:val="00F6466C"/>
    <w:rsid w:val="00F64847"/>
    <w:rsid w:val="00F64892"/>
    <w:rsid w:val="00F648FC"/>
    <w:rsid w:val="00F64931"/>
    <w:rsid w:val="00F6494A"/>
    <w:rsid w:val="00F64A43"/>
    <w:rsid w:val="00F64EB7"/>
    <w:rsid w:val="00F64F51"/>
    <w:rsid w:val="00F650A0"/>
    <w:rsid w:val="00F6534A"/>
    <w:rsid w:val="00F6548E"/>
    <w:rsid w:val="00F654EF"/>
    <w:rsid w:val="00F6556D"/>
    <w:rsid w:val="00F6582A"/>
    <w:rsid w:val="00F65A74"/>
    <w:rsid w:val="00F65A96"/>
    <w:rsid w:val="00F65B86"/>
    <w:rsid w:val="00F65C1D"/>
    <w:rsid w:val="00F65DC3"/>
    <w:rsid w:val="00F65EEE"/>
    <w:rsid w:val="00F65F27"/>
    <w:rsid w:val="00F65F36"/>
    <w:rsid w:val="00F66373"/>
    <w:rsid w:val="00F66408"/>
    <w:rsid w:val="00F66673"/>
    <w:rsid w:val="00F66A48"/>
    <w:rsid w:val="00F66A8A"/>
    <w:rsid w:val="00F66C4D"/>
    <w:rsid w:val="00F67103"/>
    <w:rsid w:val="00F67114"/>
    <w:rsid w:val="00F673F4"/>
    <w:rsid w:val="00F677EE"/>
    <w:rsid w:val="00F70094"/>
    <w:rsid w:val="00F7023A"/>
    <w:rsid w:val="00F702CB"/>
    <w:rsid w:val="00F703E1"/>
    <w:rsid w:val="00F70505"/>
    <w:rsid w:val="00F705F1"/>
    <w:rsid w:val="00F70832"/>
    <w:rsid w:val="00F70892"/>
    <w:rsid w:val="00F70AA9"/>
    <w:rsid w:val="00F70D7E"/>
    <w:rsid w:val="00F70E29"/>
    <w:rsid w:val="00F70E77"/>
    <w:rsid w:val="00F710D1"/>
    <w:rsid w:val="00F71641"/>
    <w:rsid w:val="00F71908"/>
    <w:rsid w:val="00F71911"/>
    <w:rsid w:val="00F719F3"/>
    <w:rsid w:val="00F71BE2"/>
    <w:rsid w:val="00F71F91"/>
    <w:rsid w:val="00F72292"/>
    <w:rsid w:val="00F727FC"/>
    <w:rsid w:val="00F73313"/>
    <w:rsid w:val="00F7338C"/>
    <w:rsid w:val="00F734FE"/>
    <w:rsid w:val="00F735CA"/>
    <w:rsid w:val="00F7389D"/>
    <w:rsid w:val="00F73C91"/>
    <w:rsid w:val="00F74013"/>
    <w:rsid w:val="00F742D9"/>
    <w:rsid w:val="00F74335"/>
    <w:rsid w:val="00F746B4"/>
    <w:rsid w:val="00F74A3C"/>
    <w:rsid w:val="00F74CD7"/>
    <w:rsid w:val="00F74E44"/>
    <w:rsid w:val="00F750A0"/>
    <w:rsid w:val="00F75108"/>
    <w:rsid w:val="00F75999"/>
    <w:rsid w:val="00F75B24"/>
    <w:rsid w:val="00F75C51"/>
    <w:rsid w:val="00F75E6B"/>
    <w:rsid w:val="00F75F87"/>
    <w:rsid w:val="00F760CC"/>
    <w:rsid w:val="00F76131"/>
    <w:rsid w:val="00F76176"/>
    <w:rsid w:val="00F762FB"/>
    <w:rsid w:val="00F7642C"/>
    <w:rsid w:val="00F764EC"/>
    <w:rsid w:val="00F76791"/>
    <w:rsid w:val="00F768ED"/>
    <w:rsid w:val="00F7698E"/>
    <w:rsid w:val="00F769F3"/>
    <w:rsid w:val="00F76A1A"/>
    <w:rsid w:val="00F76A6E"/>
    <w:rsid w:val="00F76B9F"/>
    <w:rsid w:val="00F76C50"/>
    <w:rsid w:val="00F76DC8"/>
    <w:rsid w:val="00F76EF7"/>
    <w:rsid w:val="00F7707A"/>
    <w:rsid w:val="00F773B7"/>
    <w:rsid w:val="00F775E8"/>
    <w:rsid w:val="00F7763C"/>
    <w:rsid w:val="00F77967"/>
    <w:rsid w:val="00F77AA7"/>
    <w:rsid w:val="00F77D5B"/>
    <w:rsid w:val="00F77E1D"/>
    <w:rsid w:val="00F77FB7"/>
    <w:rsid w:val="00F803B2"/>
    <w:rsid w:val="00F804E2"/>
    <w:rsid w:val="00F80504"/>
    <w:rsid w:val="00F805A2"/>
    <w:rsid w:val="00F8090A"/>
    <w:rsid w:val="00F80C49"/>
    <w:rsid w:val="00F810A6"/>
    <w:rsid w:val="00F810D6"/>
    <w:rsid w:val="00F810DE"/>
    <w:rsid w:val="00F8111C"/>
    <w:rsid w:val="00F817AB"/>
    <w:rsid w:val="00F81928"/>
    <w:rsid w:val="00F82111"/>
    <w:rsid w:val="00F8237B"/>
    <w:rsid w:val="00F825EB"/>
    <w:rsid w:val="00F8262B"/>
    <w:rsid w:val="00F826A9"/>
    <w:rsid w:val="00F829E2"/>
    <w:rsid w:val="00F82B01"/>
    <w:rsid w:val="00F82B77"/>
    <w:rsid w:val="00F82C16"/>
    <w:rsid w:val="00F82C33"/>
    <w:rsid w:val="00F831F7"/>
    <w:rsid w:val="00F835CA"/>
    <w:rsid w:val="00F837DF"/>
    <w:rsid w:val="00F83996"/>
    <w:rsid w:val="00F83A36"/>
    <w:rsid w:val="00F83D35"/>
    <w:rsid w:val="00F83ED7"/>
    <w:rsid w:val="00F8401C"/>
    <w:rsid w:val="00F84043"/>
    <w:rsid w:val="00F8406E"/>
    <w:rsid w:val="00F84172"/>
    <w:rsid w:val="00F842AD"/>
    <w:rsid w:val="00F845A4"/>
    <w:rsid w:val="00F8470C"/>
    <w:rsid w:val="00F84742"/>
    <w:rsid w:val="00F84808"/>
    <w:rsid w:val="00F84A11"/>
    <w:rsid w:val="00F84F51"/>
    <w:rsid w:val="00F84FBD"/>
    <w:rsid w:val="00F852E5"/>
    <w:rsid w:val="00F854E5"/>
    <w:rsid w:val="00F85BE5"/>
    <w:rsid w:val="00F85C40"/>
    <w:rsid w:val="00F85E6D"/>
    <w:rsid w:val="00F85FD8"/>
    <w:rsid w:val="00F85FFA"/>
    <w:rsid w:val="00F866D5"/>
    <w:rsid w:val="00F869E2"/>
    <w:rsid w:val="00F86B3B"/>
    <w:rsid w:val="00F86D80"/>
    <w:rsid w:val="00F86DAC"/>
    <w:rsid w:val="00F8742D"/>
    <w:rsid w:val="00F87493"/>
    <w:rsid w:val="00F8752B"/>
    <w:rsid w:val="00F87B7F"/>
    <w:rsid w:val="00F87BB9"/>
    <w:rsid w:val="00F87BBE"/>
    <w:rsid w:val="00F87DC3"/>
    <w:rsid w:val="00F87E36"/>
    <w:rsid w:val="00F87FB5"/>
    <w:rsid w:val="00F90546"/>
    <w:rsid w:val="00F905D3"/>
    <w:rsid w:val="00F90684"/>
    <w:rsid w:val="00F906D5"/>
    <w:rsid w:val="00F90810"/>
    <w:rsid w:val="00F90D2B"/>
    <w:rsid w:val="00F90F82"/>
    <w:rsid w:val="00F91060"/>
    <w:rsid w:val="00F9111B"/>
    <w:rsid w:val="00F9134F"/>
    <w:rsid w:val="00F9167E"/>
    <w:rsid w:val="00F91788"/>
    <w:rsid w:val="00F91BDB"/>
    <w:rsid w:val="00F91CC9"/>
    <w:rsid w:val="00F91CFC"/>
    <w:rsid w:val="00F92012"/>
    <w:rsid w:val="00F921F9"/>
    <w:rsid w:val="00F9220B"/>
    <w:rsid w:val="00F92235"/>
    <w:rsid w:val="00F9226F"/>
    <w:rsid w:val="00F92449"/>
    <w:rsid w:val="00F9276F"/>
    <w:rsid w:val="00F92CCA"/>
    <w:rsid w:val="00F92DCE"/>
    <w:rsid w:val="00F92E95"/>
    <w:rsid w:val="00F92EF9"/>
    <w:rsid w:val="00F934E2"/>
    <w:rsid w:val="00F9365D"/>
    <w:rsid w:val="00F93739"/>
    <w:rsid w:val="00F9379B"/>
    <w:rsid w:val="00F937A7"/>
    <w:rsid w:val="00F93925"/>
    <w:rsid w:val="00F93C51"/>
    <w:rsid w:val="00F94437"/>
    <w:rsid w:val="00F945C4"/>
    <w:rsid w:val="00F9468C"/>
    <w:rsid w:val="00F94882"/>
    <w:rsid w:val="00F949BC"/>
    <w:rsid w:val="00F94B0B"/>
    <w:rsid w:val="00F94B7C"/>
    <w:rsid w:val="00F94BAD"/>
    <w:rsid w:val="00F94D09"/>
    <w:rsid w:val="00F94D41"/>
    <w:rsid w:val="00F95364"/>
    <w:rsid w:val="00F953B1"/>
    <w:rsid w:val="00F953E1"/>
    <w:rsid w:val="00F954B5"/>
    <w:rsid w:val="00F9562C"/>
    <w:rsid w:val="00F9583D"/>
    <w:rsid w:val="00F958F2"/>
    <w:rsid w:val="00F95A22"/>
    <w:rsid w:val="00F95ECF"/>
    <w:rsid w:val="00F96052"/>
    <w:rsid w:val="00F9639B"/>
    <w:rsid w:val="00F965FA"/>
    <w:rsid w:val="00F969E4"/>
    <w:rsid w:val="00F96AF6"/>
    <w:rsid w:val="00F96F77"/>
    <w:rsid w:val="00F97072"/>
    <w:rsid w:val="00F97284"/>
    <w:rsid w:val="00F9750F"/>
    <w:rsid w:val="00F9765B"/>
    <w:rsid w:val="00F979F9"/>
    <w:rsid w:val="00F97D5B"/>
    <w:rsid w:val="00F97EA0"/>
    <w:rsid w:val="00FA03AC"/>
    <w:rsid w:val="00FA05F7"/>
    <w:rsid w:val="00FA06AF"/>
    <w:rsid w:val="00FA07CC"/>
    <w:rsid w:val="00FA095D"/>
    <w:rsid w:val="00FA0B43"/>
    <w:rsid w:val="00FA0D8D"/>
    <w:rsid w:val="00FA0FC8"/>
    <w:rsid w:val="00FA13D9"/>
    <w:rsid w:val="00FA14AC"/>
    <w:rsid w:val="00FA1624"/>
    <w:rsid w:val="00FA164C"/>
    <w:rsid w:val="00FA16E8"/>
    <w:rsid w:val="00FA172C"/>
    <w:rsid w:val="00FA1998"/>
    <w:rsid w:val="00FA1A9D"/>
    <w:rsid w:val="00FA216A"/>
    <w:rsid w:val="00FA24C8"/>
    <w:rsid w:val="00FA26E0"/>
    <w:rsid w:val="00FA29CB"/>
    <w:rsid w:val="00FA2A7A"/>
    <w:rsid w:val="00FA2AF3"/>
    <w:rsid w:val="00FA2E91"/>
    <w:rsid w:val="00FA36F1"/>
    <w:rsid w:val="00FA378F"/>
    <w:rsid w:val="00FA38D4"/>
    <w:rsid w:val="00FA39BE"/>
    <w:rsid w:val="00FA3C77"/>
    <w:rsid w:val="00FA3E50"/>
    <w:rsid w:val="00FA3E88"/>
    <w:rsid w:val="00FA424E"/>
    <w:rsid w:val="00FA43DB"/>
    <w:rsid w:val="00FA456F"/>
    <w:rsid w:val="00FA4617"/>
    <w:rsid w:val="00FA488B"/>
    <w:rsid w:val="00FA4A09"/>
    <w:rsid w:val="00FA52AB"/>
    <w:rsid w:val="00FA52BF"/>
    <w:rsid w:val="00FA54C4"/>
    <w:rsid w:val="00FA54D0"/>
    <w:rsid w:val="00FA5523"/>
    <w:rsid w:val="00FA5595"/>
    <w:rsid w:val="00FA5743"/>
    <w:rsid w:val="00FA58CD"/>
    <w:rsid w:val="00FA5A1D"/>
    <w:rsid w:val="00FA5B82"/>
    <w:rsid w:val="00FA5C2D"/>
    <w:rsid w:val="00FA5E51"/>
    <w:rsid w:val="00FA60AA"/>
    <w:rsid w:val="00FA619F"/>
    <w:rsid w:val="00FA61AC"/>
    <w:rsid w:val="00FA63A5"/>
    <w:rsid w:val="00FA65AB"/>
    <w:rsid w:val="00FA65BB"/>
    <w:rsid w:val="00FA66A0"/>
    <w:rsid w:val="00FA6848"/>
    <w:rsid w:val="00FA6D4B"/>
    <w:rsid w:val="00FA6DCC"/>
    <w:rsid w:val="00FA6EBF"/>
    <w:rsid w:val="00FA70FB"/>
    <w:rsid w:val="00FA7325"/>
    <w:rsid w:val="00FA73B1"/>
    <w:rsid w:val="00FA741E"/>
    <w:rsid w:val="00FA7F7C"/>
    <w:rsid w:val="00FB0048"/>
    <w:rsid w:val="00FB015E"/>
    <w:rsid w:val="00FB024D"/>
    <w:rsid w:val="00FB04BE"/>
    <w:rsid w:val="00FB054C"/>
    <w:rsid w:val="00FB0627"/>
    <w:rsid w:val="00FB07B4"/>
    <w:rsid w:val="00FB0A6E"/>
    <w:rsid w:val="00FB0D27"/>
    <w:rsid w:val="00FB0D4B"/>
    <w:rsid w:val="00FB1171"/>
    <w:rsid w:val="00FB13FE"/>
    <w:rsid w:val="00FB1407"/>
    <w:rsid w:val="00FB1D6C"/>
    <w:rsid w:val="00FB213C"/>
    <w:rsid w:val="00FB247F"/>
    <w:rsid w:val="00FB24A0"/>
    <w:rsid w:val="00FB27C7"/>
    <w:rsid w:val="00FB28B1"/>
    <w:rsid w:val="00FB2912"/>
    <w:rsid w:val="00FB2A09"/>
    <w:rsid w:val="00FB2C13"/>
    <w:rsid w:val="00FB2D71"/>
    <w:rsid w:val="00FB2F63"/>
    <w:rsid w:val="00FB31D7"/>
    <w:rsid w:val="00FB33D1"/>
    <w:rsid w:val="00FB397D"/>
    <w:rsid w:val="00FB39D7"/>
    <w:rsid w:val="00FB3A75"/>
    <w:rsid w:val="00FB3AB8"/>
    <w:rsid w:val="00FB3B40"/>
    <w:rsid w:val="00FB3B52"/>
    <w:rsid w:val="00FB41A6"/>
    <w:rsid w:val="00FB4268"/>
    <w:rsid w:val="00FB452F"/>
    <w:rsid w:val="00FB4896"/>
    <w:rsid w:val="00FB4B6D"/>
    <w:rsid w:val="00FB4D87"/>
    <w:rsid w:val="00FB4D8A"/>
    <w:rsid w:val="00FB4DA4"/>
    <w:rsid w:val="00FB5346"/>
    <w:rsid w:val="00FB5801"/>
    <w:rsid w:val="00FB587A"/>
    <w:rsid w:val="00FB58D2"/>
    <w:rsid w:val="00FB5B25"/>
    <w:rsid w:val="00FB5BB9"/>
    <w:rsid w:val="00FB5E2E"/>
    <w:rsid w:val="00FB5EA0"/>
    <w:rsid w:val="00FB6297"/>
    <w:rsid w:val="00FB63E6"/>
    <w:rsid w:val="00FB6862"/>
    <w:rsid w:val="00FB689A"/>
    <w:rsid w:val="00FB69EE"/>
    <w:rsid w:val="00FB6BF7"/>
    <w:rsid w:val="00FB6D73"/>
    <w:rsid w:val="00FB6DFB"/>
    <w:rsid w:val="00FB730D"/>
    <w:rsid w:val="00FB760C"/>
    <w:rsid w:val="00FB76A5"/>
    <w:rsid w:val="00FB78DB"/>
    <w:rsid w:val="00FB791C"/>
    <w:rsid w:val="00FB7B94"/>
    <w:rsid w:val="00FB7CF5"/>
    <w:rsid w:val="00FB7D04"/>
    <w:rsid w:val="00FB7F50"/>
    <w:rsid w:val="00FC0165"/>
    <w:rsid w:val="00FC04C3"/>
    <w:rsid w:val="00FC078F"/>
    <w:rsid w:val="00FC079F"/>
    <w:rsid w:val="00FC0816"/>
    <w:rsid w:val="00FC1576"/>
    <w:rsid w:val="00FC19CD"/>
    <w:rsid w:val="00FC1B1F"/>
    <w:rsid w:val="00FC1B49"/>
    <w:rsid w:val="00FC202D"/>
    <w:rsid w:val="00FC205F"/>
    <w:rsid w:val="00FC21CD"/>
    <w:rsid w:val="00FC2850"/>
    <w:rsid w:val="00FC28A5"/>
    <w:rsid w:val="00FC28FD"/>
    <w:rsid w:val="00FC2974"/>
    <w:rsid w:val="00FC29A6"/>
    <w:rsid w:val="00FC2A91"/>
    <w:rsid w:val="00FC2F83"/>
    <w:rsid w:val="00FC2F96"/>
    <w:rsid w:val="00FC2FE4"/>
    <w:rsid w:val="00FC33F0"/>
    <w:rsid w:val="00FC36AE"/>
    <w:rsid w:val="00FC3700"/>
    <w:rsid w:val="00FC37CB"/>
    <w:rsid w:val="00FC3D19"/>
    <w:rsid w:val="00FC3D64"/>
    <w:rsid w:val="00FC4462"/>
    <w:rsid w:val="00FC4684"/>
    <w:rsid w:val="00FC4CE0"/>
    <w:rsid w:val="00FC4E23"/>
    <w:rsid w:val="00FC4EC3"/>
    <w:rsid w:val="00FC4F13"/>
    <w:rsid w:val="00FC52C4"/>
    <w:rsid w:val="00FC55C5"/>
    <w:rsid w:val="00FC55FC"/>
    <w:rsid w:val="00FC568F"/>
    <w:rsid w:val="00FC5979"/>
    <w:rsid w:val="00FC59F5"/>
    <w:rsid w:val="00FC6498"/>
    <w:rsid w:val="00FC669D"/>
    <w:rsid w:val="00FC6970"/>
    <w:rsid w:val="00FC6A95"/>
    <w:rsid w:val="00FC714A"/>
    <w:rsid w:val="00FC71FA"/>
    <w:rsid w:val="00FC7461"/>
    <w:rsid w:val="00FC747B"/>
    <w:rsid w:val="00FC78BB"/>
    <w:rsid w:val="00FC7954"/>
    <w:rsid w:val="00FC798C"/>
    <w:rsid w:val="00FD0001"/>
    <w:rsid w:val="00FD018A"/>
    <w:rsid w:val="00FD01D3"/>
    <w:rsid w:val="00FD0923"/>
    <w:rsid w:val="00FD0CCD"/>
    <w:rsid w:val="00FD0DFB"/>
    <w:rsid w:val="00FD0F81"/>
    <w:rsid w:val="00FD0F94"/>
    <w:rsid w:val="00FD1014"/>
    <w:rsid w:val="00FD107B"/>
    <w:rsid w:val="00FD10BF"/>
    <w:rsid w:val="00FD1363"/>
    <w:rsid w:val="00FD1424"/>
    <w:rsid w:val="00FD1480"/>
    <w:rsid w:val="00FD1639"/>
    <w:rsid w:val="00FD18DA"/>
    <w:rsid w:val="00FD1B27"/>
    <w:rsid w:val="00FD2039"/>
    <w:rsid w:val="00FD2296"/>
    <w:rsid w:val="00FD23A9"/>
    <w:rsid w:val="00FD2423"/>
    <w:rsid w:val="00FD2E10"/>
    <w:rsid w:val="00FD2FBB"/>
    <w:rsid w:val="00FD302C"/>
    <w:rsid w:val="00FD3187"/>
    <w:rsid w:val="00FD3356"/>
    <w:rsid w:val="00FD36FA"/>
    <w:rsid w:val="00FD3758"/>
    <w:rsid w:val="00FD386E"/>
    <w:rsid w:val="00FD39E5"/>
    <w:rsid w:val="00FD3BCC"/>
    <w:rsid w:val="00FD4137"/>
    <w:rsid w:val="00FD4234"/>
    <w:rsid w:val="00FD442C"/>
    <w:rsid w:val="00FD495F"/>
    <w:rsid w:val="00FD4A6E"/>
    <w:rsid w:val="00FD4B9E"/>
    <w:rsid w:val="00FD4CA1"/>
    <w:rsid w:val="00FD4F2C"/>
    <w:rsid w:val="00FD57AB"/>
    <w:rsid w:val="00FD596F"/>
    <w:rsid w:val="00FD5A1A"/>
    <w:rsid w:val="00FD5B51"/>
    <w:rsid w:val="00FD5F6E"/>
    <w:rsid w:val="00FD5F82"/>
    <w:rsid w:val="00FD5FC7"/>
    <w:rsid w:val="00FD6044"/>
    <w:rsid w:val="00FD6526"/>
    <w:rsid w:val="00FD6E26"/>
    <w:rsid w:val="00FD6E38"/>
    <w:rsid w:val="00FD707F"/>
    <w:rsid w:val="00FD709B"/>
    <w:rsid w:val="00FD7257"/>
    <w:rsid w:val="00FD7436"/>
    <w:rsid w:val="00FD7497"/>
    <w:rsid w:val="00FD78EB"/>
    <w:rsid w:val="00FD794E"/>
    <w:rsid w:val="00FD7BAA"/>
    <w:rsid w:val="00FD7C89"/>
    <w:rsid w:val="00FD7D0A"/>
    <w:rsid w:val="00FD7D7B"/>
    <w:rsid w:val="00FD7DC2"/>
    <w:rsid w:val="00FD7DDB"/>
    <w:rsid w:val="00FD7F7F"/>
    <w:rsid w:val="00FE0158"/>
    <w:rsid w:val="00FE01F1"/>
    <w:rsid w:val="00FE01FE"/>
    <w:rsid w:val="00FE02D8"/>
    <w:rsid w:val="00FE02F6"/>
    <w:rsid w:val="00FE030E"/>
    <w:rsid w:val="00FE064C"/>
    <w:rsid w:val="00FE0673"/>
    <w:rsid w:val="00FE0BC1"/>
    <w:rsid w:val="00FE0E61"/>
    <w:rsid w:val="00FE1080"/>
    <w:rsid w:val="00FE1591"/>
    <w:rsid w:val="00FE15A3"/>
    <w:rsid w:val="00FE1B94"/>
    <w:rsid w:val="00FE1C67"/>
    <w:rsid w:val="00FE1E75"/>
    <w:rsid w:val="00FE219E"/>
    <w:rsid w:val="00FE220D"/>
    <w:rsid w:val="00FE2335"/>
    <w:rsid w:val="00FE2386"/>
    <w:rsid w:val="00FE2435"/>
    <w:rsid w:val="00FE25AA"/>
    <w:rsid w:val="00FE2767"/>
    <w:rsid w:val="00FE283F"/>
    <w:rsid w:val="00FE286D"/>
    <w:rsid w:val="00FE2912"/>
    <w:rsid w:val="00FE2A57"/>
    <w:rsid w:val="00FE2A81"/>
    <w:rsid w:val="00FE2B9B"/>
    <w:rsid w:val="00FE3191"/>
    <w:rsid w:val="00FE31DA"/>
    <w:rsid w:val="00FE349A"/>
    <w:rsid w:val="00FE34A1"/>
    <w:rsid w:val="00FE359E"/>
    <w:rsid w:val="00FE36A0"/>
    <w:rsid w:val="00FE3853"/>
    <w:rsid w:val="00FE3D43"/>
    <w:rsid w:val="00FE3E28"/>
    <w:rsid w:val="00FE4404"/>
    <w:rsid w:val="00FE454C"/>
    <w:rsid w:val="00FE4720"/>
    <w:rsid w:val="00FE4870"/>
    <w:rsid w:val="00FE4CAB"/>
    <w:rsid w:val="00FE4CD5"/>
    <w:rsid w:val="00FE5102"/>
    <w:rsid w:val="00FE5181"/>
    <w:rsid w:val="00FE526D"/>
    <w:rsid w:val="00FE53AD"/>
    <w:rsid w:val="00FE586F"/>
    <w:rsid w:val="00FE5955"/>
    <w:rsid w:val="00FE5989"/>
    <w:rsid w:val="00FE5BFC"/>
    <w:rsid w:val="00FE5D04"/>
    <w:rsid w:val="00FE5D47"/>
    <w:rsid w:val="00FE5E48"/>
    <w:rsid w:val="00FE5F37"/>
    <w:rsid w:val="00FE60FE"/>
    <w:rsid w:val="00FE626F"/>
    <w:rsid w:val="00FE6550"/>
    <w:rsid w:val="00FE67FE"/>
    <w:rsid w:val="00FE6808"/>
    <w:rsid w:val="00FE68EF"/>
    <w:rsid w:val="00FE6AF1"/>
    <w:rsid w:val="00FE71FC"/>
    <w:rsid w:val="00FE7412"/>
    <w:rsid w:val="00FE752E"/>
    <w:rsid w:val="00FE75DF"/>
    <w:rsid w:val="00FE7792"/>
    <w:rsid w:val="00FE78F6"/>
    <w:rsid w:val="00FE791F"/>
    <w:rsid w:val="00FE7CEA"/>
    <w:rsid w:val="00FE7D39"/>
    <w:rsid w:val="00FE7F78"/>
    <w:rsid w:val="00FE7FD3"/>
    <w:rsid w:val="00FF0005"/>
    <w:rsid w:val="00FF02C0"/>
    <w:rsid w:val="00FF0400"/>
    <w:rsid w:val="00FF05F6"/>
    <w:rsid w:val="00FF08DF"/>
    <w:rsid w:val="00FF0E38"/>
    <w:rsid w:val="00FF0EA9"/>
    <w:rsid w:val="00FF0F48"/>
    <w:rsid w:val="00FF119C"/>
    <w:rsid w:val="00FF1289"/>
    <w:rsid w:val="00FF132B"/>
    <w:rsid w:val="00FF1481"/>
    <w:rsid w:val="00FF16A0"/>
    <w:rsid w:val="00FF19D8"/>
    <w:rsid w:val="00FF1B1A"/>
    <w:rsid w:val="00FF1C91"/>
    <w:rsid w:val="00FF1CE8"/>
    <w:rsid w:val="00FF1E3B"/>
    <w:rsid w:val="00FF1EFC"/>
    <w:rsid w:val="00FF1FCA"/>
    <w:rsid w:val="00FF20AE"/>
    <w:rsid w:val="00FF2208"/>
    <w:rsid w:val="00FF2534"/>
    <w:rsid w:val="00FF25F2"/>
    <w:rsid w:val="00FF2606"/>
    <w:rsid w:val="00FF2709"/>
    <w:rsid w:val="00FF2CD0"/>
    <w:rsid w:val="00FF3097"/>
    <w:rsid w:val="00FF31E1"/>
    <w:rsid w:val="00FF37FD"/>
    <w:rsid w:val="00FF3936"/>
    <w:rsid w:val="00FF3981"/>
    <w:rsid w:val="00FF3D92"/>
    <w:rsid w:val="00FF4020"/>
    <w:rsid w:val="00FF41B8"/>
    <w:rsid w:val="00FF43FE"/>
    <w:rsid w:val="00FF4589"/>
    <w:rsid w:val="00FF4AA0"/>
    <w:rsid w:val="00FF4DC5"/>
    <w:rsid w:val="00FF53AB"/>
    <w:rsid w:val="00FF55AB"/>
    <w:rsid w:val="00FF598B"/>
    <w:rsid w:val="00FF5BF9"/>
    <w:rsid w:val="00FF5D26"/>
    <w:rsid w:val="00FF5D53"/>
    <w:rsid w:val="00FF5DAF"/>
    <w:rsid w:val="00FF624E"/>
    <w:rsid w:val="00FF635A"/>
    <w:rsid w:val="00FF65FB"/>
    <w:rsid w:val="00FF6725"/>
    <w:rsid w:val="00FF6CEA"/>
    <w:rsid w:val="00FF6E4D"/>
    <w:rsid w:val="00FF7186"/>
    <w:rsid w:val="00FF7497"/>
    <w:rsid w:val="00FF7737"/>
    <w:rsid w:val="00FF786F"/>
    <w:rsid w:val="00FF797A"/>
    <w:rsid w:val="00FF79FE"/>
    <w:rsid w:val="00FF7C5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fd0ab,#f8cfc8"/>
    </o:shapedefaults>
    <o:shapelayout v:ext="edit">
      <o:idmap v:ext="edit" data="2"/>
    </o:shapelayout>
  </w:shapeDefaults>
  <w:decimalSymbol w:val=","/>
  <w:listSeparator w:val=";"/>
  <w14:docId w14:val="7E7A4F00"/>
  <w15:docId w15:val="{5FCB87B9-0826-4663-A792-92F1E51BB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uiPriority="39"/>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DFF"/>
    <w:pPr>
      <w:spacing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512FF1"/>
    <w:pPr>
      <w:keepNext/>
      <w:keepLines/>
      <w:numPr>
        <w:numId w:val="3"/>
      </w:numPr>
      <w:spacing w:before="120" w:after="1080"/>
      <w:jc w:val="left"/>
      <w:outlineLvl w:val="0"/>
    </w:pPr>
    <w:rPr>
      <w:rFonts w:asciiTheme="majorHAnsi" w:eastAsiaTheme="majorEastAsia" w:hAnsiTheme="majorHAnsi" w:cstheme="majorBidi"/>
      <w:bCs/>
      <w:color w:val="852010"/>
      <w:spacing w:val="10"/>
      <w:sz w:val="52"/>
      <w:szCs w:val="28"/>
    </w:rPr>
  </w:style>
  <w:style w:type="paragraph" w:styleId="Heading2">
    <w:name w:val="heading 2"/>
    <w:basedOn w:val="Normal"/>
    <w:next w:val="Normal"/>
    <w:link w:val="Heading2Char"/>
    <w:uiPriority w:val="9"/>
    <w:unhideWhenUsed/>
    <w:qFormat/>
    <w:rsid w:val="00DE6798"/>
    <w:pPr>
      <w:keepNext/>
      <w:keepLines/>
      <w:tabs>
        <w:tab w:val="left" w:pos="426"/>
      </w:tabs>
      <w:spacing w:before="480" w:after="360"/>
      <w:jc w:val="left"/>
      <w:outlineLvl w:val="1"/>
    </w:pPr>
    <w:rPr>
      <w:rFonts w:asciiTheme="majorHAnsi" w:eastAsiaTheme="majorEastAsia" w:hAnsiTheme="majorHAnsi" w:cstheme="majorBidi"/>
      <w:b/>
      <w:bCs/>
      <w:caps/>
      <w:color w:val="852010"/>
      <w:spacing w:val="10"/>
      <w:w w:val="90"/>
      <w:sz w:val="28"/>
      <w:szCs w:val="26"/>
    </w:rPr>
  </w:style>
  <w:style w:type="paragraph" w:styleId="Heading3">
    <w:name w:val="heading 3"/>
    <w:basedOn w:val="Normal"/>
    <w:next w:val="Normal"/>
    <w:link w:val="Heading3Char"/>
    <w:uiPriority w:val="9"/>
    <w:unhideWhenUsed/>
    <w:qFormat/>
    <w:rsid w:val="00422233"/>
    <w:pPr>
      <w:keepNext/>
      <w:keepLines/>
      <w:numPr>
        <w:ilvl w:val="2"/>
        <w:numId w:val="3"/>
      </w:numPr>
      <w:spacing w:before="480" w:after="240"/>
      <w:jc w:val="left"/>
      <w:outlineLvl w:val="2"/>
    </w:pPr>
    <w:rPr>
      <w:rFonts w:asciiTheme="majorHAnsi" w:eastAsiaTheme="majorEastAsia" w:hAnsiTheme="majorHAnsi" w:cstheme="majorBidi"/>
      <w:b/>
      <w:bCs/>
      <w:caps/>
      <w:color w:val="852010"/>
    </w:rPr>
  </w:style>
  <w:style w:type="paragraph" w:styleId="Heading4">
    <w:name w:val="heading 4"/>
    <w:basedOn w:val="Normal"/>
    <w:next w:val="Normal"/>
    <w:link w:val="Heading4Char"/>
    <w:uiPriority w:val="9"/>
    <w:unhideWhenUsed/>
    <w:qFormat/>
    <w:rsid w:val="006912DC"/>
    <w:pPr>
      <w:keepNext/>
      <w:keepLines/>
      <w:numPr>
        <w:ilvl w:val="3"/>
        <w:numId w:val="3"/>
      </w:numPr>
      <w:spacing w:before="240" w:after="240"/>
      <w:jc w:val="left"/>
      <w:outlineLvl w:val="3"/>
    </w:pPr>
    <w:rPr>
      <w:rFonts w:asciiTheme="majorHAnsi" w:eastAsiaTheme="majorEastAsia" w:hAnsiTheme="majorHAnsi" w:cstheme="majorBidi"/>
      <w:b/>
      <w:bCs/>
      <w:iCs/>
      <w:color w:val="852010"/>
    </w:rPr>
  </w:style>
  <w:style w:type="paragraph" w:styleId="Heading5">
    <w:name w:val="heading 5"/>
    <w:basedOn w:val="Normal"/>
    <w:next w:val="Normal"/>
    <w:link w:val="Heading5Char"/>
    <w:uiPriority w:val="9"/>
    <w:unhideWhenUsed/>
    <w:qFormat/>
    <w:rsid w:val="00B661BF"/>
    <w:pPr>
      <w:keepNext/>
      <w:keepLines/>
      <w:numPr>
        <w:numId w:val="5"/>
      </w:numPr>
      <w:spacing w:before="240" w:after="120"/>
      <w:outlineLvl w:val="4"/>
    </w:pPr>
    <w:rPr>
      <w:rFonts w:asciiTheme="majorHAnsi" w:eastAsiaTheme="majorEastAsia" w:hAnsiTheme="majorHAnsi" w:cstheme="majorBidi"/>
      <w:b/>
      <w:i/>
    </w:rPr>
  </w:style>
  <w:style w:type="paragraph" w:styleId="Heading6">
    <w:name w:val="heading 6"/>
    <w:basedOn w:val="ListParagraph"/>
    <w:next w:val="Normal"/>
    <w:link w:val="Heading6Char"/>
    <w:uiPriority w:val="9"/>
    <w:unhideWhenUsed/>
    <w:qFormat/>
    <w:rsid w:val="00FC2F83"/>
    <w:pPr>
      <w:numPr>
        <w:numId w:val="6"/>
      </w:numPr>
      <w:tabs>
        <w:tab w:val="left" w:pos="1134"/>
      </w:tabs>
      <w:outlineLvl w:val="5"/>
    </w:pPr>
    <w:rPr>
      <w:rFonts w:eastAsia="Times New Roman"/>
      <w:b/>
      <w:color w:val="852010" w:themeColor="accent3" w:themeShade="BF"/>
    </w:rPr>
  </w:style>
  <w:style w:type="paragraph" w:styleId="Heading7">
    <w:name w:val="heading 7"/>
    <w:basedOn w:val="Normal"/>
    <w:next w:val="Normal"/>
    <w:link w:val="Heading7Char"/>
    <w:uiPriority w:val="9"/>
    <w:unhideWhenUsed/>
    <w:qFormat/>
    <w:rsid w:val="00A52E2F"/>
    <w:pPr>
      <w:keepNext/>
      <w:keepLines/>
      <w:numPr>
        <w:ilvl w:val="6"/>
        <w:numId w:val="3"/>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A52E2F"/>
    <w:pPr>
      <w:keepNext/>
      <w:keepLines/>
      <w:numPr>
        <w:ilvl w:val="7"/>
        <w:numId w:val="3"/>
      </w:numPr>
      <w:spacing w:before="200" w:after="0"/>
      <w:outlineLvl w:val="7"/>
    </w:pPr>
    <w:rPr>
      <w:rFonts w:asciiTheme="majorHAnsi" w:eastAsiaTheme="majorEastAsia" w:hAnsiTheme="majorHAnsi" w:cstheme="majorBidi"/>
      <w:color w:val="FE8637" w:themeColor="accent1"/>
      <w:sz w:val="20"/>
      <w:szCs w:val="20"/>
    </w:rPr>
  </w:style>
  <w:style w:type="paragraph" w:styleId="Heading9">
    <w:name w:val="heading 9"/>
    <w:basedOn w:val="Normal"/>
    <w:next w:val="Normal"/>
    <w:link w:val="Heading9Char"/>
    <w:uiPriority w:val="9"/>
    <w:semiHidden/>
    <w:unhideWhenUsed/>
    <w:qFormat/>
    <w:rsid w:val="00A52E2F"/>
    <w:pPr>
      <w:keepNext/>
      <w:keepLines/>
      <w:numPr>
        <w:ilvl w:val="8"/>
        <w:numId w:val="1"/>
      </w:numPr>
      <w:spacing w:before="200" w:after="0"/>
      <w:ind w:left="1584" w:hanging="1584"/>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2FF1"/>
    <w:rPr>
      <w:rFonts w:asciiTheme="majorHAnsi" w:eastAsiaTheme="majorEastAsia" w:hAnsiTheme="majorHAnsi" w:cstheme="majorBidi"/>
      <w:bCs/>
      <w:color w:val="852010"/>
      <w:spacing w:val="10"/>
      <w:sz w:val="52"/>
      <w:szCs w:val="28"/>
    </w:rPr>
  </w:style>
  <w:style w:type="character" w:customStyle="1" w:styleId="Heading2Char">
    <w:name w:val="Heading 2 Char"/>
    <w:basedOn w:val="DefaultParagraphFont"/>
    <w:link w:val="Heading2"/>
    <w:uiPriority w:val="9"/>
    <w:locked/>
    <w:rsid w:val="00DE6798"/>
    <w:rPr>
      <w:rFonts w:asciiTheme="majorHAnsi" w:eastAsiaTheme="majorEastAsia" w:hAnsiTheme="majorHAnsi" w:cstheme="majorBidi"/>
      <w:b/>
      <w:bCs/>
      <w:caps/>
      <w:color w:val="852010"/>
      <w:spacing w:val="10"/>
      <w:w w:val="90"/>
      <w:sz w:val="28"/>
      <w:szCs w:val="26"/>
    </w:rPr>
  </w:style>
  <w:style w:type="character" w:customStyle="1" w:styleId="Heading3Char">
    <w:name w:val="Heading 3 Char"/>
    <w:basedOn w:val="DefaultParagraphFont"/>
    <w:link w:val="Heading3"/>
    <w:uiPriority w:val="9"/>
    <w:locked/>
    <w:rsid w:val="00422233"/>
    <w:rPr>
      <w:rFonts w:asciiTheme="majorHAnsi" w:eastAsiaTheme="majorEastAsia" w:hAnsiTheme="majorHAnsi" w:cstheme="majorBidi"/>
      <w:b/>
      <w:bCs/>
      <w:caps/>
      <w:color w:val="852010"/>
      <w:sz w:val="24"/>
    </w:rPr>
  </w:style>
  <w:style w:type="character" w:customStyle="1" w:styleId="Heading4Char">
    <w:name w:val="Heading 4 Char"/>
    <w:basedOn w:val="DefaultParagraphFont"/>
    <w:link w:val="Heading4"/>
    <w:uiPriority w:val="9"/>
    <w:locked/>
    <w:rsid w:val="006912DC"/>
    <w:rPr>
      <w:rFonts w:asciiTheme="majorHAnsi" w:eastAsiaTheme="majorEastAsia" w:hAnsiTheme="majorHAnsi" w:cstheme="majorBidi"/>
      <w:b/>
      <w:bCs/>
      <w:iCs/>
      <w:color w:val="852010"/>
      <w:sz w:val="24"/>
    </w:rPr>
  </w:style>
  <w:style w:type="paragraph" w:customStyle="1" w:styleId="Default">
    <w:name w:val="Default"/>
    <w:uiPriority w:val="99"/>
    <w:rsid w:val="00B76060"/>
    <w:pPr>
      <w:autoSpaceDE w:val="0"/>
      <w:autoSpaceDN w:val="0"/>
      <w:adjustRightInd w:val="0"/>
    </w:pPr>
    <w:rPr>
      <w:rFonts w:eastAsia="Batang" w:cs="Calibri"/>
      <w:color w:val="000000"/>
      <w:sz w:val="24"/>
      <w:szCs w:val="24"/>
      <w:lang w:eastAsia="en-US"/>
    </w:rPr>
  </w:style>
  <w:style w:type="paragraph" w:styleId="BalloonText">
    <w:name w:val="Balloon Text"/>
    <w:basedOn w:val="Normal"/>
    <w:link w:val="BalloonTextChar"/>
    <w:uiPriority w:val="99"/>
    <w:semiHidden/>
    <w:rsid w:val="0072684A"/>
    <w:pPr>
      <w:spacing w:after="0"/>
    </w:pPr>
    <w:rPr>
      <w:rFonts w:ascii="Tahoma" w:hAnsi="Tahoma" w:cs="Tahoma"/>
      <w:sz w:val="16"/>
      <w:szCs w:val="16"/>
    </w:rPr>
  </w:style>
  <w:style w:type="character" w:customStyle="1" w:styleId="BalloonTextChar">
    <w:name w:val="Balloon Text Char"/>
    <w:link w:val="BalloonText"/>
    <w:uiPriority w:val="99"/>
    <w:semiHidden/>
    <w:locked/>
    <w:rsid w:val="0072684A"/>
    <w:rPr>
      <w:rFonts w:ascii="Tahoma" w:hAnsi="Tahoma" w:cs="Tahoma"/>
      <w:sz w:val="16"/>
      <w:szCs w:val="16"/>
    </w:rPr>
  </w:style>
  <w:style w:type="paragraph" w:styleId="FootnoteText">
    <w:name w:val="footnote text"/>
    <w:aliases w:val="Fußnotentext arial,Footnote1,Footnote2,Footnote3,stile 1,Footnote4,Footnote5,Footnote6,Footnote7,Footnote8,Footnote9,Footnote10,Footnote11,Footnote21,Footnote31,Footnote41,Footnote51,Footnote61,Footnote71,Footnote81,Footnote91,single spa"/>
    <w:basedOn w:val="Normal"/>
    <w:link w:val="FootnoteTextChar1"/>
    <w:qFormat/>
    <w:rsid w:val="008E1EE5"/>
    <w:pPr>
      <w:spacing w:after="40"/>
      <w:ind w:left="284" w:hanging="284"/>
    </w:pPr>
    <w:rPr>
      <w:sz w:val="20"/>
      <w:szCs w:val="20"/>
    </w:rPr>
  </w:style>
  <w:style w:type="character" w:customStyle="1" w:styleId="FootnoteTextChar">
    <w:name w:val="Footnote Text Char"/>
    <w:aliases w:val="Fußnotentext arial Char,Footnote1 Char,Footnote2 Char,Footnote3 Char,stile 1 Char,Footnote4 Char,Footnote5 Char,Footnote6 Char,Footnote7 Char,Footnote8 Char,Footnote9 Char,Footnote10 Char,Footnote11 Char,Footnote21 Char"/>
    <w:locked/>
    <w:rsid w:val="0072684A"/>
    <w:rPr>
      <w:rFonts w:cs="Times New Roman"/>
      <w:sz w:val="20"/>
      <w:szCs w:val="20"/>
    </w:rPr>
  </w:style>
  <w:style w:type="character" w:customStyle="1" w:styleId="FootnoteTextChar1">
    <w:name w:val="Footnote Text Char1"/>
    <w:aliases w:val="Fußnotentext arial Char1,Footnote1 Char1,Footnote2 Char1,Footnote3 Char1,stile 1 Char1,Footnote4 Char1,Footnote5 Char1,Footnote6 Char1,Footnote7 Char1,Footnote8 Char1,Footnote9 Char1,Footnote10 Char1,Footnote11 Char1,Footnote21 Char1"/>
    <w:link w:val="FootnoteText"/>
    <w:locked/>
    <w:rsid w:val="008E1EE5"/>
    <w:rPr>
      <w:rFonts w:ascii="Times New Roman" w:hAnsi="Times New Roman"/>
      <w:sz w:val="20"/>
      <w:szCs w:val="20"/>
    </w:rPr>
  </w:style>
  <w:style w:type="character" w:styleId="FootnoteReference">
    <w:name w:val="footnote reference"/>
    <w:aliases w:val="Footnote,Footnote symbol,SUPERS,BVI fnr,Footnote reference number,Times 10 Point,Exposant 3 Point,Ref,de nota al pie,note TESI,EN Footnote text,EN Footnote Reference,Footnote Reference Number,E FNZ,Appel note de bas de p"/>
    <w:uiPriority w:val="99"/>
    <w:qFormat/>
    <w:rsid w:val="0072684A"/>
    <w:rPr>
      <w:rFonts w:ascii="Times New Roman" w:hAnsi="Times New Roman" w:cs="Times New Roman"/>
      <w:color w:val="auto"/>
      <w:spacing w:val="0"/>
      <w:w w:val="100"/>
      <w:kern w:val="0"/>
      <w:position w:val="2"/>
      <w:sz w:val="18"/>
      <w:u w:val="none"/>
      <w:effect w:val="none"/>
      <w:vertAlign w:val="superscript"/>
      <w:lang w:val="bg-BG" w:eastAsia="en-US"/>
    </w:rPr>
  </w:style>
  <w:style w:type="table" w:styleId="TableGrid">
    <w:name w:val="Table Grid"/>
    <w:basedOn w:val="TableNormal"/>
    <w:uiPriority w:val="39"/>
    <w:rsid w:val="007268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A52E2F"/>
    <w:pPr>
      <w:spacing w:after="120"/>
      <w:ind w:left="1418" w:hanging="1418"/>
      <w:jc w:val="left"/>
    </w:pPr>
    <w:rPr>
      <w:b/>
      <w:bCs/>
      <w:szCs w:val="18"/>
    </w:rPr>
  </w:style>
  <w:style w:type="character" w:customStyle="1" w:styleId="CaptionChar">
    <w:name w:val="Caption Char"/>
    <w:link w:val="Caption"/>
    <w:locked/>
    <w:rsid w:val="00A52E2F"/>
    <w:rPr>
      <w:b/>
      <w:bCs/>
      <w:sz w:val="24"/>
      <w:szCs w:val="18"/>
    </w:rPr>
  </w:style>
  <w:style w:type="paragraph" w:styleId="BodyTextIndent">
    <w:name w:val="Body Text Indent"/>
    <w:basedOn w:val="Normal"/>
    <w:link w:val="BodyTextIndentChar"/>
    <w:uiPriority w:val="99"/>
    <w:rsid w:val="00EA6568"/>
    <w:pPr>
      <w:spacing w:after="120"/>
      <w:ind w:left="283"/>
    </w:pPr>
    <w:rPr>
      <w:rFonts w:eastAsia="Batang"/>
    </w:rPr>
  </w:style>
  <w:style w:type="character" w:customStyle="1" w:styleId="BodyTextIndentChar">
    <w:name w:val="Body Text Indent Char"/>
    <w:link w:val="BodyTextIndent"/>
    <w:uiPriority w:val="99"/>
    <w:locked/>
    <w:rsid w:val="00EA6568"/>
    <w:rPr>
      <w:rFonts w:ascii="Calibri" w:eastAsia="Batang" w:hAnsi="Calibri" w:cs="Times New Roman"/>
    </w:rPr>
  </w:style>
  <w:style w:type="paragraph" w:styleId="ListParagraph">
    <w:name w:val="List Paragraph"/>
    <w:aliases w:val="Recommendatio,Párrafo de lista,Recommendation,OBC Bullet,Dot pt,F5 List Paragraph,No Spacing1,List Paragraph Char Char Char,Indicator Text,Numbered Para 1,Bullet 1,Bullet Points,List Paragraph2,L,3,References,Colorful List - Accent 11"/>
    <w:basedOn w:val="Normal"/>
    <w:link w:val="ListParagraphChar"/>
    <w:uiPriority w:val="34"/>
    <w:qFormat/>
    <w:rsid w:val="00A52E2F"/>
    <w:pPr>
      <w:spacing w:after="120"/>
    </w:pPr>
  </w:style>
  <w:style w:type="paragraph" w:styleId="Header">
    <w:name w:val="header"/>
    <w:aliases w:val="Header Char2 Char,Header Char1 Char1 Char,Header Char Char Char1 Char,Header Char1 Char Char Char Char,Header Char Char Char Char Char Char,Header Char Char1 Char,Header Char1 Char Char1 Char,Header Char Char Char Char1 Char"/>
    <w:basedOn w:val="Normal"/>
    <w:link w:val="HeaderChar1"/>
    <w:uiPriority w:val="99"/>
    <w:rsid w:val="00E42591"/>
    <w:pPr>
      <w:tabs>
        <w:tab w:val="center" w:pos="4153"/>
        <w:tab w:val="right" w:pos="8306"/>
      </w:tabs>
      <w:spacing w:after="0"/>
      <w:jc w:val="left"/>
    </w:pPr>
    <w:rPr>
      <w:rFonts w:ascii="Arial" w:hAnsi="Arial"/>
      <w:smallCaps/>
      <w:noProof/>
      <w:color w:val="404040" w:themeColor="text1" w:themeTint="BF"/>
      <w:spacing w:val="10"/>
      <w:sz w:val="18"/>
      <w:szCs w:val="20"/>
      <w:lang w:val="en-US" w:eastAsia="en-US"/>
    </w:rPr>
  </w:style>
  <w:style w:type="character" w:customStyle="1" w:styleId="HeaderChar">
    <w:name w:val="Header Char"/>
    <w:aliases w:val="Header Char2 Char Char,Header Char1 Char1 Char Char,Header Char Char Char1 Char Char,Header Char1 Char Char Char Char Char,Header Char Char Char Char Char Char Char,Header Char Char1 Char Char,Header Char1 Char Char1 Char Char"/>
    <w:uiPriority w:val="99"/>
    <w:locked/>
    <w:rsid w:val="002824B8"/>
    <w:rPr>
      <w:rFonts w:cs="Times New Roman"/>
    </w:rPr>
  </w:style>
  <w:style w:type="character" w:customStyle="1" w:styleId="HeaderChar1">
    <w:name w:val="Header Char1"/>
    <w:aliases w:val="Header Char2 Char Char2,Header Char1 Char1 Char Char2,Header Char Char Char1 Char Char2,Header Char1 Char Char Char Char Char2,Header Char Char Char Char Char Char Char2,Header Char Char1 Char Char2,Header Char1 Char Char1 Char Char1"/>
    <w:link w:val="Header"/>
    <w:uiPriority w:val="99"/>
    <w:locked/>
    <w:rsid w:val="00E42591"/>
    <w:rPr>
      <w:rFonts w:ascii="Arial" w:hAnsi="Arial"/>
      <w:smallCaps/>
      <w:noProof/>
      <w:color w:val="404040" w:themeColor="text1" w:themeTint="BF"/>
      <w:spacing w:val="10"/>
      <w:sz w:val="18"/>
      <w:szCs w:val="20"/>
      <w:lang w:val="en-US" w:eastAsia="en-US"/>
    </w:rPr>
  </w:style>
  <w:style w:type="paragraph" w:styleId="BodyText">
    <w:name w:val="Body Text"/>
    <w:basedOn w:val="Normal"/>
    <w:link w:val="BodyTextChar"/>
    <w:uiPriority w:val="99"/>
    <w:rsid w:val="002824B8"/>
    <w:pPr>
      <w:spacing w:after="120"/>
    </w:pPr>
    <w:rPr>
      <w:rFonts w:eastAsia="Times New Roman"/>
    </w:rPr>
  </w:style>
  <w:style w:type="character" w:customStyle="1" w:styleId="BodyTextChar">
    <w:name w:val="Body Text Char"/>
    <w:link w:val="BodyText"/>
    <w:uiPriority w:val="99"/>
    <w:locked/>
    <w:rsid w:val="002824B8"/>
    <w:rPr>
      <w:rFonts w:ascii="Calibri" w:hAnsi="Calibri" w:cs="Times New Roman"/>
    </w:rPr>
  </w:style>
  <w:style w:type="paragraph" w:styleId="BodyTextIndent3">
    <w:name w:val="Body Text Indent 3"/>
    <w:basedOn w:val="Normal"/>
    <w:link w:val="BodyTextIndent3Char"/>
    <w:uiPriority w:val="99"/>
    <w:rsid w:val="00AB2F29"/>
    <w:pPr>
      <w:spacing w:after="120"/>
      <w:ind w:left="283"/>
    </w:pPr>
    <w:rPr>
      <w:sz w:val="16"/>
      <w:szCs w:val="16"/>
    </w:rPr>
  </w:style>
  <w:style w:type="character" w:customStyle="1" w:styleId="BodyTextIndent3Char">
    <w:name w:val="Body Text Indent 3 Char"/>
    <w:link w:val="BodyTextIndent3"/>
    <w:uiPriority w:val="99"/>
    <w:locked/>
    <w:rsid w:val="00AB2F29"/>
    <w:rPr>
      <w:rFonts w:cs="Times New Roman"/>
      <w:sz w:val="16"/>
      <w:szCs w:val="16"/>
    </w:rPr>
  </w:style>
  <w:style w:type="paragraph" w:styleId="CommentText">
    <w:name w:val="annotation text"/>
    <w:basedOn w:val="Normal"/>
    <w:link w:val="CommentTextChar"/>
    <w:uiPriority w:val="99"/>
    <w:rsid w:val="00AB2F29"/>
    <w:pPr>
      <w:spacing w:after="0"/>
      <w:jc w:val="left"/>
    </w:pPr>
    <w:rPr>
      <w:rFonts w:eastAsia="Times New Roman"/>
      <w:sz w:val="20"/>
      <w:szCs w:val="20"/>
    </w:rPr>
  </w:style>
  <w:style w:type="character" w:customStyle="1" w:styleId="CommentTextChar">
    <w:name w:val="Comment Text Char"/>
    <w:link w:val="CommentText"/>
    <w:uiPriority w:val="99"/>
    <w:locked/>
    <w:rsid w:val="00AB2F29"/>
    <w:rPr>
      <w:rFonts w:ascii="Times New Roman" w:hAnsi="Times New Roman" w:cs="Times New Roman"/>
      <w:sz w:val="20"/>
      <w:szCs w:val="20"/>
    </w:rPr>
  </w:style>
  <w:style w:type="character" w:styleId="CommentReference">
    <w:name w:val="annotation reference"/>
    <w:uiPriority w:val="99"/>
    <w:rsid w:val="00AB2F29"/>
    <w:rPr>
      <w:rFonts w:cs="Times New Roman"/>
      <w:sz w:val="16"/>
    </w:rPr>
  </w:style>
  <w:style w:type="paragraph" w:customStyle="1" w:styleId="Style">
    <w:name w:val="Style"/>
    <w:link w:val="StyleChar"/>
    <w:uiPriority w:val="99"/>
    <w:rsid w:val="00AB2F29"/>
    <w:pPr>
      <w:widowControl w:val="0"/>
      <w:autoSpaceDE w:val="0"/>
      <w:autoSpaceDN w:val="0"/>
      <w:adjustRightInd w:val="0"/>
      <w:ind w:left="140" w:right="140" w:firstLine="840"/>
      <w:jc w:val="both"/>
    </w:pPr>
    <w:rPr>
      <w:rFonts w:ascii="Arial Narrow" w:hAnsi="Arial Narrow"/>
    </w:rPr>
  </w:style>
  <w:style w:type="character" w:customStyle="1" w:styleId="StyleChar">
    <w:name w:val="Style Char"/>
    <w:link w:val="Style"/>
    <w:uiPriority w:val="99"/>
    <w:locked/>
    <w:rsid w:val="00AB2F29"/>
    <w:rPr>
      <w:rFonts w:ascii="Arial Narrow" w:hAnsi="Arial Narrow"/>
      <w:sz w:val="22"/>
      <w:lang w:eastAsia="bg-BG"/>
    </w:rPr>
  </w:style>
  <w:style w:type="character" w:styleId="Emphasis">
    <w:name w:val="Emphasis"/>
    <w:basedOn w:val="DefaultParagraphFont"/>
    <w:uiPriority w:val="20"/>
    <w:qFormat/>
    <w:rsid w:val="00A52E2F"/>
    <w:rPr>
      <w:i/>
      <w:iCs/>
    </w:rPr>
  </w:style>
  <w:style w:type="paragraph" w:styleId="TOCHeading">
    <w:name w:val="TOC Heading"/>
    <w:basedOn w:val="Heading1"/>
    <w:next w:val="Normal"/>
    <w:uiPriority w:val="39"/>
    <w:qFormat/>
    <w:rsid w:val="00736E30"/>
    <w:pPr>
      <w:numPr>
        <w:numId w:val="0"/>
      </w:numPr>
      <w:spacing w:before="480" w:after="0"/>
      <w:jc w:val="both"/>
      <w:outlineLvl w:val="9"/>
    </w:pPr>
    <w:rPr>
      <w:b/>
      <w:color w:val="E65B01" w:themeColor="accent1" w:themeShade="BF"/>
      <w:spacing w:val="0"/>
      <w:sz w:val="28"/>
    </w:rPr>
  </w:style>
  <w:style w:type="paragraph" w:styleId="TOC2">
    <w:name w:val="toc 2"/>
    <w:basedOn w:val="Normal"/>
    <w:next w:val="Normal"/>
    <w:autoRedefine/>
    <w:uiPriority w:val="39"/>
    <w:rsid w:val="00BD2441"/>
    <w:pPr>
      <w:tabs>
        <w:tab w:val="left" w:pos="284"/>
        <w:tab w:val="left" w:pos="400"/>
        <w:tab w:val="right" w:leader="dot" w:pos="9060"/>
      </w:tabs>
      <w:spacing w:before="120" w:after="60"/>
      <w:ind w:left="687" w:hanging="403"/>
      <w:jc w:val="left"/>
    </w:pPr>
    <w:rPr>
      <w:bCs/>
      <w:caps/>
      <w:noProof/>
      <w:sz w:val="18"/>
      <w:lang w:val="en-US"/>
    </w:rPr>
  </w:style>
  <w:style w:type="paragraph" w:styleId="TOC3">
    <w:name w:val="toc 3"/>
    <w:basedOn w:val="Normal"/>
    <w:next w:val="Normal"/>
    <w:autoRedefine/>
    <w:uiPriority w:val="39"/>
    <w:rsid w:val="004C3CD4"/>
    <w:pPr>
      <w:tabs>
        <w:tab w:val="left" w:pos="543"/>
        <w:tab w:val="right" w:leader="dot" w:pos="9060"/>
      </w:tabs>
      <w:spacing w:after="0"/>
      <w:ind w:left="1224" w:hanging="544"/>
      <w:jc w:val="left"/>
    </w:pPr>
    <w:rPr>
      <w:caps/>
      <w:noProof/>
      <w:w w:val="90"/>
      <w:sz w:val="20"/>
      <w:lang w:val="ru-RU" w:eastAsia="zh-CN"/>
    </w:rPr>
  </w:style>
  <w:style w:type="character" w:styleId="Hyperlink">
    <w:name w:val="Hyperlink"/>
    <w:uiPriority w:val="99"/>
    <w:rsid w:val="00736E30"/>
    <w:rPr>
      <w:rFonts w:cs="Times New Roman"/>
      <w:color w:val="0000FF"/>
      <w:u w:val="single"/>
    </w:rPr>
  </w:style>
  <w:style w:type="paragraph" w:styleId="CommentSubject">
    <w:name w:val="annotation subject"/>
    <w:basedOn w:val="CommentText"/>
    <w:next w:val="CommentText"/>
    <w:link w:val="CommentSubjectChar"/>
    <w:uiPriority w:val="99"/>
    <w:rsid w:val="0067451D"/>
    <w:pPr>
      <w:spacing w:before="100" w:beforeAutospacing="1" w:after="100" w:afterAutospacing="1"/>
      <w:ind w:left="1349" w:hanging="357"/>
      <w:jc w:val="both"/>
    </w:pPr>
    <w:rPr>
      <w:rFonts w:ascii="Calibri" w:eastAsia="Calibri" w:hAnsi="Calibri"/>
      <w:b/>
      <w:bCs/>
    </w:rPr>
  </w:style>
  <w:style w:type="character" w:customStyle="1" w:styleId="CommentSubjectChar">
    <w:name w:val="Comment Subject Char"/>
    <w:link w:val="CommentSubject"/>
    <w:uiPriority w:val="99"/>
    <w:locked/>
    <w:rsid w:val="0067451D"/>
    <w:rPr>
      <w:rFonts w:ascii="Times New Roman" w:hAnsi="Times New Roman" w:cs="Times New Roman"/>
      <w:b/>
      <w:bCs/>
      <w:sz w:val="20"/>
      <w:szCs w:val="20"/>
    </w:rPr>
  </w:style>
  <w:style w:type="paragraph" w:styleId="TOC1">
    <w:name w:val="toc 1"/>
    <w:basedOn w:val="Normal"/>
    <w:next w:val="Normal"/>
    <w:uiPriority w:val="39"/>
    <w:unhideWhenUsed/>
    <w:locked/>
    <w:rsid w:val="00850F48"/>
    <w:pPr>
      <w:tabs>
        <w:tab w:val="right" w:leader="dot" w:pos="9060"/>
      </w:tabs>
      <w:spacing w:before="240"/>
      <w:jc w:val="left"/>
      <w:outlineLvl w:val="0"/>
    </w:pPr>
    <w:rPr>
      <w:b/>
      <w:noProof/>
      <w:color w:val="852010" w:themeColor="accent3" w:themeShade="BF"/>
      <w:sz w:val="22"/>
      <w14:scene3d>
        <w14:camera w14:prst="orthographicFront"/>
        <w14:lightRig w14:rig="threePt" w14:dir="t">
          <w14:rot w14:lat="0" w14:lon="0" w14:rev="0"/>
        </w14:lightRig>
      </w14:scene3d>
    </w:rPr>
  </w:style>
  <w:style w:type="paragraph" w:styleId="NormalWeb">
    <w:name w:val="Normal (Web)"/>
    <w:basedOn w:val="Normal"/>
    <w:uiPriority w:val="99"/>
    <w:rsid w:val="00D14104"/>
    <w:pPr>
      <w:jc w:val="left"/>
    </w:pPr>
    <w:rPr>
      <w:rFonts w:eastAsia="Times New Roman"/>
      <w:szCs w:val="24"/>
      <w:lang w:val="en-US"/>
    </w:rPr>
  </w:style>
  <w:style w:type="character" w:customStyle="1" w:styleId="HeaderChar2">
    <w:name w:val="Header Char2"/>
    <w:aliases w:val="Header Char Char1,Header Char2 Char Char1,Header Char1 Char1 Char Char1,Header Char Char Char1 Char Char1,Header Char1 Char Char Char Char Char1,Header Char Char Char Char Char Char Char1,Header Char Char1 Char Char1"/>
    <w:uiPriority w:val="99"/>
    <w:locked/>
    <w:rsid w:val="00F276E4"/>
    <w:rPr>
      <w:sz w:val="24"/>
      <w:lang w:val="bg-BG" w:eastAsia="en-US"/>
    </w:rPr>
  </w:style>
  <w:style w:type="paragraph" w:styleId="Footer">
    <w:name w:val="footer"/>
    <w:basedOn w:val="Normal"/>
    <w:link w:val="FooterChar"/>
    <w:uiPriority w:val="99"/>
    <w:rsid w:val="00F276E4"/>
    <w:pPr>
      <w:tabs>
        <w:tab w:val="center" w:pos="4536"/>
        <w:tab w:val="right" w:pos="9072"/>
      </w:tabs>
    </w:pPr>
    <w:rPr>
      <w:rFonts w:eastAsia="Times New Roman"/>
    </w:rPr>
  </w:style>
  <w:style w:type="character" w:customStyle="1" w:styleId="FooterChar">
    <w:name w:val="Footer Char"/>
    <w:link w:val="Footer"/>
    <w:uiPriority w:val="99"/>
    <w:locked/>
    <w:rsid w:val="00F276E4"/>
    <w:rPr>
      <w:rFonts w:ascii="Calibri" w:hAnsi="Calibri" w:cs="Times New Roman"/>
    </w:rPr>
  </w:style>
  <w:style w:type="character" w:styleId="PageNumber">
    <w:name w:val="page number"/>
    <w:uiPriority w:val="99"/>
    <w:rsid w:val="00F276E4"/>
    <w:rPr>
      <w:rFonts w:cs="Times New Roman"/>
    </w:rPr>
  </w:style>
  <w:style w:type="character" w:customStyle="1" w:styleId="scnt">
    <w:name w:val="scnt"/>
    <w:uiPriority w:val="99"/>
    <w:rsid w:val="00F276E4"/>
    <w:rPr>
      <w:rFonts w:cs="Times New Roman"/>
    </w:rPr>
  </w:style>
  <w:style w:type="paragraph" w:customStyle="1" w:styleId="source">
    <w:name w:val="source"/>
    <w:basedOn w:val="Normal"/>
    <w:uiPriority w:val="99"/>
    <w:rsid w:val="00F276E4"/>
    <w:pPr>
      <w:keepLines/>
      <w:spacing w:before="60" w:after="240"/>
      <w:ind w:right="1134"/>
      <w:contextualSpacing/>
      <w:jc w:val="right"/>
    </w:pPr>
    <w:rPr>
      <w:rFonts w:ascii="Verdana" w:eastAsia="Times New Roman" w:hAnsi="Verdana" w:cs="Arial"/>
      <w:w w:val="90"/>
      <w:sz w:val="16"/>
      <w:szCs w:val="20"/>
    </w:rPr>
  </w:style>
  <w:style w:type="paragraph" w:customStyle="1" w:styleId="tabletextleft">
    <w:name w:val="table text left"/>
    <w:basedOn w:val="Normal"/>
    <w:link w:val="tabletextleftChar"/>
    <w:rsid w:val="00F276E4"/>
    <w:pPr>
      <w:spacing w:after="120"/>
      <w:jc w:val="left"/>
    </w:pPr>
    <w:rPr>
      <w:w w:val="90"/>
      <w:sz w:val="20"/>
      <w:szCs w:val="20"/>
    </w:rPr>
  </w:style>
  <w:style w:type="character" w:customStyle="1" w:styleId="tabletextleftChar">
    <w:name w:val="table text left Char"/>
    <w:link w:val="tabletextleft"/>
    <w:locked/>
    <w:rsid w:val="00F276E4"/>
    <w:rPr>
      <w:rFonts w:ascii="Times New Roman" w:hAnsi="Times New Roman"/>
      <w:w w:val="90"/>
      <w:sz w:val="20"/>
      <w:lang w:eastAsia="bg-BG"/>
    </w:rPr>
  </w:style>
  <w:style w:type="paragraph" w:customStyle="1" w:styleId="Style10ptCentered">
    <w:name w:val="Style 10 pt Centered"/>
    <w:basedOn w:val="Normal"/>
    <w:uiPriority w:val="99"/>
    <w:rsid w:val="00F276E4"/>
    <w:pPr>
      <w:spacing w:after="120"/>
      <w:jc w:val="center"/>
    </w:pPr>
    <w:rPr>
      <w:rFonts w:ascii="Verdana" w:eastAsia="Times New Roman" w:hAnsi="Verdana"/>
      <w:w w:val="90"/>
      <w:sz w:val="20"/>
      <w:szCs w:val="20"/>
    </w:rPr>
  </w:style>
  <w:style w:type="paragraph" w:styleId="BlockText">
    <w:name w:val="Block Text"/>
    <w:basedOn w:val="Normal"/>
    <w:uiPriority w:val="99"/>
    <w:rsid w:val="00F276E4"/>
    <w:pPr>
      <w:spacing w:after="120"/>
      <w:ind w:left="1440" w:right="1440"/>
    </w:pPr>
    <w:rPr>
      <w:rFonts w:eastAsia="Times New Roman"/>
    </w:rPr>
  </w:style>
  <w:style w:type="paragraph" w:customStyle="1" w:styleId="StyleHeading3TimesNewRomanAuto">
    <w:name w:val="Style Heading 3 + Times New Roman Auto"/>
    <w:basedOn w:val="Heading3"/>
    <w:link w:val="StyleHeading3TimesNewRomanAutoChar"/>
    <w:uiPriority w:val="99"/>
    <w:rsid w:val="00F276E4"/>
    <w:pPr>
      <w:keepLines w:val="0"/>
      <w:spacing w:before="240" w:after="180"/>
      <w:ind w:left="-567"/>
    </w:pPr>
    <w:rPr>
      <w:rFonts w:ascii="Times New Roman" w:eastAsia="Calibri" w:hAnsi="Times New Roman"/>
      <w:b w:val="0"/>
      <w:bCs w:val="0"/>
      <w:i/>
      <w:color w:val="auto"/>
      <w:sz w:val="26"/>
      <w:szCs w:val="20"/>
    </w:rPr>
  </w:style>
  <w:style w:type="character" w:customStyle="1" w:styleId="StyleHeading3TimesNewRomanAutoChar">
    <w:name w:val="Style Heading 3 + Times New Roman Auto Char"/>
    <w:link w:val="StyleHeading3TimesNewRomanAuto"/>
    <w:uiPriority w:val="99"/>
    <w:locked/>
    <w:rsid w:val="00F276E4"/>
    <w:rPr>
      <w:rFonts w:ascii="Times New Roman" w:eastAsia="Calibri" w:hAnsi="Times New Roman" w:cstheme="majorBidi"/>
      <w:i/>
      <w:caps/>
      <w:sz w:val="26"/>
      <w:szCs w:val="20"/>
    </w:rPr>
  </w:style>
  <w:style w:type="paragraph" w:styleId="TOC4">
    <w:name w:val="toc 4"/>
    <w:basedOn w:val="Normal"/>
    <w:next w:val="Normal"/>
    <w:autoRedefine/>
    <w:uiPriority w:val="39"/>
    <w:rsid w:val="00EF7923"/>
    <w:pPr>
      <w:tabs>
        <w:tab w:val="left" w:pos="993"/>
        <w:tab w:val="left" w:pos="1134"/>
        <w:tab w:val="left" w:pos="1276"/>
        <w:tab w:val="right" w:leader="dot" w:pos="9070"/>
      </w:tabs>
      <w:spacing w:after="60"/>
    </w:pPr>
    <w:rPr>
      <w:spacing w:val="12"/>
      <w:sz w:val="32"/>
      <w:szCs w:val="32"/>
    </w:rPr>
  </w:style>
  <w:style w:type="paragraph" w:styleId="TOC5">
    <w:name w:val="toc 5"/>
    <w:basedOn w:val="Normal"/>
    <w:next w:val="Normal"/>
    <w:autoRedefine/>
    <w:uiPriority w:val="39"/>
    <w:rsid w:val="00F276E4"/>
    <w:pPr>
      <w:spacing w:after="0"/>
      <w:jc w:val="left"/>
    </w:pPr>
  </w:style>
  <w:style w:type="paragraph" w:styleId="TOC6">
    <w:name w:val="toc 6"/>
    <w:basedOn w:val="Normal"/>
    <w:next w:val="Normal"/>
    <w:autoRedefine/>
    <w:uiPriority w:val="39"/>
    <w:rsid w:val="00F276E4"/>
    <w:pPr>
      <w:spacing w:after="0"/>
      <w:jc w:val="left"/>
    </w:pPr>
  </w:style>
  <w:style w:type="paragraph" w:styleId="TOC7">
    <w:name w:val="toc 7"/>
    <w:basedOn w:val="Normal"/>
    <w:next w:val="Normal"/>
    <w:autoRedefine/>
    <w:uiPriority w:val="39"/>
    <w:rsid w:val="00F276E4"/>
    <w:pPr>
      <w:spacing w:after="0"/>
      <w:jc w:val="left"/>
    </w:pPr>
  </w:style>
  <w:style w:type="paragraph" w:styleId="TOC8">
    <w:name w:val="toc 8"/>
    <w:basedOn w:val="Normal"/>
    <w:next w:val="Normal"/>
    <w:autoRedefine/>
    <w:uiPriority w:val="39"/>
    <w:rsid w:val="00F276E4"/>
    <w:pPr>
      <w:spacing w:after="0"/>
      <w:jc w:val="left"/>
    </w:pPr>
  </w:style>
  <w:style w:type="paragraph" w:styleId="TOC9">
    <w:name w:val="toc 9"/>
    <w:basedOn w:val="Normal"/>
    <w:next w:val="Normal"/>
    <w:autoRedefine/>
    <w:uiPriority w:val="39"/>
    <w:rsid w:val="00F276E4"/>
    <w:pPr>
      <w:spacing w:after="0"/>
      <w:jc w:val="left"/>
    </w:pPr>
  </w:style>
  <w:style w:type="paragraph" w:styleId="NoSpacing">
    <w:name w:val="No Spacing"/>
    <w:link w:val="NoSpacingChar"/>
    <w:uiPriority w:val="1"/>
    <w:qFormat/>
    <w:rsid w:val="00A52E2F"/>
    <w:pPr>
      <w:spacing w:after="0" w:line="240" w:lineRule="auto"/>
    </w:pPr>
  </w:style>
  <w:style w:type="character" w:customStyle="1" w:styleId="NoSpacingChar">
    <w:name w:val="No Spacing Char"/>
    <w:basedOn w:val="DefaultParagraphFont"/>
    <w:link w:val="NoSpacing"/>
    <w:uiPriority w:val="1"/>
    <w:locked/>
    <w:rsid w:val="00A52E2F"/>
  </w:style>
  <w:style w:type="paragraph" w:customStyle="1" w:styleId="CharCharCharCharCharChar">
    <w:name w:val="Char Char Char Char Знак Char Char Знак"/>
    <w:basedOn w:val="Normal"/>
    <w:uiPriority w:val="99"/>
    <w:rsid w:val="00F276E4"/>
    <w:pPr>
      <w:tabs>
        <w:tab w:val="left" w:pos="709"/>
      </w:tabs>
      <w:spacing w:after="0"/>
      <w:jc w:val="left"/>
    </w:pPr>
    <w:rPr>
      <w:rFonts w:ascii="Tahoma" w:eastAsia="Times New Roman" w:hAnsi="Tahoma"/>
      <w:szCs w:val="24"/>
      <w:lang w:val="pl-PL" w:eastAsia="pl-PL"/>
    </w:rPr>
  </w:style>
  <w:style w:type="character" w:customStyle="1" w:styleId="apple-style-span">
    <w:name w:val="apple-style-span"/>
    <w:uiPriority w:val="99"/>
    <w:rsid w:val="00F276E4"/>
    <w:rPr>
      <w:rFonts w:cs="Times New Roman"/>
    </w:rPr>
  </w:style>
  <w:style w:type="paragraph" w:customStyle="1" w:styleId="StyleHeading2TimesNewRomanNotBoldUnderlineAfter6pt">
    <w:name w:val="Style Heading 2 + Times New Roman Not Bold Underline After:  6 pt"/>
    <w:basedOn w:val="Heading2"/>
    <w:autoRedefine/>
    <w:uiPriority w:val="99"/>
    <w:rsid w:val="00F276E4"/>
    <w:pPr>
      <w:keepLines w:val="0"/>
      <w:spacing w:before="120" w:after="120"/>
      <w:jc w:val="center"/>
    </w:pPr>
    <w:rPr>
      <w:rFonts w:ascii="Times New Roman" w:hAnsi="Times New Roman"/>
      <w:bCs w:val="0"/>
      <w:iCs/>
      <w:color w:val="000000"/>
      <w:sz w:val="24"/>
      <w:szCs w:val="24"/>
    </w:rPr>
  </w:style>
  <w:style w:type="paragraph" w:customStyle="1" w:styleId="CharCharCharChar">
    <w:name w:val="Char Char Char Char"/>
    <w:basedOn w:val="Normal"/>
    <w:uiPriority w:val="99"/>
    <w:rsid w:val="00F276E4"/>
    <w:pPr>
      <w:spacing w:after="160" w:line="240" w:lineRule="exact"/>
      <w:jc w:val="left"/>
    </w:pPr>
    <w:rPr>
      <w:rFonts w:ascii="Tahoma" w:eastAsia="Times New Roman" w:hAnsi="Tahoma"/>
      <w:sz w:val="20"/>
      <w:szCs w:val="20"/>
      <w:lang w:val="en-US"/>
    </w:rPr>
  </w:style>
  <w:style w:type="character" w:customStyle="1" w:styleId="longtext">
    <w:name w:val="long_text"/>
    <w:uiPriority w:val="99"/>
    <w:rsid w:val="00F276E4"/>
    <w:rPr>
      <w:rFonts w:cs="Times New Roman"/>
    </w:rPr>
  </w:style>
  <w:style w:type="character" w:customStyle="1" w:styleId="hps">
    <w:name w:val="hps"/>
    <w:uiPriority w:val="99"/>
    <w:rsid w:val="00F276E4"/>
    <w:rPr>
      <w:rFonts w:cs="Times New Roman"/>
    </w:rPr>
  </w:style>
  <w:style w:type="table" w:customStyle="1" w:styleId="TableGrid1">
    <w:name w:val="Table Grid1"/>
    <w:uiPriority w:val="99"/>
    <w:rsid w:val="00F276E4"/>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722CC6"/>
    <w:pPr>
      <w:pBdr>
        <w:bottom w:val="single" w:sz="8" w:space="4" w:color="FE8637" w:themeColor="accent1"/>
      </w:pBdr>
      <w:spacing w:after="300"/>
      <w:contextualSpacing/>
    </w:pPr>
    <w:rPr>
      <w:rFonts w:asciiTheme="majorHAnsi" w:eastAsiaTheme="majorEastAsia" w:hAnsiTheme="majorHAnsi" w:cstheme="majorBidi"/>
      <w:color w:val="852010"/>
      <w:spacing w:val="5"/>
      <w:kern w:val="28"/>
      <w:sz w:val="52"/>
      <w:szCs w:val="52"/>
    </w:rPr>
  </w:style>
  <w:style w:type="character" w:customStyle="1" w:styleId="TitleChar">
    <w:name w:val="Title Char"/>
    <w:basedOn w:val="DefaultParagraphFont"/>
    <w:link w:val="Title"/>
    <w:uiPriority w:val="10"/>
    <w:locked/>
    <w:rsid w:val="00722CC6"/>
    <w:rPr>
      <w:rFonts w:asciiTheme="majorHAnsi" w:eastAsiaTheme="majorEastAsia" w:hAnsiTheme="majorHAnsi" w:cstheme="majorBidi"/>
      <w:color w:val="852010"/>
      <w:spacing w:val="5"/>
      <w:kern w:val="28"/>
      <w:sz w:val="52"/>
      <w:szCs w:val="52"/>
    </w:rPr>
  </w:style>
  <w:style w:type="paragraph" w:customStyle="1" w:styleId="CharCharCharCharCharChar0">
    <w:name w:val="Char Char Char Char Char Char"/>
    <w:basedOn w:val="Normal"/>
    <w:uiPriority w:val="99"/>
    <w:rsid w:val="00F276E4"/>
    <w:pPr>
      <w:spacing w:before="120" w:after="160" w:line="240" w:lineRule="exact"/>
      <w:jc w:val="left"/>
    </w:pPr>
    <w:rPr>
      <w:rFonts w:ascii="Tahoma" w:eastAsia="Times New Roman" w:hAnsi="Tahoma"/>
      <w:sz w:val="20"/>
      <w:szCs w:val="20"/>
      <w:lang w:val="en-US"/>
    </w:rPr>
  </w:style>
  <w:style w:type="paragraph" w:customStyle="1" w:styleId="Char">
    <w:name w:val="Char"/>
    <w:basedOn w:val="Normal"/>
    <w:uiPriority w:val="99"/>
    <w:rsid w:val="00F276E4"/>
    <w:pPr>
      <w:spacing w:after="160" w:line="240" w:lineRule="exact"/>
      <w:jc w:val="left"/>
    </w:pPr>
    <w:rPr>
      <w:rFonts w:ascii="Tahoma" w:eastAsia="Times New Roman" w:hAnsi="Tahoma"/>
      <w:sz w:val="20"/>
      <w:szCs w:val="20"/>
      <w:lang w:val="en-US"/>
    </w:rPr>
  </w:style>
  <w:style w:type="paragraph" w:styleId="BodyText2">
    <w:name w:val="Body Text 2"/>
    <w:basedOn w:val="Normal"/>
    <w:link w:val="BodyText2Char"/>
    <w:uiPriority w:val="99"/>
    <w:rsid w:val="00F276E4"/>
    <w:pPr>
      <w:spacing w:after="120" w:line="480" w:lineRule="auto"/>
    </w:pPr>
    <w:rPr>
      <w:rFonts w:eastAsia="Times New Roman"/>
    </w:rPr>
  </w:style>
  <w:style w:type="character" w:customStyle="1" w:styleId="BodyText2Char">
    <w:name w:val="Body Text 2 Char"/>
    <w:link w:val="BodyText2"/>
    <w:uiPriority w:val="99"/>
    <w:locked/>
    <w:rsid w:val="00F276E4"/>
    <w:rPr>
      <w:rFonts w:ascii="Calibri" w:hAnsi="Calibri" w:cs="Times New Roman"/>
    </w:rPr>
  </w:style>
  <w:style w:type="paragraph" w:customStyle="1" w:styleId="Text1">
    <w:name w:val="Text 1"/>
    <w:basedOn w:val="Normal"/>
    <w:uiPriority w:val="99"/>
    <w:rsid w:val="00F276E4"/>
    <w:pPr>
      <w:spacing w:before="120" w:after="120"/>
      <w:ind w:left="850"/>
    </w:pPr>
    <w:rPr>
      <w:rFonts w:eastAsia="Times New Roman"/>
      <w:szCs w:val="24"/>
    </w:rPr>
  </w:style>
  <w:style w:type="paragraph" w:styleId="BodyText3">
    <w:name w:val="Body Text 3"/>
    <w:basedOn w:val="Normal"/>
    <w:link w:val="BodyText3Char"/>
    <w:uiPriority w:val="99"/>
    <w:rsid w:val="00F276E4"/>
    <w:pPr>
      <w:spacing w:after="120"/>
    </w:pPr>
    <w:rPr>
      <w:rFonts w:eastAsia="Times New Roman"/>
      <w:sz w:val="16"/>
      <w:szCs w:val="16"/>
    </w:rPr>
  </w:style>
  <w:style w:type="character" w:customStyle="1" w:styleId="BodyText3Char">
    <w:name w:val="Body Text 3 Char"/>
    <w:link w:val="BodyText3"/>
    <w:uiPriority w:val="99"/>
    <w:locked/>
    <w:rsid w:val="00F276E4"/>
    <w:rPr>
      <w:rFonts w:ascii="Calibri" w:hAnsi="Calibri" w:cs="Times New Roman"/>
      <w:sz w:val="16"/>
      <w:szCs w:val="16"/>
    </w:rPr>
  </w:style>
  <w:style w:type="paragraph" w:styleId="BodyTextIndent2">
    <w:name w:val="Body Text Indent 2"/>
    <w:basedOn w:val="Normal"/>
    <w:link w:val="BodyTextIndent2Char"/>
    <w:uiPriority w:val="99"/>
    <w:semiHidden/>
    <w:rsid w:val="000C1C21"/>
    <w:pPr>
      <w:spacing w:after="120" w:line="480" w:lineRule="auto"/>
      <w:ind w:left="283"/>
    </w:pPr>
  </w:style>
  <w:style w:type="character" w:customStyle="1" w:styleId="BodyTextIndent2Char">
    <w:name w:val="Body Text Indent 2 Char"/>
    <w:link w:val="BodyTextIndent2"/>
    <w:uiPriority w:val="99"/>
    <w:semiHidden/>
    <w:locked/>
    <w:rsid w:val="000C1C21"/>
    <w:rPr>
      <w:rFonts w:cs="Times New Roman"/>
    </w:rPr>
  </w:style>
  <w:style w:type="paragraph" w:styleId="Revision">
    <w:name w:val="Revision"/>
    <w:hidden/>
    <w:uiPriority w:val="99"/>
    <w:semiHidden/>
    <w:rsid w:val="00520004"/>
    <w:rPr>
      <w:lang w:eastAsia="en-US"/>
    </w:rPr>
  </w:style>
  <w:style w:type="paragraph" w:styleId="PlainText">
    <w:name w:val="Plain Text"/>
    <w:basedOn w:val="Normal"/>
    <w:link w:val="PlainTextChar"/>
    <w:uiPriority w:val="99"/>
    <w:semiHidden/>
    <w:locked/>
    <w:rsid w:val="00F6335A"/>
    <w:pPr>
      <w:spacing w:after="0"/>
      <w:jc w:val="left"/>
    </w:pPr>
    <w:rPr>
      <w:szCs w:val="21"/>
    </w:rPr>
  </w:style>
  <w:style w:type="character" w:customStyle="1" w:styleId="PlainTextChar">
    <w:name w:val="Plain Text Char"/>
    <w:link w:val="PlainText"/>
    <w:uiPriority w:val="99"/>
    <w:semiHidden/>
    <w:locked/>
    <w:rsid w:val="00F6335A"/>
    <w:rPr>
      <w:rFonts w:eastAsia="Times New Roman" w:cs="Times New Roman"/>
      <w:sz w:val="21"/>
      <w:szCs w:val="21"/>
      <w:lang w:eastAsia="en-US"/>
    </w:rPr>
  </w:style>
  <w:style w:type="table" w:styleId="ColorfulList">
    <w:name w:val="Colorful List"/>
    <w:basedOn w:val="TableNormal"/>
    <w:uiPriority w:val="72"/>
    <w:rsid w:val="00255A7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Shading">
    <w:name w:val="Light Shading"/>
    <w:basedOn w:val="TableNormal"/>
    <w:uiPriority w:val="60"/>
    <w:rsid w:val="00CF5B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2-Accent42">
    <w:name w:val="Medium Grid 2 - Accent 42"/>
    <w:basedOn w:val="TableNormal"/>
    <w:next w:val="MediumGrid2-Accent4"/>
    <w:uiPriority w:val="68"/>
    <w:rsid w:val="008F4683"/>
    <w:rPr>
      <w:rFonts w:ascii="Cambria" w:eastAsia="Times New Roman" w:hAnsi="Cambria"/>
      <w:color w:val="000000"/>
      <w:lang w:val="en-US" w:eastAsia="ja-JP"/>
    </w:rPr>
    <w:tblPr>
      <w:tblStyleRowBandSize w:val="1"/>
      <w:tblStyleColBandSize w:val="1"/>
      <w:tblBorders>
        <w:top w:val="single" w:sz="8" w:space="0" w:color="838383"/>
        <w:left w:val="single" w:sz="8" w:space="0" w:color="838383"/>
        <w:bottom w:val="single" w:sz="8" w:space="0" w:color="838383"/>
        <w:right w:val="single" w:sz="8" w:space="0" w:color="838383"/>
        <w:insideH w:val="single" w:sz="8" w:space="0" w:color="838383"/>
        <w:insideV w:val="single" w:sz="8" w:space="0" w:color="838383"/>
      </w:tblBorders>
    </w:tblPr>
    <w:tcPr>
      <w:shd w:val="clear" w:color="auto" w:fill="E0E0E0"/>
    </w:tcPr>
    <w:tblStylePr w:type="firstRow">
      <w:rPr>
        <w:b/>
        <w:bCs/>
        <w:color w:val="000000"/>
      </w:rPr>
      <w:tblPr/>
      <w:tcPr>
        <w:shd w:val="clear" w:color="auto" w:fill="F2F2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E6E6"/>
      </w:tcPr>
    </w:tblStylePr>
    <w:tblStylePr w:type="band1Vert">
      <w:tblPr/>
      <w:tcPr>
        <w:shd w:val="clear" w:color="auto" w:fill="C1C1C1"/>
      </w:tcPr>
    </w:tblStylePr>
    <w:tblStylePr w:type="band1Horz">
      <w:tblPr/>
      <w:tcPr>
        <w:tcBorders>
          <w:insideH w:val="single" w:sz="6" w:space="0" w:color="838383"/>
          <w:insideV w:val="single" w:sz="6" w:space="0" w:color="838383"/>
        </w:tcBorders>
        <w:shd w:val="clear" w:color="auto" w:fill="C1C1C1"/>
      </w:tcPr>
    </w:tblStylePr>
    <w:tblStylePr w:type="nwCell">
      <w:tblPr/>
      <w:tcPr>
        <w:shd w:val="clear" w:color="auto" w:fill="FFFFFF"/>
      </w:tcPr>
    </w:tblStylePr>
  </w:style>
  <w:style w:type="table" w:styleId="MediumGrid2-Accent4">
    <w:name w:val="Medium Grid 2 Accent 4"/>
    <w:basedOn w:val="TableNormal"/>
    <w:uiPriority w:val="68"/>
    <w:rsid w:val="008F4683"/>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F4683"/>
    <w:rPr>
      <w:rFonts w:ascii="Cambria" w:eastAsia="Times New Roman" w:hAnsi="Cambria"/>
      <w:color w:val="000000"/>
      <w:lang w:val="en-US" w:eastAsia="ja-JP"/>
    </w:rPr>
    <w:tblPr>
      <w:tblStyleRowBandSize w:val="1"/>
      <w:tblStyleColBandSize w:val="1"/>
      <w:tblBorders>
        <w:top w:val="single" w:sz="8" w:space="0" w:color="838383"/>
        <w:left w:val="single" w:sz="8" w:space="0" w:color="838383"/>
        <w:bottom w:val="single" w:sz="8" w:space="0" w:color="838383"/>
        <w:right w:val="single" w:sz="8" w:space="0" w:color="838383"/>
        <w:insideH w:val="single" w:sz="8" w:space="0" w:color="838383"/>
        <w:insideV w:val="single" w:sz="8" w:space="0" w:color="838383"/>
      </w:tblBorders>
    </w:tblPr>
    <w:tcPr>
      <w:shd w:val="clear" w:color="auto" w:fill="E0E0E0"/>
    </w:tcPr>
    <w:tblStylePr w:type="firstRow">
      <w:rPr>
        <w:b/>
        <w:bCs/>
        <w:color w:val="000000"/>
      </w:rPr>
      <w:tblPr/>
      <w:tcPr>
        <w:shd w:val="clear" w:color="auto" w:fill="F2F2F2"/>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E6E6"/>
      </w:tcPr>
    </w:tblStylePr>
    <w:tblStylePr w:type="band1Vert">
      <w:tblPr/>
      <w:tcPr>
        <w:shd w:val="clear" w:color="auto" w:fill="C1C1C1"/>
      </w:tcPr>
    </w:tblStylePr>
    <w:tblStylePr w:type="band1Horz">
      <w:tblPr/>
      <w:tcPr>
        <w:tcBorders>
          <w:insideH w:val="single" w:sz="6" w:space="0" w:color="838383"/>
          <w:insideV w:val="single" w:sz="6" w:space="0" w:color="838383"/>
        </w:tcBorders>
        <w:shd w:val="clear" w:color="auto" w:fill="C1C1C1"/>
      </w:tcPr>
    </w:tblStylePr>
    <w:tblStylePr w:type="nwCell">
      <w:tblPr/>
      <w:tcPr>
        <w:shd w:val="clear" w:color="auto" w:fill="FFFFFF"/>
      </w:tcPr>
    </w:tblStylePr>
  </w:style>
  <w:style w:type="table" w:customStyle="1" w:styleId="LightShading-Accent61">
    <w:name w:val="Light Shading - Accent 61"/>
    <w:basedOn w:val="TableNormal"/>
    <w:next w:val="LightShading-Accent6"/>
    <w:uiPriority w:val="99"/>
    <w:rsid w:val="00C173C4"/>
    <w:rPr>
      <w:rFonts w:eastAsia="MS Mincho"/>
      <w:color w:val="000000"/>
      <w:lang w:val="en-GB" w:eastAsia="en-GB" w:bidi="en-GB"/>
    </w:rPr>
    <w:tblPr>
      <w:tblStyleRowBandSize w:val="1"/>
      <w:tblStyleColBandSize w:val="1"/>
      <w:tblInd w:w="113" w:type="dxa"/>
      <w:tblBorders>
        <w:top w:val="single" w:sz="8" w:space="0" w:color="777C84"/>
        <w:bottom w:val="single" w:sz="8" w:space="0" w:color="777C84"/>
      </w:tblBorders>
    </w:tblPr>
    <w:tblStylePr w:type="firstRow">
      <w:pPr>
        <w:spacing w:before="0" w:after="0" w:line="240" w:lineRule="auto"/>
      </w:pPr>
      <w:rPr>
        <w:b/>
        <w:bCs/>
      </w:rPr>
      <w:tblPr/>
      <w:tcPr>
        <w:tcBorders>
          <w:top w:val="single" w:sz="8" w:space="0" w:color="777C84"/>
          <w:left w:val="nil"/>
          <w:bottom w:val="single" w:sz="8" w:space="0" w:color="777C84"/>
          <w:right w:val="nil"/>
          <w:insideH w:val="nil"/>
          <w:insideV w:val="nil"/>
        </w:tcBorders>
      </w:tcPr>
    </w:tblStylePr>
    <w:tblStylePr w:type="lastRow">
      <w:pPr>
        <w:spacing w:before="0" w:after="0" w:line="240" w:lineRule="auto"/>
      </w:pPr>
      <w:rPr>
        <w:b/>
        <w:bCs/>
      </w:rPr>
      <w:tblPr/>
      <w:tcPr>
        <w:tcBorders>
          <w:top w:val="single" w:sz="8" w:space="0" w:color="777C84"/>
          <w:left w:val="nil"/>
          <w:bottom w:val="single" w:sz="8" w:space="0" w:color="777C8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E0"/>
      </w:tcPr>
    </w:tblStylePr>
    <w:tblStylePr w:type="band1Horz">
      <w:tblPr/>
      <w:tcPr>
        <w:tcBorders>
          <w:left w:val="nil"/>
          <w:right w:val="nil"/>
          <w:insideH w:val="nil"/>
          <w:insideV w:val="nil"/>
        </w:tcBorders>
        <w:shd w:val="clear" w:color="auto" w:fill="DDDEE0"/>
      </w:tcPr>
    </w:tblStylePr>
  </w:style>
  <w:style w:type="table" w:styleId="LightShading-Accent6">
    <w:name w:val="Light Shading Accent 6"/>
    <w:basedOn w:val="TableNormal"/>
    <w:uiPriority w:val="60"/>
    <w:rsid w:val="00C173C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21">
    <w:name w:val="Medium Shading 1 - Accent 21"/>
    <w:basedOn w:val="TableNormal"/>
    <w:next w:val="MediumShading1-Accent2"/>
    <w:uiPriority w:val="63"/>
    <w:rsid w:val="004912A3"/>
    <w:rPr>
      <w:rFonts w:eastAsia="Times New Roman"/>
    </w:rPr>
    <w:tblPr>
      <w:tblStyleRowBandSize w:val="1"/>
      <w:tblStyleColBandSize w:val="1"/>
      <w:tblBorders>
        <w:top w:val="single" w:sz="8" w:space="0" w:color="73A2DE"/>
        <w:left w:val="single" w:sz="8" w:space="0" w:color="73A2DE"/>
        <w:bottom w:val="single" w:sz="8" w:space="0" w:color="73A2DE"/>
        <w:right w:val="single" w:sz="8" w:space="0" w:color="73A2DE"/>
        <w:insideH w:val="single" w:sz="8" w:space="0" w:color="73A2DE"/>
      </w:tblBorders>
    </w:tblPr>
    <w:tblStylePr w:type="firstRow">
      <w:pPr>
        <w:spacing w:before="0" w:after="0" w:line="240" w:lineRule="auto"/>
      </w:pPr>
      <w:rPr>
        <w:b/>
        <w:bCs/>
        <w:color w:val="FFFFFF"/>
      </w:rPr>
      <w:tblPr/>
      <w:tcPr>
        <w:tcBorders>
          <w:top w:val="single" w:sz="8" w:space="0" w:color="73A2DE"/>
          <w:left w:val="single" w:sz="8" w:space="0" w:color="73A2DE"/>
          <w:bottom w:val="single" w:sz="8" w:space="0" w:color="73A2DE"/>
          <w:right w:val="single" w:sz="8" w:space="0" w:color="73A2DE"/>
          <w:insideH w:val="nil"/>
          <w:insideV w:val="nil"/>
        </w:tcBorders>
        <w:shd w:val="clear" w:color="auto" w:fill="4584D3"/>
      </w:tcPr>
    </w:tblStylePr>
    <w:tblStylePr w:type="lastRow">
      <w:pPr>
        <w:spacing w:before="0" w:after="0" w:line="240" w:lineRule="auto"/>
      </w:pPr>
      <w:rPr>
        <w:b/>
        <w:bCs/>
      </w:rPr>
      <w:tblPr/>
      <w:tcPr>
        <w:tcBorders>
          <w:top w:val="double" w:sz="6" w:space="0" w:color="73A2DE"/>
          <w:left w:val="single" w:sz="8" w:space="0" w:color="73A2DE"/>
          <w:bottom w:val="single" w:sz="8" w:space="0" w:color="73A2DE"/>
          <w:right w:val="single" w:sz="8" w:space="0" w:color="73A2DE"/>
          <w:insideH w:val="nil"/>
          <w:insideV w:val="nil"/>
        </w:tcBorders>
      </w:tcPr>
    </w:tblStylePr>
    <w:tblStylePr w:type="firstCol">
      <w:rPr>
        <w:b/>
        <w:bCs/>
      </w:rPr>
    </w:tblStylePr>
    <w:tblStylePr w:type="lastCol">
      <w:rPr>
        <w:b/>
        <w:bCs/>
      </w:rPr>
    </w:tblStylePr>
    <w:tblStylePr w:type="band1Vert">
      <w:tblPr/>
      <w:tcPr>
        <w:shd w:val="clear" w:color="auto" w:fill="D0E0F4"/>
      </w:tcPr>
    </w:tblStylePr>
    <w:tblStylePr w:type="band1Horz">
      <w:tblPr/>
      <w:tcPr>
        <w:tcBorders>
          <w:insideH w:val="nil"/>
          <w:insideV w:val="nil"/>
        </w:tcBorders>
        <w:shd w:val="clear" w:color="auto" w:fill="D0E0F4"/>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912A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A32DD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05054"/>
  </w:style>
  <w:style w:type="paragraph" w:styleId="EndnoteText">
    <w:name w:val="endnote text"/>
    <w:basedOn w:val="Normal"/>
    <w:link w:val="EndnoteTextChar"/>
    <w:locked/>
    <w:rsid w:val="007B50A6"/>
    <w:rPr>
      <w:rFonts w:eastAsia="Batang"/>
      <w:sz w:val="20"/>
      <w:szCs w:val="20"/>
    </w:rPr>
  </w:style>
  <w:style w:type="character" w:customStyle="1" w:styleId="EndnoteTextChar">
    <w:name w:val="Endnote Text Char"/>
    <w:link w:val="EndnoteText"/>
    <w:rsid w:val="007B50A6"/>
    <w:rPr>
      <w:rFonts w:eastAsia="Batang"/>
      <w:lang w:eastAsia="en-US"/>
    </w:rPr>
  </w:style>
  <w:style w:type="character" w:styleId="EndnoteReference">
    <w:name w:val="endnote reference"/>
    <w:locked/>
    <w:rsid w:val="007B50A6"/>
    <w:rPr>
      <w:vertAlign w:val="superscript"/>
    </w:rPr>
  </w:style>
  <w:style w:type="table" w:customStyle="1" w:styleId="MediumShading1-Accent211">
    <w:name w:val="Medium Shading 1 - Accent 211"/>
    <w:basedOn w:val="TableNormal"/>
    <w:next w:val="MediumShading1-Accent2"/>
    <w:uiPriority w:val="63"/>
    <w:rsid w:val="00600F10"/>
    <w:rPr>
      <w:rFonts w:eastAsia="Times New Roman"/>
    </w:rPr>
    <w:tblPr>
      <w:tblStyleRowBandSize w:val="1"/>
      <w:tblStyleColBandSize w:val="1"/>
      <w:tblBorders>
        <w:top w:val="single" w:sz="8" w:space="0" w:color="73A2DE"/>
        <w:left w:val="single" w:sz="8" w:space="0" w:color="73A2DE"/>
        <w:bottom w:val="single" w:sz="8" w:space="0" w:color="73A2DE"/>
        <w:right w:val="single" w:sz="8" w:space="0" w:color="73A2DE"/>
        <w:insideH w:val="single" w:sz="8" w:space="0" w:color="73A2DE"/>
      </w:tblBorders>
    </w:tblPr>
    <w:tblStylePr w:type="firstRow">
      <w:pPr>
        <w:spacing w:before="0" w:after="0" w:line="240" w:lineRule="auto"/>
      </w:pPr>
      <w:rPr>
        <w:b/>
        <w:bCs/>
        <w:color w:val="FFFFFF"/>
      </w:rPr>
      <w:tblPr/>
      <w:tcPr>
        <w:tcBorders>
          <w:top w:val="single" w:sz="8" w:space="0" w:color="73A2DE"/>
          <w:left w:val="single" w:sz="8" w:space="0" w:color="73A2DE"/>
          <w:bottom w:val="single" w:sz="8" w:space="0" w:color="73A2DE"/>
          <w:right w:val="single" w:sz="8" w:space="0" w:color="73A2DE"/>
          <w:insideH w:val="nil"/>
          <w:insideV w:val="nil"/>
        </w:tcBorders>
        <w:shd w:val="clear" w:color="auto" w:fill="4584D3"/>
      </w:tcPr>
    </w:tblStylePr>
    <w:tblStylePr w:type="lastRow">
      <w:pPr>
        <w:spacing w:before="0" w:after="0" w:line="240" w:lineRule="auto"/>
      </w:pPr>
      <w:rPr>
        <w:b/>
        <w:bCs/>
      </w:rPr>
      <w:tblPr/>
      <w:tcPr>
        <w:tcBorders>
          <w:top w:val="double" w:sz="6" w:space="0" w:color="73A2DE"/>
          <w:left w:val="single" w:sz="8" w:space="0" w:color="73A2DE"/>
          <w:bottom w:val="single" w:sz="8" w:space="0" w:color="73A2DE"/>
          <w:right w:val="single" w:sz="8" w:space="0" w:color="73A2DE"/>
          <w:insideH w:val="nil"/>
          <w:insideV w:val="nil"/>
        </w:tcBorders>
      </w:tcPr>
    </w:tblStylePr>
    <w:tblStylePr w:type="firstCol">
      <w:rPr>
        <w:b/>
        <w:bCs/>
      </w:rPr>
    </w:tblStylePr>
    <w:tblStylePr w:type="lastCol">
      <w:rPr>
        <w:b/>
        <w:bCs/>
      </w:rPr>
    </w:tblStylePr>
    <w:tblStylePr w:type="band1Vert">
      <w:tblPr/>
      <w:tcPr>
        <w:shd w:val="clear" w:color="auto" w:fill="D0E0F4"/>
      </w:tcPr>
    </w:tblStylePr>
    <w:tblStylePr w:type="band1Horz">
      <w:tblPr/>
      <w:tcPr>
        <w:tcBorders>
          <w:insideH w:val="nil"/>
          <w:insideV w:val="nil"/>
        </w:tcBorders>
        <w:shd w:val="clear" w:color="auto" w:fill="D0E0F4"/>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locked/>
    <w:rsid w:val="002A07D8"/>
    <w:pPr>
      <w:spacing w:after="0"/>
    </w:pPr>
    <w:rPr>
      <w:rFonts w:eastAsia="Times New Roman"/>
      <w:lang w:eastAsia="en-GB"/>
    </w:rPr>
  </w:style>
  <w:style w:type="table" w:customStyle="1" w:styleId="TableGrid3">
    <w:name w:val="Table Grid3"/>
    <w:basedOn w:val="TableNormal"/>
    <w:next w:val="TableGrid"/>
    <w:uiPriority w:val="59"/>
    <w:rsid w:val="00CB32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B32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raf">
    <w:name w:val="text_graf"/>
    <w:basedOn w:val="Normal"/>
    <w:qFormat/>
    <w:rsid w:val="00A52E2F"/>
    <w:pPr>
      <w:spacing w:after="60"/>
      <w:ind w:left="567"/>
    </w:pPr>
    <w:rPr>
      <w:sz w:val="20"/>
    </w:rPr>
  </w:style>
  <w:style w:type="paragraph" w:customStyle="1" w:styleId="Source0">
    <w:name w:val="Source"/>
    <w:basedOn w:val="Normal"/>
    <w:qFormat/>
    <w:rsid w:val="00BA381C"/>
    <w:pPr>
      <w:spacing w:before="60"/>
      <w:jc w:val="right"/>
    </w:pPr>
    <w:rPr>
      <w:rFonts w:eastAsia="Times New Roman"/>
      <w:sz w:val="20"/>
    </w:rPr>
  </w:style>
  <w:style w:type="paragraph" w:customStyle="1" w:styleId="texttable">
    <w:name w:val="text_table"/>
    <w:basedOn w:val="Normal"/>
    <w:qFormat/>
    <w:rsid w:val="00A52E2F"/>
    <w:pPr>
      <w:spacing w:before="40" w:after="40"/>
      <w:jc w:val="left"/>
    </w:pPr>
    <w:rPr>
      <w:rFonts w:eastAsia="Times New Roman"/>
      <w:bCs/>
      <w:sz w:val="20"/>
      <w:szCs w:val="20"/>
    </w:rPr>
  </w:style>
  <w:style w:type="paragraph" w:customStyle="1" w:styleId="a">
    <w:name w:val="Първи ред"/>
    <w:basedOn w:val="Normal"/>
    <w:qFormat/>
    <w:rsid w:val="00A52E2F"/>
    <w:pPr>
      <w:ind w:firstLine="578"/>
    </w:pPr>
    <w:rPr>
      <w:rFonts w:eastAsia="Times New Roman"/>
      <w:lang w:eastAsia="zh-CN"/>
    </w:rPr>
  </w:style>
  <w:style w:type="character" w:customStyle="1" w:styleId="Heading5Char">
    <w:name w:val="Heading 5 Char"/>
    <w:basedOn w:val="DefaultParagraphFont"/>
    <w:link w:val="Heading5"/>
    <w:uiPriority w:val="9"/>
    <w:rsid w:val="00B661BF"/>
    <w:rPr>
      <w:rFonts w:asciiTheme="majorHAnsi" w:eastAsiaTheme="majorEastAsia" w:hAnsiTheme="majorHAnsi" w:cstheme="majorBidi"/>
      <w:b/>
      <w:i/>
      <w:sz w:val="24"/>
    </w:rPr>
  </w:style>
  <w:style w:type="character" w:customStyle="1" w:styleId="Heading6Char">
    <w:name w:val="Heading 6 Char"/>
    <w:basedOn w:val="DefaultParagraphFont"/>
    <w:link w:val="Heading6"/>
    <w:uiPriority w:val="9"/>
    <w:rsid w:val="00FC2F83"/>
    <w:rPr>
      <w:rFonts w:ascii="Times New Roman" w:eastAsia="Times New Roman" w:hAnsi="Times New Roman"/>
      <w:b/>
      <w:color w:val="852010" w:themeColor="accent3" w:themeShade="BF"/>
      <w:sz w:val="24"/>
    </w:rPr>
  </w:style>
  <w:style w:type="character" w:customStyle="1" w:styleId="Heading7Char">
    <w:name w:val="Heading 7 Char"/>
    <w:basedOn w:val="DefaultParagraphFont"/>
    <w:link w:val="Heading7"/>
    <w:uiPriority w:val="9"/>
    <w:rsid w:val="00A52E2F"/>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rsid w:val="00A52E2F"/>
    <w:rPr>
      <w:rFonts w:asciiTheme="majorHAnsi" w:eastAsiaTheme="majorEastAsia" w:hAnsiTheme="majorHAnsi" w:cstheme="majorBidi"/>
      <w:color w:val="FE8637" w:themeColor="accent1"/>
      <w:sz w:val="20"/>
      <w:szCs w:val="20"/>
    </w:rPr>
  </w:style>
  <w:style w:type="character" w:customStyle="1" w:styleId="Heading9Char">
    <w:name w:val="Heading 9 Char"/>
    <w:basedOn w:val="DefaultParagraphFont"/>
    <w:link w:val="Heading9"/>
    <w:uiPriority w:val="9"/>
    <w:semiHidden/>
    <w:rsid w:val="00A52E2F"/>
    <w:rPr>
      <w:rFonts w:asciiTheme="majorHAnsi" w:eastAsiaTheme="majorEastAsia" w:hAnsiTheme="majorHAnsi" w:cstheme="majorBidi"/>
      <w:i/>
      <w:iCs/>
      <w:sz w:val="20"/>
      <w:szCs w:val="20"/>
    </w:rPr>
  </w:style>
  <w:style w:type="paragraph" w:styleId="Subtitle">
    <w:name w:val="Subtitle"/>
    <w:basedOn w:val="Normal"/>
    <w:next w:val="Normal"/>
    <w:link w:val="SubtitleChar"/>
    <w:uiPriority w:val="11"/>
    <w:qFormat/>
    <w:rsid w:val="00A52E2F"/>
    <w:pPr>
      <w:numPr>
        <w:ilvl w:val="1"/>
      </w:numPr>
    </w:pPr>
    <w:rPr>
      <w:rFonts w:asciiTheme="majorHAnsi" w:eastAsiaTheme="majorEastAsia" w:hAnsiTheme="majorHAnsi" w:cstheme="majorBidi"/>
      <w:i/>
      <w:iCs/>
      <w:color w:val="FE8637" w:themeColor="accent1"/>
      <w:spacing w:val="15"/>
      <w:szCs w:val="24"/>
    </w:rPr>
  </w:style>
  <w:style w:type="character" w:customStyle="1" w:styleId="SubtitleChar">
    <w:name w:val="Subtitle Char"/>
    <w:basedOn w:val="DefaultParagraphFont"/>
    <w:link w:val="Subtitle"/>
    <w:uiPriority w:val="11"/>
    <w:rsid w:val="00A52E2F"/>
    <w:rPr>
      <w:rFonts w:asciiTheme="majorHAnsi" w:eastAsiaTheme="majorEastAsia" w:hAnsiTheme="majorHAnsi" w:cstheme="majorBidi"/>
      <w:i/>
      <w:iCs/>
      <w:color w:val="FE8637" w:themeColor="accent1"/>
      <w:spacing w:val="15"/>
      <w:sz w:val="24"/>
      <w:szCs w:val="24"/>
    </w:rPr>
  </w:style>
  <w:style w:type="character" w:styleId="Strong">
    <w:name w:val="Strong"/>
    <w:basedOn w:val="DefaultParagraphFont"/>
    <w:uiPriority w:val="22"/>
    <w:qFormat/>
    <w:rsid w:val="00A52E2F"/>
    <w:rPr>
      <w:b/>
      <w:bCs/>
    </w:rPr>
  </w:style>
  <w:style w:type="paragraph" w:styleId="Quote">
    <w:name w:val="Quote"/>
    <w:basedOn w:val="Normal"/>
    <w:next w:val="Normal"/>
    <w:link w:val="QuoteChar"/>
    <w:uiPriority w:val="29"/>
    <w:qFormat/>
    <w:rsid w:val="00A52E2F"/>
    <w:rPr>
      <w:i/>
      <w:iCs/>
      <w:color w:val="000000" w:themeColor="text1"/>
      <w:sz w:val="22"/>
    </w:rPr>
  </w:style>
  <w:style w:type="character" w:customStyle="1" w:styleId="QuoteChar">
    <w:name w:val="Quote Char"/>
    <w:basedOn w:val="DefaultParagraphFont"/>
    <w:link w:val="Quote"/>
    <w:uiPriority w:val="29"/>
    <w:rsid w:val="00A52E2F"/>
    <w:rPr>
      <w:i/>
      <w:iCs/>
      <w:color w:val="000000" w:themeColor="text1"/>
    </w:rPr>
  </w:style>
  <w:style w:type="paragraph" w:styleId="IntenseQuote">
    <w:name w:val="Intense Quote"/>
    <w:basedOn w:val="Normal"/>
    <w:next w:val="Normal"/>
    <w:link w:val="IntenseQuoteChar"/>
    <w:uiPriority w:val="30"/>
    <w:qFormat/>
    <w:rsid w:val="00A52E2F"/>
    <w:pPr>
      <w:pBdr>
        <w:bottom w:val="single" w:sz="4" w:space="4" w:color="FE8637" w:themeColor="accent1"/>
      </w:pBdr>
      <w:spacing w:before="200" w:after="280"/>
      <w:ind w:left="936" w:right="936"/>
    </w:pPr>
    <w:rPr>
      <w:b/>
      <w:bCs/>
      <w:i/>
      <w:iCs/>
      <w:color w:val="FE8637" w:themeColor="accent1"/>
      <w:sz w:val="22"/>
    </w:rPr>
  </w:style>
  <w:style w:type="character" w:customStyle="1" w:styleId="IntenseQuoteChar">
    <w:name w:val="Intense Quote Char"/>
    <w:basedOn w:val="DefaultParagraphFont"/>
    <w:link w:val="IntenseQuote"/>
    <w:uiPriority w:val="30"/>
    <w:rsid w:val="00A52E2F"/>
    <w:rPr>
      <w:b/>
      <w:bCs/>
      <w:i/>
      <w:iCs/>
      <w:color w:val="FE8637" w:themeColor="accent1"/>
    </w:rPr>
  </w:style>
  <w:style w:type="character" w:styleId="SubtleEmphasis">
    <w:name w:val="Subtle Emphasis"/>
    <w:basedOn w:val="DefaultParagraphFont"/>
    <w:uiPriority w:val="19"/>
    <w:qFormat/>
    <w:rsid w:val="00A52E2F"/>
    <w:rPr>
      <w:i/>
      <w:iCs/>
      <w:color w:val="808080" w:themeColor="text1" w:themeTint="7F"/>
    </w:rPr>
  </w:style>
  <w:style w:type="character" w:styleId="IntenseEmphasis">
    <w:name w:val="Intense Emphasis"/>
    <w:basedOn w:val="DefaultParagraphFont"/>
    <w:uiPriority w:val="21"/>
    <w:qFormat/>
    <w:rsid w:val="00A52E2F"/>
    <w:rPr>
      <w:b/>
      <w:bCs/>
      <w:i/>
      <w:iCs/>
      <w:color w:val="FE8637" w:themeColor="accent1"/>
    </w:rPr>
  </w:style>
  <w:style w:type="character" w:styleId="SubtleReference">
    <w:name w:val="Subtle Reference"/>
    <w:basedOn w:val="DefaultParagraphFont"/>
    <w:uiPriority w:val="31"/>
    <w:qFormat/>
    <w:rsid w:val="00A52E2F"/>
    <w:rPr>
      <w:smallCaps/>
      <w:color w:val="7598D9" w:themeColor="accent2"/>
      <w:u w:val="single"/>
    </w:rPr>
  </w:style>
  <w:style w:type="character" w:styleId="IntenseReference">
    <w:name w:val="Intense Reference"/>
    <w:basedOn w:val="DefaultParagraphFont"/>
    <w:uiPriority w:val="32"/>
    <w:qFormat/>
    <w:rsid w:val="00A52E2F"/>
    <w:rPr>
      <w:b/>
      <w:bCs/>
      <w:smallCaps/>
      <w:color w:val="7598D9" w:themeColor="accent2"/>
      <w:spacing w:val="5"/>
      <w:u w:val="single"/>
    </w:rPr>
  </w:style>
  <w:style w:type="character" w:styleId="BookTitle">
    <w:name w:val="Book Title"/>
    <w:basedOn w:val="DefaultParagraphFont"/>
    <w:uiPriority w:val="33"/>
    <w:qFormat/>
    <w:rsid w:val="00A52E2F"/>
    <w:rPr>
      <w:b/>
      <w:bCs/>
      <w:smallCaps/>
      <w:spacing w:val="5"/>
    </w:rPr>
  </w:style>
  <w:style w:type="character" w:customStyle="1" w:styleId="ListParagraphChar">
    <w:name w:val="List Paragraph Char"/>
    <w:aliases w:val="Recommendatio Char,Párrafo de lista Char,Recommendation Char,OBC Bullet Char,Dot pt Char,F5 List Paragraph Char,No Spacing1 Char,List Paragraph Char Char Char Char,Indicator Text Char,Numbered Para 1 Char,Bullet 1 Char,L Char,3 Char"/>
    <w:link w:val="ListParagraph"/>
    <w:uiPriority w:val="34"/>
    <w:qFormat/>
    <w:locked/>
    <w:rsid w:val="00B03B34"/>
    <w:rPr>
      <w:rFonts w:ascii="Times New Roman" w:hAnsi="Times New Roman"/>
      <w:sz w:val="24"/>
    </w:rPr>
  </w:style>
  <w:style w:type="table" w:styleId="LightGrid-Accent1">
    <w:name w:val="Light Grid Accent 1"/>
    <w:basedOn w:val="TableNormal"/>
    <w:uiPriority w:val="62"/>
    <w:rsid w:val="006974DE"/>
    <w:pPr>
      <w:spacing w:after="0" w:line="240" w:lineRule="auto"/>
    </w:p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18" w:space="0" w:color="FE8637" w:themeColor="accent1"/>
          <w:right w:val="single" w:sz="8" w:space="0" w:color="FE8637" w:themeColor="accent1"/>
          <w:insideH w:val="nil"/>
          <w:insideV w:val="single" w:sz="8" w:space="0" w:color="FE86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insideH w:val="nil"/>
          <w:insideV w:val="single" w:sz="8" w:space="0" w:color="FE86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shd w:val="clear" w:color="auto" w:fill="FEE1CD" w:themeFill="accent1" w:themeFillTint="3F"/>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shd w:val="clear" w:color="auto" w:fill="FEE1CD" w:themeFill="accent1" w:themeFillTint="3F"/>
      </w:tcPr>
    </w:tblStylePr>
    <w:tblStylePr w:type="band2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tcPr>
    </w:tblStylePr>
  </w:style>
  <w:style w:type="table" w:styleId="MediumList1-Accent3">
    <w:name w:val="Medium List 1 Accent 3"/>
    <w:basedOn w:val="TableNormal"/>
    <w:uiPriority w:val="65"/>
    <w:rsid w:val="00EA7452"/>
    <w:pPr>
      <w:spacing w:after="0" w:line="240" w:lineRule="auto"/>
    </w:pPr>
    <w:rPr>
      <w:color w:val="000000" w:themeColor="text1"/>
    </w:rPr>
    <w:tblPr>
      <w:tblStyleRowBandSize w:val="1"/>
      <w:tblStyleColBandSize w:val="1"/>
      <w:tblBorders>
        <w:top w:val="single" w:sz="8" w:space="0" w:color="B32C16" w:themeColor="accent3"/>
        <w:bottom w:val="single" w:sz="8" w:space="0" w:color="B32C16" w:themeColor="accent3"/>
      </w:tblBorders>
    </w:tblPr>
    <w:tblStylePr w:type="firstRow">
      <w:rPr>
        <w:rFonts w:asciiTheme="majorHAnsi" w:eastAsiaTheme="majorEastAsia" w:hAnsiTheme="majorHAnsi" w:cstheme="majorBidi"/>
      </w:rPr>
      <w:tblPr/>
      <w:tcPr>
        <w:tcBorders>
          <w:top w:val="nil"/>
          <w:bottom w:val="single" w:sz="8" w:space="0" w:color="B32C16" w:themeColor="accent3"/>
        </w:tcBorders>
      </w:tcPr>
    </w:tblStylePr>
    <w:tblStylePr w:type="lastRow">
      <w:rPr>
        <w:b/>
        <w:bCs/>
        <w:color w:val="575F6D" w:themeColor="text2"/>
      </w:rPr>
      <w:tblPr/>
      <w:tcPr>
        <w:tcBorders>
          <w:top w:val="single" w:sz="8" w:space="0" w:color="B32C16" w:themeColor="accent3"/>
          <w:bottom w:val="single" w:sz="8" w:space="0" w:color="B32C16" w:themeColor="accent3"/>
        </w:tcBorders>
      </w:tcPr>
    </w:tblStylePr>
    <w:tblStylePr w:type="firstCol">
      <w:rPr>
        <w:b/>
        <w:bCs/>
      </w:rPr>
    </w:tblStylePr>
    <w:tblStylePr w:type="lastCol">
      <w:rPr>
        <w:b/>
        <w:bCs/>
      </w:rPr>
      <w:tblPr/>
      <w:tcPr>
        <w:tcBorders>
          <w:top w:val="single" w:sz="8" w:space="0" w:color="B32C16" w:themeColor="accent3"/>
          <w:bottom w:val="single" w:sz="8" w:space="0" w:color="B32C16" w:themeColor="accent3"/>
        </w:tcBorders>
      </w:tcPr>
    </w:tblStylePr>
    <w:tblStylePr w:type="band1Vert">
      <w:tblPr/>
      <w:tcPr>
        <w:shd w:val="clear" w:color="auto" w:fill="F6C2BA" w:themeFill="accent3" w:themeFillTint="3F"/>
      </w:tcPr>
    </w:tblStylePr>
    <w:tblStylePr w:type="band1Horz">
      <w:tblPr/>
      <w:tcPr>
        <w:shd w:val="clear" w:color="auto" w:fill="F6C2BA" w:themeFill="accent3" w:themeFillTint="3F"/>
      </w:tcPr>
    </w:tblStylePr>
  </w:style>
  <w:style w:type="table" w:styleId="LightShading-Accent3">
    <w:name w:val="Light Shading Accent 3"/>
    <w:basedOn w:val="TableNormal"/>
    <w:uiPriority w:val="60"/>
    <w:rsid w:val="00F32828"/>
    <w:pPr>
      <w:spacing w:after="0" w:line="240" w:lineRule="auto"/>
    </w:pPr>
    <w:rPr>
      <w:color w:val="852010" w:themeColor="accent3" w:themeShade="BF"/>
    </w:rPr>
    <w:tblPr>
      <w:tblStyleRowBandSize w:val="1"/>
      <w:tblStyleColBandSize w:val="1"/>
      <w:tblBorders>
        <w:top w:val="single" w:sz="8" w:space="0" w:color="B32C16" w:themeColor="accent3"/>
        <w:bottom w:val="single" w:sz="8" w:space="0" w:color="B32C16" w:themeColor="accent3"/>
      </w:tblBorders>
    </w:tblPr>
    <w:tblStylePr w:type="fir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lastRow">
      <w:pPr>
        <w:spacing w:before="0" w:after="0" w:line="240" w:lineRule="auto"/>
      </w:pPr>
      <w:rPr>
        <w:b/>
        <w:bCs/>
      </w:rPr>
      <w:tblPr/>
      <w:tcPr>
        <w:tcBorders>
          <w:top w:val="single" w:sz="8" w:space="0" w:color="B32C16" w:themeColor="accent3"/>
          <w:left w:val="nil"/>
          <w:bottom w:val="single" w:sz="8" w:space="0" w:color="B32C1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2BA" w:themeFill="accent3" w:themeFillTint="3F"/>
      </w:tcPr>
    </w:tblStylePr>
    <w:tblStylePr w:type="band1Horz">
      <w:tblPr/>
      <w:tcPr>
        <w:tcBorders>
          <w:left w:val="nil"/>
          <w:right w:val="nil"/>
          <w:insideH w:val="nil"/>
          <w:insideV w:val="nil"/>
        </w:tcBorders>
        <w:shd w:val="clear" w:color="auto" w:fill="F6C2BA" w:themeFill="accent3" w:themeFillTint="3F"/>
      </w:tcPr>
    </w:tblStylePr>
  </w:style>
  <w:style w:type="table" w:customStyle="1" w:styleId="GridTable5Dark-Accent11">
    <w:name w:val="Grid Table 5 Dark - Accent 11"/>
    <w:basedOn w:val="TableNormal"/>
    <w:uiPriority w:val="50"/>
    <w:rsid w:val="001143F9"/>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6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863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863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863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8637" w:themeFill="accent1"/>
      </w:tcPr>
    </w:tblStylePr>
    <w:tblStylePr w:type="band1Vert">
      <w:tblPr/>
      <w:tcPr>
        <w:shd w:val="clear" w:color="auto" w:fill="FECEAE" w:themeFill="accent1" w:themeFillTint="66"/>
      </w:tcPr>
    </w:tblStylePr>
    <w:tblStylePr w:type="band1Horz">
      <w:tblPr/>
      <w:tcPr>
        <w:shd w:val="clear" w:color="auto" w:fill="FECEAE" w:themeFill="accent1" w:themeFillTint="66"/>
      </w:tcPr>
    </w:tblStylePr>
  </w:style>
  <w:style w:type="table" w:customStyle="1" w:styleId="MediumShading1-Accent22">
    <w:name w:val="Medium Shading 1 - Accent 22"/>
    <w:basedOn w:val="TableNormal"/>
    <w:next w:val="MediumShading1-Accent2"/>
    <w:uiPriority w:val="63"/>
    <w:rsid w:val="005A37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locked/>
    <w:rsid w:val="006A1558"/>
    <w:rPr>
      <w:color w:val="3B435B" w:themeColor="followedHyperlink"/>
      <w:u w:val="single"/>
    </w:rPr>
  </w:style>
  <w:style w:type="character" w:customStyle="1" w:styleId="FontStyle14">
    <w:name w:val="Font Style14"/>
    <w:basedOn w:val="DefaultParagraphFont"/>
    <w:uiPriority w:val="99"/>
    <w:rsid w:val="00684D8B"/>
    <w:rPr>
      <w:rFonts w:ascii="Times New Roman" w:hAnsi="Times New Roman" w:cs="Times New Roman"/>
      <w:sz w:val="22"/>
      <w:szCs w:val="22"/>
    </w:rPr>
  </w:style>
  <w:style w:type="numbering" w:customStyle="1" w:styleId="NoList2">
    <w:name w:val="No List2"/>
    <w:next w:val="NoList"/>
    <w:uiPriority w:val="99"/>
    <w:semiHidden/>
    <w:unhideWhenUsed/>
    <w:rsid w:val="005A3BEF"/>
  </w:style>
  <w:style w:type="table" w:customStyle="1" w:styleId="GridTable6Colorful-Accent11">
    <w:name w:val="Grid Table 6 Colorful - Accent 11"/>
    <w:basedOn w:val="TableNormal"/>
    <w:next w:val="GridTable6Colorful-Accent1"/>
    <w:uiPriority w:val="51"/>
    <w:rsid w:val="001528FC"/>
    <w:pPr>
      <w:spacing w:after="0" w:line="240" w:lineRule="auto"/>
    </w:pPr>
    <w:rPr>
      <w:rFonts w:eastAsia="Calibri"/>
      <w:color w:val="2E74B5"/>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1">
    <w:name w:val="Grid Table 6 Colorful Accent 1"/>
    <w:basedOn w:val="TableNormal"/>
    <w:uiPriority w:val="51"/>
    <w:rsid w:val="001528FC"/>
    <w:pPr>
      <w:spacing w:after="0" w:line="240" w:lineRule="auto"/>
    </w:pPr>
    <w:rPr>
      <w:color w:val="E65B01" w:themeColor="accent1" w:themeShade="BF"/>
    </w:rPr>
    <w:tblPr>
      <w:tblStyleRowBandSize w:val="1"/>
      <w:tblStyleColBandSize w:val="1"/>
      <w:tblBorders>
        <w:top w:val="single" w:sz="4" w:space="0" w:color="FEB686" w:themeColor="accent1" w:themeTint="99"/>
        <w:left w:val="single" w:sz="4" w:space="0" w:color="FEB686" w:themeColor="accent1" w:themeTint="99"/>
        <w:bottom w:val="single" w:sz="4" w:space="0" w:color="FEB686" w:themeColor="accent1" w:themeTint="99"/>
        <w:right w:val="single" w:sz="4" w:space="0" w:color="FEB686" w:themeColor="accent1" w:themeTint="99"/>
        <w:insideH w:val="single" w:sz="4" w:space="0" w:color="FEB686" w:themeColor="accent1" w:themeTint="99"/>
        <w:insideV w:val="single" w:sz="4" w:space="0" w:color="FEB686" w:themeColor="accent1" w:themeTint="99"/>
      </w:tblBorders>
    </w:tblPr>
    <w:tblStylePr w:type="firstRow">
      <w:rPr>
        <w:b/>
        <w:bCs/>
      </w:rPr>
      <w:tblPr/>
      <w:tcPr>
        <w:tcBorders>
          <w:bottom w:val="single" w:sz="12" w:space="0" w:color="FEB686" w:themeColor="accent1" w:themeTint="99"/>
        </w:tcBorders>
      </w:tcPr>
    </w:tblStylePr>
    <w:tblStylePr w:type="lastRow">
      <w:rPr>
        <w:b/>
        <w:bCs/>
      </w:rPr>
      <w:tblPr/>
      <w:tcPr>
        <w:tcBorders>
          <w:top w:val="double" w:sz="4" w:space="0" w:color="FEB686" w:themeColor="accent1" w:themeTint="99"/>
        </w:tcBorders>
      </w:tcPr>
    </w:tblStylePr>
    <w:tblStylePr w:type="firstCol">
      <w:rPr>
        <w:b/>
        <w:bCs/>
      </w:rPr>
    </w:tblStylePr>
    <w:tblStylePr w:type="lastCol">
      <w:rPr>
        <w:b/>
        <w:bCs/>
      </w:rPr>
    </w:tblStylePr>
    <w:tblStylePr w:type="band1Vert">
      <w:tblPr/>
      <w:tcPr>
        <w:shd w:val="clear" w:color="auto" w:fill="FEE6D6" w:themeFill="accent1" w:themeFillTint="33"/>
      </w:tcPr>
    </w:tblStylePr>
    <w:tblStylePr w:type="band1Horz">
      <w:tblPr/>
      <w:tcPr>
        <w:shd w:val="clear" w:color="auto" w:fill="FEE6D6" w:themeFill="accent1" w:themeFillTint="33"/>
      </w:tcPr>
    </w:tblStylePr>
  </w:style>
  <w:style w:type="paragraph" w:customStyle="1" w:styleId="a0">
    <w:name w:val="табл"/>
    <w:basedOn w:val="Normal"/>
    <w:qFormat/>
    <w:rsid w:val="009B55CA"/>
    <w:pPr>
      <w:spacing w:after="0"/>
    </w:pPr>
    <w:rPr>
      <w:rFonts w:ascii="Calibri" w:eastAsia="Times New Roman" w:hAnsi="Calibri" w:cs="Times New Roman"/>
      <w:color w:val="262626" w:themeColor="text1" w:themeTint="D9"/>
      <w:sz w:val="16"/>
      <w:szCs w:val="14"/>
      <w:lang w:val="en-GB" w:eastAsia="ja-JP"/>
    </w:rPr>
  </w:style>
  <w:style w:type="numbering" w:customStyle="1" w:styleId="NoList3">
    <w:name w:val="No List3"/>
    <w:next w:val="NoList"/>
    <w:uiPriority w:val="99"/>
    <w:semiHidden/>
    <w:unhideWhenUsed/>
    <w:rsid w:val="0087536C"/>
  </w:style>
  <w:style w:type="table" w:customStyle="1" w:styleId="TableGrid5">
    <w:name w:val="Table Grid5"/>
    <w:basedOn w:val="TableNormal"/>
    <w:next w:val="TableGrid"/>
    <w:uiPriority w:val="59"/>
    <w:rsid w:val="0052376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D5BCD"/>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table" w:customStyle="1" w:styleId="TableGrid11">
    <w:name w:val="TableGrid11"/>
    <w:rsid w:val="00E71601"/>
    <w:pPr>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table" w:customStyle="1" w:styleId="TableGrid0">
    <w:name w:val="TableGrid"/>
    <w:rsid w:val="00384D4E"/>
    <w:pPr>
      <w:spacing w:after="0" w:line="240" w:lineRule="auto"/>
    </w:pPr>
    <w:tblPr>
      <w:tblCellMar>
        <w:top w:w="0" w:type="dxa"/>
        <w:left w:w="0" w:type="dxa"/>
        <w:bottom w:w="0" w:type="dxa"/>
        <w:right w:w="0" w:type="dxa"/>
      </w:tblCellMar>
    </w:tblPr>
  </w:style>
  <w:style w:type="table" w:customStyle="1" w:styleId="TableGrid26">
    <w:name w:val="Table Grid26"/>
    <w:basedOn w:val="TableNormal"/>
    <w:next w:val="TableGrid"/>
    <w:uiPriority w:val="59"/>
    <w:rsid w:val="00C05E54"/>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05E54"/>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05E54"/>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C51AF"/>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A3991"/>
  </w:style>
  <w:style w:type="numbering" w:customStyle="1" w:styleId="NoList5">
    <w:name w:val="No List5"/>
    <w:next w:val="NoList"/>
    <w:uiPriority w:val="99"/>
    <w:semiHidden/>
    <w:unhideWhenUsed/>
    <w:rsid w:val="001A5D18"/>
  </w:style>
  <w:style w:type="numbering" w:customStyle="1" w:styleId="NoList6">
    <w:name w:val="No List6"/>
    <w:next w:val="NoList"/>
    <w:uiPriority w:val="99"/>
    <w:semiHidden/>
    <w:unhideWhenUsed/>
    <w:rsid w:val="00DE5FA0"/>
  </w:style>
  <w:style w:type="numbering" w:customStyle="1" w:styleId="NoList7">
    <w:name w:val="No List7"/>
    <w:next w:val="NoList"/>
    <w:uiPriority w:val="99"/>
    <w:semiHidden/>
    <w:unhideWhenUsed/>
    <w:rsid w:val="00280D99"/>
  </w:style>
  <w:style w:type="table" w:customStyle="1" w:styleId="TableGrid261">
    <w:name w:val="Table Grid261"/>
    <w:basedOn w:val="TableNormal"/>
    <w:next w:val="TableGrid"/>
    <w:uiPriority w:val="59"/>
    <w:rsid w:val="007977E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7977E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7977E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6736BB"/>
    <w:rPr>
      <w:rFonts w:ascii="Times New Roman" w:eastAsia="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9700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D0C1E"/>
  </w:style>
  <w:style w:type="paragraph" w:customStyle="1" w:styleId="m">
    <w:name w:val="m"/>
    <w:basedOn w:val="Normal"/>
    <w:rsid w:val="00A23998"/>
    <w:pPr>
      <w:spacing w:before="100" w:beforeAutospacing="1" w:after="100" w:afterAutospacing="1"/>
      <w:jc w:val="left"/>
    </w:pPr>
    <w:rPr>
      <w:rFonts w:eastAsia="Times New Roman" w:cs="Times New Roman"/>
      <w:szCs w:val="24"/>
    </w:rPr>
  </w:style>
  <w:style w:type="numbering" w:customStyle="1" w:styleId="NoList9">
    <w:name w:val="No List9"/>
    <w:next w:val="NoList"/>
    <w:uiPriority w:val="99"/>
    <w:semiHidden/>
    <w:unhideWhenUsed/>
    <w:rsid w:val="00AE303E"/>
  </w:style>
  <w:style w:type="table" w:customStyle="1" w:styleId="TableGrid7">
    <w:name w:val="Table Grid7"/>
    <w:basedOn w:val="TableNormal"/>
    <w:next w:val="TableGrid"/>
    <w:uiPriority w:val="39"/>
    <w:rsid w:val="00570E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8">
    <w:name w:val="Style18"/>
    <w:basedOn w:val="TableNormal"/>
    <w:uiPriority w:val="99"/>
    <w:rsid w:val="009871EA"/>
    <w:pPr>
      <w:spacing w:after="120" w:line="240" w:lineRule="auto"/>
      <w:jc w:val="both"/>
    </w:pPr>
    <w:rPr>
      <w:rFonts w:ascii="Times New Roman" w:eastAsia="MS Mincho" w:hAnsi="Times New Roman" w:cs="Times New Roman"/>
      <w:sz w:val="18"/>
    </w:rPr>
    <w:tblPr>
      <w:tblBorders>
        <w:top w:val="single" w:sz="2" w:space="0" w:color="7F7F7F"/>
        <w:bottom w:val="single" w:sz="2" w:space="0" w:color="7F7F7F"/>
        <w:insideH w:val="single" w:sz="2" w:space="0" w:color="7F7F7F"/>
        <w:insideV w:val="single" w:sz="2" w:space="0" w:color="7F7F7F"/>
      </w:tblBorders>
    </w:tblPr>
  </w:style>
  <w:style w:type="numbering" w:customStyle="1" w:styleId="NoList10">
    <w:name w:val="No List10"/>
    <w:next w:val="NoList"/>
    <w:uiPriority w:val="99"/>
    <w:semiHidden/>
    <w:unhideWhenUsed/>
    <w:rsid w:val="00711732"/>
  </w:style>
  <w:style w:type="table" w:customStyle="1" w:styleId="TableGrid20">
    <w:name w:val="TableGrid2"/>
    <w:rsid w:val="00431E14"/>
    <w:pPr>
      <w:spacing w:after="0" w:line="240" w:lineRule="auto"/>
    </w:pPr>
    <w:tblPr>
      <w:tblCellMar>
        <w:top w:w="0" w:type="dxa"/>
        <w:left w:w="0" w:type="dxa"/>
        <w:bottom w:w="0" w:type="dxa"/>
        <w:right w:w="0" w:type="dxa"/>
      </w:tblCellMar>
    </w:tblPr>
  </w:style>
  <w:style w:type="table" w:customStyle="1" w:styleId="GridTable5Dark-Accent111">
    <w:name w:val="Grid Table 5 Dark - Accent 111"/>
    <w:basedOn w:val="TableNormal"/>
    <w:uiPriority w:val="50"/>
    <w:rsid w:val="00803888"/>
    <w:pPr>
      <w:spacing w:after="120" w:line="240" w:lineRule="auto"/>
      <w:jc w:val="both"/>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11">
    <w:name w:val="No List11"/>
    <w:next w:val="NoList"/>
    <w:uiPriority w:val="99"/>
    <w:semiHidden/>
    <w:unhideWhenUsed/>
    <w:rsid w:val="001363E7"/>
  </w:style>
  <w:style w:type="numbering" w:customStyle="1" w:styleId="NoList12">
    <w:name w:val="No List12"/>
    <w:next w:val="NoList"/>
    <w:uiPriority w:val="99"/>
    <w:semiHidden/>
    <w:unhideWhenUsed/>
    <w:rsid w:val="0074451F"/>
  </w:style>
  <w:style w:type="numbering" w:customStyle="1" w:styleId="NoList13">
    <w:name w:val="No List13"/>
    <w:next w:val="NoList"/>
    <w:uiPriority w:val="99"/>
    <w:semiHidden/>
    <w:unhideWhenUsed/>
    <w:rsid w:val="00643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50">
      <w:bodyDiv w:val="1"/>
      <w:marLeft w:val="0"/>
      <w:marRight w:val="0"/>
      <w:marTop w:val="0"/>
      <w:marBottom w:val="0"/>
      <w:divBdr>
        <w:top w:val="none" w:sz="0" w:space="0" w:color="auto"/>
        <w:left w:val="none" w:sz="0" w:space="0" w:color="auto"/>
        <w:bottom w:val="none" w:sz="0" w:space="0" w:color="auto"/>
        <w:right w:val="none" w:sz="0" w:space="0" w:color="auto"/>
      </w:divBdr>
    </w:div>
    <w:div w:id="3096834">
      <w:bodyDiv w:val="1"/>
      <w:marLeft w:val="0"/>
      <w:marRight w:val="0"/>
      <w:marTop w:val="0"/>
      <w:marBottom w:val="0"/>
      <w:divBdr>
        <w:top w:val="none" w:sz="0" w:space="0" w:color="auto"/>
        <w:left w:val="none" w:sz="0" w:space="0" w:color="auto"/>
        <w:bottom w:val="none" w:sz="0" w:space="0" w:color="auto"/>
        <w:right w:val="none" w:sz="0" w:space="0" w:color="auto"/>
      </w:divBdr>
    </w:div>
    <w:div w:id="3215222">
      <w:bodyDiv w:val="1"/>
      <w:marLeft w:val="0"/>
      <w:marRight w:val="0"/>
      <w:marTop w:val="0"/>
      <w:marBottom w:val="0"/>
      <w:divBdr>
        <w:top w:val="none" w:sz="0" w:space="0" w:color="auto"/>
        <w:left w:val="none" w:sz="0" w:space="0" w:color="auto"/>
        <w:bottom w:val="none" w:sz="0" w:space="0" w:color="auto"/>
        <w:right w:val="none" w:sz="0" w:space="0" w:color="auto"/>
      </w:divBdr>
    </w:div>
    <w:div w:id="4482480">
      <w:bodyDiv w:val="1"/>
      <w:marLeft w:val="0"/>
      <w:marRight w:val="0"/>
      <w:marTop w:val="0"/>
      <w:marBottom w:val="0"/>
      <w:divBdr>
        <w:top w:val="none" w:sz="0" w:space="0" w:color="auto"/>
        <w:left w:val="none" w:sz="0" w:space="0" w:color="auto"/>
        <w:bottom w:val="none" w:sz="0" w:space="0" w:color="auto"/>
        <w:right w:val="none" w:sz="0" w:space="0" w:color="auto"/>
      </w:divBdr>
    </w:div>
    <w:div w:id="6831625">
      <w:bodyDiv w:val="1"/>
      <w:marLeft w:val="0"/>
      <w:marRight w:val="0"/>
      <w:marTop w:val="0"/>
      <w:marBottom w:val="0"/>
      <w:divBdr>
        <w:top w:val="none" w:sz="0" w:space="0" w:color="auto"/>
        <w:left w:val="none" w:sz="0" w:space="0" w:color="auto"/>
        <w:bottom w:val="none" w:sz="0" w:space="0" w:color="auto"/>
        <w:right w:val="none" w:sz="0" w:space="0" w:color="auto"/>
      </w:divBdr>
    </w:div>
    <w:div w:id="8290016">
      <w:bodyDiv w:val="1"/>
      <w:marLeft w:val="0"/>
      <w:marRight w:val="0"/>
      <w:marTop w:val="0"/>
      <w:marBottom w:val="0"/>
      <w:divBdr>
        <w:top w:val="none" w:sz="0" w:space="0" w:color="auto"/>
        <w:left w:val="none" w:sz="0" w:space="0" w:color="auto"/>
        <w:bottom w:val="none" w:sz="0" w:space="0" w:color="auto"/>
        <w:right w:val="none" w:sz="0" w:space="0" w:color="auto"/>
      </w:divBdr>
    </w:div>
    <w:div w:id="8606226">
      <w:bodyDiv w:val="1"/>
      <w:marLeft w:val="0"/>
      <w:marRight w:val="0"/>
      <w:marTop w:val="0"/>
      <w:marBottom w:val="0"/>
      <w:divBdr>
        <w:top w:val="none" w:sz="0" w:space="0" w:color="auto"/>
        <w:left w:val="none" w:sz="0" w:space="0" w:color="auto"/>
        <w:bottom w:val="none" w:sz="0" w:space="0" w:color="auto"/>
        <w:right w:val="none" w:sz="0" w:space="0" w:color="auto"/>
      </w:divBdr>
    </w:div>
    <w:div w:id="9112831">
      <w:bodyDiv w:val="1"/>
      <w:marLeft w:val="0"/>
      <w:marRight w:val="0"/>
      <w:marTop w:val="0"/>
      <w:marBottom w:val="0"/>
      <w:divBdr>
        <w:top w:val="none" w:sz="0" w:space="0" w:color="auto"/>
        <w:left w:val="none" w:sz="0" w:space="0" w:color="auto"/>
        <w:bottom w:val="none" w:sz="0" w:space="0" w:color="auto"/>
        <w:right w:val="none" w:sz="0" w:space="0" w:color="auto"/>
      </w:divBdr>
    </w:div>
    <w:div w:id="9719210">
      <w:bodyDiv w:val="1"/>
      <w:marLeft w:val="0"/>
      <w:marRight w:val="0"/>
      <w:marTop w:val="0"/>
      <w:marBottom w:val="0"/>
      <w:divBdr>
        <w:top w:val="none" w:sz="0" w:space="0" w:color="auto"/>
        <w:left w:val="none" w:sz="0" w:space="0" w:color="auto"/>
        <w:bottom w:val="none" w:sz="0" w:space="0" w:color="auto"/>
        <w:right w:val="none" w:sz="0" w:space="0" w:color="auto"/>
      </w:divBdr>
    </w:div>
    <w:div w:id="11419436">
      <w:bodyDiv w:val="1"/>
      <w:marLeft w:val="0"/>
      <w:marRight w:val="0"/>
      <w:marTop w:val="0"/>
      <w:marBottom w:val="0"/>
      <w:divBdr>
        <w:top w:val="none" w:sz="0" w:space="0" w:color="auto"/>
        <w:left w:val="none" w:sz="0" w:space="0" w:color="auto"/>
        <w:bottom w:val="none" w:sz="0" w:space="0" w:color="auto"/>
        <w:right w:val="none" w:sz="0" w:space="0" w:color="auto"/>
      </w:divBdr>
    </w:div>
    <w:div w:id="20671740">
      <w:bodyDiv w:val="1"/>
      <w:marLeft w:val="0"/>
      <w:marRight w:val="0"/>
      <w:marTop w:val="0"/>
      <w:marBottom w:val="0"/>
      <w:divBdr>
        <w:top w:val="none" w:sz="0" w:space="0" w:color="auto"/>
        <w:left w:val="none" w:sz="0" w:space="0" w:color="auto"/>
        <w:bottom w:val="none" w:sz="0" w:space="0" w:color="auto"/>
        <w:right w:val="none" w:sz="0" w:space="0" w:color="auto"/>
      </w:divBdr>
    </w:div>
    <w:div w:id="25299828">
      <w:bodyDiv w:val="1"/>
      <w:marLeft w:val="0"/>
      <w:marRight w:val="0"/>
      <w:marTop w:val="0"/>
      <w:marBottom w:val="0"/>
      <w:divBdr>
        <w:top w:val="none" w:sz="0" w:space="0" w:color="auto"/>
        <w:left w:val="none" w:sz="0" w:space="0" w:color="auto"/>
        <w:bottom w:val="none" w:sz="0" w:space="0" w:color="auto"/>
        <w:right w:val="none" w:sz="0" w:space="0" w:color="auto"/>
      </w:divBdr>
    </w:div>
    <w:div w:id="29186719">
      <w:bodyDiv w:val="1"/>
      <w:marLeft w:val="0"/>
      <w:marRight w:val="0"/>
      <w:marTop w:val="0"/>
      <w:marBottom w:val="0"/>
      <w:divBdr>
        <w:top w:val="none" w:sz="0" w:space="0" w:color="auto"/>
        <w:left w:val="none" w:sz="0" w:space="0" w:color="auto"/>
        <w:bottom w:val="none" w:sz="0" w:space="0" w:color="auto"/>
        <w:right w:val="none" w:sz="0" w:space="0" w:color="auto"/>
      </w:divBdr>
    </w:div>
    <w:div w:id="29885669">
      <w:bodyDiv w:val="1"/>
      <w:marLeft w:val="0"/>
      <w:marRight w:val="0"/>
      <w:marTop w:val="0"/>
      <w:marBottom w:val="0"/>
      <w:divBdr>
        <w:top w:val="none" w:sz="0" w:space="0" w:color="auto"/>
        <w:left w:val="none" w:sz="0" w:space="0" w:color="auto"/>
        <w:bottom w:val="none" w:sz="0" w:space="0" w:color="auto"/>
        <w:right w:val="none" w:sz="0" w:space="0" w:color="auto"/>
      </w:divBdr>
    </w:div>
    <w:div w:id="33504774">
      <w:bodyDiv w:val="1"/>
      <w:marLeft w:val="0"/>
      <w:marRight w:val="0"/>
      <w:marTop w:val="0"/>
      <w:marBottom w:val="0"/>
      <w:divBdr>
        <w:top w:val="none" w:sz="0" w:space="0" w:color="auto"/>
        <w:left w:val="none" w:sz="0" w:space="0" w:color="auto"/>
        <w:bottom w:val="none" w:sz="0" w:space="0" w:color="auto"/>
        <w:right w:val="none" w:sz="0" w:space="0" w:color="auto"/>
      </w:divBdr>
    </w:div>
    <w:div w:id="35548132">
      <w:bodyDiv w:val="1"/>
      <w:marLeft w:val="0"/>
      <w:marRight w:val="0"/>
      <w:marTop w:val="0"/>
      <w:marBottom w:val="0"/>
      <w:divBdr>
        <w:top w:val="none" w:sz="0" w:space="0" w:color="auto"/>
        <w:left w:val="none" w:sz="0" w:space="0" w:color="auto"/>
        <w:bottom w:val="none" w:sz="0" w:space="0" w:color="auto"/>
        <w:right w:val="none" w:sz="0" w:space="0" w:color="auto"/>
      </w:divBdr>
    </w:div>
    <w:div w:id="39939342">
      <w:bodyDiv w:val="1"/>
      <w:marLeft w:val="0"/>
      <w:marRight w:val="0"/>
      <w:marTop w:val="0"/>
      <w:marBottom w:val="0"/>
      <w:divBdr>
        <w:top w:val="none" w:sz="0" w:space="0" w:color="auto"/>
        <w:left w:val="none" w:sz="0" w:space="0" w:color="auto"/>
        <w:bottom w:val="none" w:sz="0" w:space="0" w:color="auto"/>
        <w:right w:val="none" w:sz="0" w:space="0" w:color="auto"/>
      </w:divBdr>
    </w:div>
    <w:div w:id="42488722">
      <w:bodyDiv w:val="1"/>
      <w:marLeft w:val="0"/>
      <w:marRight w:val="0"/>
      <w:marTop w:val="0"/>
      <w:marBottom w:val="0"/>
      <w:divBdr>
        <w:top w:val="none" w:sz="0" w:space="0" w:color="auto"/>
        <w:left w:val="none" w:sz="0" w:space="0" w:color="auto"/>
        <w:bottom w:val="none" w:sz="0" w:space="0" w:color="auto"/>
        <w:right w:val="none" w:sz="0" w:space="0" w:color="auto"/>
      </w:divBdr>
    </w:div>
    <w:div w:id="46883033">
      <w:bodyDiv w:val="1"/>
      <w:marLeft w:val="0"/>
      <w:marRight w:val="0"/>
      <w:marTop w:val="0"/>
      <w:marBottom w:val="0"/>
      <w:divBdr>
        <w:top w:val="none" w:sz="0" w:space="0" w:color="auto"/>
        <w:left w:val="none" w:sz="0" w:space="0" w:color="auto"/>
        <w:bottom w:val="none" w:sz="0" w:space="0" w:color="auto"/>
        <w:right w:val="none" w:sz="0" w:space="0" w:color="auto"/>
      </w:divBdr>
    </w:div>
    <w:div w:id="49965282">
      <w:bodyDiv w:val="1"/>
      <w:marLeft w:val="0"/>
      <w:marRight w:val="0"/>
      <w:marTop w:val="0"/>
      <w:marBottom w:val="0"/>
      <w:divBdr>
        <w:top w:val="none" w:sz="0" w:space="0" w:color="auto"/>
        <w:left w:val="none" w:sz="0" w:space="0" w:color="auto"/>
        <w:bottom w:val="none" w:sz="0" w:space="0" w:color="auto"/>
        <w:right w:val="none" w:sz="0" w:space="0" w:color="auto"/>
      </w:divBdr>
    </w:div>
    <w:div w:id="51344088">
      <w:bodyDiv w:val="1"/>
      <w:marLeft w:val="0"/>
      <w:marRight w:val="0"/>
      <w:marTop w:val="0"/>
      <w:marBottom w:val="0"/>
      <w:divBdr>
        <w:top w:val="none" w:sz="0" w:space="0" w:color="auto"/>
        <w:left w:val="none" w:sz="0" w:space="0" w:color="auto"/>
        <w:bottom w:val="none" w:sz="0" w:space="0" w:color="auto"/>
        <w:right w:val="none" w:sz="0" w:space="0" w:color="auto"/>
      </w:divBdr>
    </w:div>
    <w:div w:id="51394526">
      <w:bodyDiv w:val="1"/>
      <w:marLeft w:val="0"/>
      <w:marRight w:val="0"/>
      <w:marTop w:val="0"/>
      <w:marBottom w:val="0"/>
      <w:divBdr>
        <w:top w:val="none" w:sz="0" w:space="0" w:color="auto"/>
        <w:left w:val="none" w:sz="0" w:space="0" w:color="auto"/>
        <w:bottom w:val="none" w:sz="0" w:space="0" w:color="auto"/>
        <w:right w:val="none" w:sz="0" w:space="0" w:color="auto"/>
      </w:divBdr>
    </w:div>
    <w:div w:id="53091075">
      <w:bodyDiv w:val="1"/>
      <w:marLeft w:val="0"/>
      <w:marRight w:val="0"/>
      <w:marTop w:val="0"/>
      <w:marBottom w:val="0"/>
      <w:divBdr>
        <w:top w:val="none" w:sz="0" w:space="0" w:color="auto"/>
        <w:left w:val="none" w:sz="0" w:space="0" w:color="auto"/>
        <w:bottom w:val="none" w:sz="0" w:space="0" w:color="auto"/>
        <w:right w:val="none" w:sz="0" w:space="0" w:color="auto"/>
      </w:divBdr>
    </w:div>
    <w:div w:id="54595509">
      <w:bodyDiv w:val="1"/>
      <w:marLeft w:val="0"/>
      <w:marRight w:val="0"/>
      <w:marTop w:val="0"/>
      <w:marBottom w:val="0"/>
      <w:divBdr>
        <w:top w:val="none" w:sz="0" w:space="0" w:color="auto"/>
        <w:left w:val="none" w:sz="0" w:space="0" w:color="auto"/>
        <w:bottom w:val="none" w:sz="0" w:space="0" w:color="auto"/>
        <w:right w:val="none" w:sz="0" w:space="0" w:color="auto"/>
      </w:divBdr>
    </w:div>
    <w:div w:id="55520316">
      <w:bodyDiv w:val="1"/>
      <w:marLeft w:val="0"/>
      <w:marRight w:val="0"/>
      <w:marTop w:val="0"/>
      <w:marBottom w:val="0"/>
      <w:divBdr>
        <w:top w:val="none" w:sz="0" w:space="0" w:color="auto"/>
        <w:left w:val="none" w:sz="0" w:space="0" w:color="auto"/>
        <w:bottom w:val="none" w:sz="0" w:space="0" w:color="auto"/>
        <w:right w:val="none" w:sz="0" w:space="0" w:color="auto"/>
      </w:divBdr>
    </w:div>
    <w:div w:id="59259335">
      <w:bodyDiv w:val="1"/>
      <w:marLeft w:val="0"/>
      <w:marRight w:val="0"/>
      <w:marTop w:val="0"/>
      <w:marBottom w:val="0"/>
      <w:divBdr>
        <w:top w:val="none" w:sz="0" w:space="0" w:color="auto"/>
        <w:left w:val="none" w:sz="0" w:space="0" w:color="auto"/>
        <w:bottom w:val="none" w:sz="0" w:space="0" w:color="auto"/>
        <w:right w:val="none" w:sz="0" w:space="0" w:color="auto"/>
      </w:divBdr>
    </w:div>
    <w:div w:id="60956377">
      <w:bodyDiv w:val="1"/>
      <w:marLeft w:val="0"/>
      <w:marRight w:val="0"/>
      <w:marTop w:val="0"/>
      <w:marBottom w:val="0"/>
      <w:divBdr>
        <w:top w:val="none" w:sz="0" w:space="0" w:color="auto"/>
        <w:left w:val="none" w:sz="0" w:space="0" w:color="auto"/>
        <w:bottom w:val="none" w:sz="0" w:space="0" w:color="auto"/>
        <w:right w:val="none" w:sz="0" w:space="0" w:color="auto"/>
      </w:divBdr>
    </w:div>
    <w:div w:id="61485056">
      <w:bodyDiv w:val="1"/>
      <w:marLeft w:val="0"/>
      <w:marRight w:val="0"/>
      <w:marTop w:val="0"/>
      <w:marBottom w:val="0"/>
      <w:divBdr>
        <w:top w:val="none" w:sz="0" w:space="0" w:color="auto"/>
        <w:left w:val="none" w:sz="0" w:space="0" w:color="auto"/>
        <w:bottom w:val="none" w:sz="0" w:space="0" w:color="auto"/>
        <w:right w:val="none" w:sz="0" w:space="0" w:color="auto"/>
      </w:divBdr>
    </w:div>
    <w:div w:id="65998485">
      <w:bodyDiv w:val="1"/>
      <w:marLeft w:val="0"/>
      <w:marRight w:val="0"/>
      <w:marTop w:val="0"/>
      <w:marBottom w:val="0"/>
      <w:divBdr>
        <w:top w:val="none" w:sz="0" w:space="0" w:color="auto"/>
        <w:left w:val="none" w:sz="0" w:space="0" w:color="auto"/>
        <w:bottom w:val="none" w:sz="0" w:space="0" w:color="auto"/>
        <w:right w:val="none" w:sz="0" w:space="0" w:color="auto"/>
      </w:divBdr>
    </w:div>
    <w:div w:id="67462990">
      <w:bodyDiv w:val="1"/>
      <w:marLeft w:val="0"/>
      <w:marRight w:val="0"/>
      <w:marTop w:val="0"/>
      <w:marBottom w:val="0"/>
      <w:divBdr>
        <w:top w:val="none" w:sz="0" w:space="0" w:color="auto"/>
        <w:left w:val="none" w:sz="0" w:space="0" w:color="auto"/>
        <w:bottom w:val="none" w:sz="0" w:space="0" w:color="auto"/>
        <w:right w:val="none" w:sz="0" w:space="0" w:color="auto"/>
      </w:divBdr>
    </w:div>
    <w:div w:id="67655246">
      <w:bodyDiv w:val="1"/>
      <w:marLeft w:val="0"/>
      <w:marRight w:val="0"/>
      <w:marTop w:val="0"/>
      <w:marBottom w:val="0"/>
      <w:divBdr>
        <w:top w:val="none" w:sz="0" w:space="0" w:color="auto"/>
        <w:left w:val="none" w:sz="0" w:space="0" w:color="auto"/>
        <w:bottom w:val="none" w:sz="0" w:space="0" w:color="auto"/>
        <w:right w:val="none" w:sz="0" w:space="0" w:color="auto"/>
      </w:divBdr>
    </w:div>
    <w:div w:id="68236684">
      <w:bodyDiv w:val="1"/>
      <w:marLeft w:val="0"/>
      <w:marRight w:val="0"/>
      <w:marTop w:val="0"/>
      <w:marBottom w:val="0"/>
      <w:divBdr>
        <w:top w:val="none" w:sz="0" w:space="0" w:color="auto"/>
        <w:left w:val="none" w:sz="0" w:space="0" w:color="auto"/>
        <w:bottom w:val="none" w:sz="0" w:space="0" w:color="auto"/>
        <w:right w:val="none" w:sz="0" w:space="0" w:color="auto"/>
      </w:divBdr>
    </w:div>
    <w:div w:id="73088647">
      <w:bodyDiv w:val="1"/>
      <w:marLeft w:val="0"/>
      <w:marRight w:val="0"/>
      <w:marTop w:val="0"/>
      <w:marBottom w:val="0"/>
      <w:divBdr>
        <w:top w:val="none" w:sz="0" w:space="0" w:color="auto"/>
        <w:left w:val="none" w:sz="0" w:space="0" w:color="auto"/>
        <w:bottom w:val="none" w:sz="0" w:space="0" w:color="auto"/>
        <w:right w:val="none" w:sz="0" w:space="0" w:color="auto"/>
      </w:divBdr>
    </w:div>
    <w:div w:id="77020178">
      <w:bodyDiv w:val="1"/>
      <w:marLeft w:val="0"/>
      <w:marRight w:val="0"/>
      <w:marTop w:val="0"/>
      <w:marBottom w:val="0"/>
      <w:divBdr>
        <w:top w:val="none" w:sz="0" w:space="0" w:color="auto"/>
        <w:left w:val="none" w:sz="0" w:space="0" w:color="auto"/>
        <w:bottom w:val="none" w:sz="0" w:space="0" w:color="auto"/>
        <w:right w:val="none" w:sz="0" w:space="0" w:color="auto"/>
      </w:divBdr>
    </w:div>
    <w:div w:id="77946382">
      <w:bodyDiv w:val="1"/>
      <w:marLeft w:val="0"/>
      <w:marRight w:val="0"/>
      <w:marTop w:val="0"/>
      <w:marBottom w:val="0"/>
      <w:divBdr>
        <w:top w:val="none" w:sz="0" w:space="0" w:color="auto"/>
        <w:left w:val="none" w:sz="0" w:space="0" w:color="auto"/>
        <w:bottom w:val="none" w:sz="0" w:space="0" w:color="auto"/>
        <w:right w:val="none" w:sz="0" w:space="0" w:color="auto"/>
      </w:divBdr>
    </w:div>
    <w:div w:id="79642638">
      <w:bodyDiv w:val="1"/>
      <w:marLeft w:val="0"/>
      <w:marRight w:val="0"/>
      <w:marTop w:val="0"/>
      <w:marBottom w:val="0"/>
      <w:divBdr>
        <w:top w:val="none" w:sz="0" w:space="0" w:color="auto"/>
        <w:left w:val="none" w:sz="0" w:space="0" w:color="auto"/>
        <w:bottom w:val="none" w:sz="0" w:space="0" w:color="auto"/>
        <w:right w:val="none" w:sz="0" w:space="0" w:color="auto"/>
      </w:divBdr>
    </w:div>
    <w:div w:id="80297845">
      <w:bodyDiv w:val="1"/>
      <w:marLeft w:val="0"/>
      <w:marRight w:val="0"/>
      <w:marTop w:val="0"/>
      <w:marBottom w:val="0"/>
      <w:divBdr>
        <w:top w:val="none" w:sz="0" w:space="0" w:color="auto"/>
        <w:left w:val="none" w:sz="0" w:space="0" w:color="auto"/>
        <w:bottom w:val="none" w:sz="0" w:space="0" w:color="auto"/>
        <w:right w:val="none" w:sz="0" w:space="0" w:color="auto"/>
      </w:divBdr>
    </w:div>
    <w:div w:id="88548509">
      <w:bodyDiv w:val="1"/>
      <w:marLeft w:val="0"/>
      <w:marRight w:val="0"/>
      <w:marTop w:val="0"/>
      <w:marBottom w:val="0"/>
      <w:divBdr>
        <w:top w:val="none" w:sz="0" w:space="0" w:color="auto"/>
        <w:left w:val="none" w:sz="0" w:space="0" w:color="auto"/>
        <w:bottom w:val="none" w:sz="0" w:space="0" w:color="auto"/>
        <w:right w:val="none" w:sz="0" w:space="0" w:color="auto"/>
      </w:divBdr>
    </w:div>
    <w:div w:id="90050875">
      <w:bodyDiv w:val="1"/>
      <w:marLeft w:val="0"/>
      <w:marRight w:val="0"/>
      <w:marTop w:val="0"/>
      <w:marBottom w:val="0"/>
      <w:divBdr>
        <w:top w:val="none" w:sz="0" w:space="0" w:color="auto"/>
        <w:left w:val="none" w:sz="0" w:space="0" w:color="auto"/>
        <w:bottom w:val="none" w:sz="0" w:space="0" w:color="auto"/>
        <w:right w:val="none" w:sz="0" w:space="0" w:color="auto"/>
      </w:divBdr>
    </w:div>
    <w:div w:id="92173006">
      <w:bodyDiv w:val="1"/>
      <w:marLeft w:val="0"/>
      <w:marRight w:val="0"/>
      <w:marTop w:val="0"/>
      <w:marBottom w:val="0"/>
      <w:divBdr>
        <w:top w:val="none" w:sz="0" w:space="0" w:color="auto"/>
        <w:left w:val="none" w:sz="0" w:space="0" w:color="auto"/>
        <w:bottom w:val="none" w:sz="0" w:space="0" w:color="auto"/>
        <w:right w:val="none" w:sz="0" w:space="0" w:color="auto"/>
      </w:divBdr>
    </w:div>
    <w:div w:id="92867932">
      <w:bodyDiv w:val="1"/>
      <w:marLeft w:val="0"/>
      <w:marRight w:val="0"/>
      <w:marTop w:val="0"/>
      <w:marBottom w:val="0"/>
      <w:divBdr>
        <w:top w:val="none" w:sz="0" w:space="0" w:color="auto"/>
        <w:left w:val="none" w:sz="0" w:space="0" w:color="auto"/>
        <w:bottom w:val="none" w:sz="0" w:space="0" w:color="auto"/>
        <w:right w:val="none" w:sz="0" w:space="0" w:color="auto"/>
      </w:divBdr>
    </w:div>
    <w:div w:id="94138269">
      <w:bodyDiv w:val="1"/>
      <w:marLeft w:val="0"/>
      <w:marRight w:val="0"/>
      <w:marTop w:val="0"/>
      <w:marBottom w:val="0"/>
      <w:divBdr>
        <w:top w:val="none" w:sz="0" w:space="0" w:color="auto"/>
        <w:left w:val="none" w:sz="0" w:space="0" w:color="auto"/>
        <w:bottom w:val="none" w:sz="0" w:space="0" w:color="auto"/>
        <w:right w:val="none" w:sz="0" w:space="0" w:color="auto"/>
      </w:divBdr>
    </w:div>
    <w:div w:id="96293363">
      <w:bodyDiv w:val="1"/>
      <w:marLeft w:val="0"/>
      <w:marRight w:val="0"/>
      <w:marTop w:val="0"/>
      <w:marBottom w:val="0"/>
      <w:divBdr>
        <w:top w:val="none" w:sz="0" w:space="0" w:color="auto"/>
        <w:left w:val="none" w:sz="0" w:space="0" w:color="auto"/>
        <w:bottom w:val="none" w:sz="0" w:space="0" w:color="auto"/>
        <w:right w:val="none" w:sz="0" w:space="0" w:color="auto"/>
      </w:divBdr>
    </w:div>
    <w:div w:id="104347452">
      <w:bodyDiv w:val="1"/>
      <w:marLeft w:val="0"/>
      <w:marRight w:val="0"/>
      <w:marTop w:val="0"/>
      <w:marBottom w:val="0"/>
      <w:divBdr>
        <w:top w:val="none" w:sz="0" w:space="0" w:color="auto"/>
        <w:left w:val="none" w:sz="0" w:space="0" w:color="auto"/>
        <w:bottom w:val="none" w:sz="0" w:space="0" w:color="auto"/>
        <w:right w:val="none" w:sz="0" w:space="0" w:color="auto"/>
      </w:divBdr>
    </w:div>
    <w:div w:id="110828535">
      <w:bodyDiv w:val="1"/>
      <w:marLeft w:val="0"/>
      <w:marRight w:val="0"/>
      <w:marTop w:val="0"/>
      <w:marBottom w:val="0"/>
      <w:divBdr>
        <w:top w:val="none" w:sz="0" w:space="0" w:color="auto"/>
        <w:left w:val="none" w:sz="0" w:space="0" w:color="auto"/>
        <w:bottom w:val="none" w:sz="0" w:space="0" w:color="auto"/>
        <w:right w:val="none" w:sz="0" w:space="0" w:color="auto"/>
      </w:divBdr>
    </w:div>
    <w:div w:id="117341382">
      <w:bodyDiv w:val="1"/>
      <w:marLeft w:val="0"/>
      <w:marRight w:val="0"/>
      <w:marTop w:val="0"/>
      <w:marBottom w:val="0"/>
      <w:divBdr>
        <w:top w:val="none" w:sz="0" w:space="0" w:color="auto"/>
        <w:left w:val="none" w:sz="0" w:space="0" w:color="auto"/>
        <w:bottom w:val="none" w:sz="0" w:space="0" w:color="auto"/>
        <w:right w:val="none" w:sz="0" w:space="0" w:color="auto"/>
      </w:divBdr>
    </w:div>
    <w:div w:id="119030432">
      <w:bodyDiv w:val="1"/>
      <w:marLeft w:val="0"/>
      <w:marRight w:val="0"/>
      <w:marTop w:val="0"/>
      <w:marBottom w:val="0"/>
      <w:divBdr>
        <w:top w:val="none" w:sz="0" w:space="0" w:color="auto"/>
        <w:left w:val="none" w:sz="0" w:space="0" w:color="auto"/>
        <w:bottom w:val="none" w:sz="0" w:space="0" w:color="auto"/>
        <w:right w:val="none" w:sz="0" w:space="0" w:color="auto"/>
      </w:divBdr>
    </w:div>
    <w:div w:id="121461719">
      <w:bodyDiv w:val="1"/>
      <w:marLeft w:val="0"/>
      <w:marRight w:val="0"/>
      <w:marTop w:val="0"/>
      <w:marBottom w:val="0"/>
      <w:divBdr>
        <w:top w:val="none" w:sz="0" w:space="0" w:color="auto"/>
        <w:left w:val="none" w:sz="0" w:space="0" w:color="auto"/>
        <w:bottom w:val="none" w:sz="0" w:space="0" w:color="auto"/>
        <w:right w:val="none" w:sz="0" w:space="0" w:color="auto"/>
      </w:divBdr>
    </w:div>
    <w:div w:id="126778073">
      <w:bodyDiv w:val="1"/>
      <w:marLeft w:val="0"/>
      <w:marRight w:val="0"/>
      <w:marTop w:val="0"/>
      <w:marBottom w:val="0"/>
      <w:divBdr>
        <w:top w:val="none" w:sz="0" w:space="0" w:color="auto"/>
        <w:left w:val="none" w:sz="0" w:space="0" w:color="auto"/>
        <w:bottom w:val="none" w:sz="0" w:space="0" w:color="auto"/>
        <w:right w:val="none" w:sz="0" w:space="0" w:color="auto"/>
      </w:divBdr>
    </w:div>
    <w:div w:id="129637332">
      <w:bodyDiv w:val="1"/>
      <w:marLeft w:val="0"/>
      <w:marRight w:val="0"/>
      <w:marTop w:val="0"/>
      <w:marBottom w:val="0"/>
      <w:divBdr>
        <w:top w:val="none" w:sz="0" w:space="0" w:color="auto"/>
        <w:left w:val="none" w:sz="0" w:space="0" w:color="auto"/>
        <w:bottom w:val="none" w:sz="0" w:space="0" w:color="auto"/>
        <w:right w:val="none" w:sz="0" w:space="0" w:color="auto"/>
      </w:divBdr>
    </w:div>
    <w:div w:id="132142883">
      <w:bodyDiv w:val="1"/>
      <w:marLeft w:val="0"/>
      <w:marRight w:val="0"/>
      <w:marTop w:val="0"/>
      <w:marBottom w:val="0"/>
      <w:divBdr>
        <w:top w:val="none" w:sz="0" w:space="0" w:color="auto"/>
        <w:left w:val="none" w:sz="0" w:space="0" w:color="auto"/>
        <w:bottom w:val="none" w:sz="0" w:space="0" w:color="auto"/>
        <w:right w:val="none" w:sz="0" w:space="0" w:color="auto"/>
      </w:divBdr>
    </w:div>
    <w:div w:id="133646604">
      <w:bodyDiv w:val="1"/>
      <w:marLeft w:val="0"/>
      <w:marRight w:val="0"/>
      <w:marTop w:val="0"/>
      <w:marBottom w:val="0"/>
      <w:divBdr>
        <w:top w:val="none" w:sz="0" w:space="0" w:color="auto"/>
        <w:left w:val="none" w:sz="0" w:space="0" w:color="auto"/>
        <w:bottom w:val="none" w:sz="0" w:space="0" w:color="auto"/>
        <w:right w:val="none" w:sz="0" w:space="0" w:color="auto"/>
      </w:divBdr>
    </w:div>
    <w:div w:id="134223892">
      <w:bodyDiv w:val="1"/>
      <w:marLeft w:val="0"/>
      <w:marRight w:val="0"/>
      <w:marTop w:val="0"/>
      <w:marBottom w:val="0"/>
      <w:divBdr>
        <w:top w:val="none" w:sz="0" w:space="0" w:color="auto"/>
        <w:left w:val="none" w:sz="0" w:space="0" w:color="auto"/>
        <w:bottom w:val="none" w:sz="0" w:space="0" w:color="auto"/>
        <w:right w:val="none" w:sz="0" w:space="0" w:color="auto"/>
      </w:divBdr>
    </w:div>
    <w:div w:id="136191977">
      <w:bodyDiv w:val="1"/>
      <w:marLeft w:val="0"/>
      <w:marRight w:val="0"/>
      <w:marTop w:val="0"/>
      <w:marBottom w:val="0"/>
      <w:divBdr>
        <w:top w:val="none" w:sz="0" w:space="0" w:color="auto"/>
        <w:left w:val="none" w:sz="0" w:space="0" w:color="auto"/>
        <w:bottom w:val="none" w:sz="0" w:space="0" w:color="auto"/>
        <w:right w:val="none" w:sz="0" w:space="0" w:color="auto"/>
      </w:divBdr>
    </w:div>
    <w:div w:id="138228673">
      <w:bodyDiv w:val="1"/>
      <w:marLeft w:val="0"/>
      <w:marRight w:val="0"/>
      <w:marTop w:val="0"/>
      <w:marBottom w:val="0"/>
      <w:divBdr>
        <w:top w:val="none" w:sz="0" w:space="0" w:color="auto"/>
        <w:left w:val="none" w:sz="0" w:space="0" w:color="auto"/>
        <w:bottom w:val="none" w:sz="0" w:space="0" w:color="auto"/>
        <w:right w:val="none" w:sz="0" w:space="0" w:color="auto"/>
      </w:divBdr>
    </w:div>
    <w:div w:id="139659902">
      <w:bodyDiv w:val="1"/>
      <w:marLeft w:val="0"/>
      <w:marRight w:val="0"/>
      <w:marTop w:val="0"/>
      <w:marBottom w:val="0"/>
      <w:divBdr>
        <w:top w:val="none" w:sz="0" w:space="0" w:color="auto"/>
        <w:left w:val="none" w:sz="0" w:space="0" w:color="auto"/>
        <w:bottom w:val="none" w:sz="0" w:space="0" w:color="auto"/>
        <w:right w:val="none" w:sz="0" w:space="0" w:color="auto"/>
      </w:divBdr>
    </w:div>
    <w:div w:id="140391147">
      <w:bodyDiv w:val="1"/>
      <w:marLeft w:val="0"/>
      <w:marRight w:val="0"/>
      <w:marTop w:val="0"/>
      <w:marBottom w:val="0"/>
      <w:divBdr>
        <w:top w:val="none" w:sz="0" w:space="0" w:color="auto"/>
        <w:left w:val="none" w:sz="0" w:space="0" w:color="auto"/>
        <w:bottom w:val="none" w:sz="0" w:space="0" w:color="auto"/>
        <w:right w:val="none" w:sz="0" w:space="0" w:color="auto"/>
      </w:divBdr>
    </w:div>
    <w:div w:id="142239758">
      <w:bodyDiv w:val="1"/>
      <w:marLeft w:val="0"/>
      <w:marRight w:val="0"/>
      <w:marTop w:val="0"/>
      <w:marBottom w:val="0"/>
      <w:divBdr>
        <w:top w:val="none" w:sz="0" w:space="0" w:color="auto"/>
        <w:left w:val="none" w:sz="0" w:space="0" w:color="auto"/>
        <w:bottom w:val="none" w:sz="0" w:space="0" w:color="auto"/>
        <w:right w:val="none" w:sz="0" w:space="0" w:color="auto"/>
      </w:divBdr>
    </w:div>
    <w:div w:id="144005800">
      <w:bodyDiv w:val="1"/>
      <w:marLeft w:val="0"/>
      <w:marRight w:val="0"/>
      <w:marTop w:val="0"/>
      <w:marBottom w:val="0"/>
      <w:divBdr>
        <w:top w:val="none" w:sz="0" w:space="0" w:color="auto"/>
        <w:left w:val="none" w:sz="0" w:space="0" w:color="auto"/>
        <w:bottom w:val="none" w:sz="0" w:space="0" w:color="auto"/>
        <w:right w:val="none" w:sz="0" w:space="0" w:color="auto"/>
      </w:divBdr>
    </w:div>
    <w:div w:id="144668098">
      <w:bodyDiv w:val="1"/>
      <w:marLeft w:val="0"/>
      <w:marRight w:val="0"/>
      <w:marTop w:val="0"/>
      <w:marBottom w:val="0"/>
      <w:divBdr>
        <w:top w:val="none" w:sz="0" w:space="0" w:color="auto"/>
        <w:left w:val="none" w:sz="0" w:space="0" w:color="auto"/>
        <w:bottom w:val="none" w:sz="0" w:space="0" w:color="auto"/>
        <w:right w:val="none" w:sz="0" w:space="0" w:color="auto"/>
      </w:divBdr>
    </w:div>
    <w:div w:id="151071326">
      <w:bodyDiv w:val="1"/>
      <w:marLeft w:val="0"/>
      <w:marRight w:val="0"/>
      <w:marTop w:val="0"/>
      <w:marBottom w:val="0"/>
      <w:divBdr>
        <w:top w:val="none" w:sz="0" w:space="0" w:color="auto"/>
        <w:left w:val="none" w:sz="0" w:space="0" w:color="auto"/>
        <w:bottom w:val="none" w:sz="0" w:space="0" w:color="auto"/>
        <w:right w:val="none" w:sz="0" w:space="0" w:color="auto"/>
      </w:divBdr>
    </w:div>
    <w:div w:id="155734591">
      <w:bodyDiv w:val="1"/>
      <w:marLeft w:val="0"/>
      <w:marRight w:val="0"/>
      <w:marTop w:val="0"/>
      <w:marBottom w:val="0"/>
      <w:divBdr>
        <w:top w:val="none" w:sz="0" w:space="0" w:color="auto"/>
        <w:left w:val="none" w:sz="0" w:space="0" w:color="auto"/>
        <w:bottom w:val="none" w:sz="0" w:space="0" w:color="auto"/>
        <w:right w:val="none" w:sz="0" w:space="0" w:color="auto"/>
      </w:divBdr>
    </w:div>
    <w:div w:id="156071657">
      <w:bodyDiv w:val="1"/>
      <w:marLeft w:val="0"/>
      <w:marRight w:val="0"/>
      <w:marTop w:val="0"/>
      <w:marBottom w:val="0"/>
      <w:divBdr>
        <w:top w:val="none" w:sz="0" w:space="0" w:color="auto"/>
        <w:left w:val="none" w:sz="0" w:space="0" w:color="auto"/>
        <w:bottom w:val="none" w:sz="0" w:space="0" w:color="auto"/>
        <w:right w:val="none" w:sz="0" w:space="0" w:color="auto"/>
      </w:divBdr>
    </w:div>
    <w:div w:id="156191865">
      <w:bodyDiv w:val="1"/>
      <w:marLeft w:val="0"/>
      <w:marRight w:val="0"/>
      <w:marTop w:val="0"/>
      <w:marBottom w:val="0"/>
      <w:divBdr>
        <w:top w:val="none" w:sz="0" w:space="0" w:color="auto"/>
        <w:left w:val="none" w:sz="0" w:space="0" w:color="auto"/>
        <w:bottom w:val="none" w:sz="0" w:space="0" w:color="auto"/>
        <w:right w:val="none" w:sz="0" w:space="0" w:color="auto"/>
      </w:divBdr>
    </w:div>
    <w:div w:id="157580748">
      <w:bodyDiv w:val="1"/>
      <w:marLeft w:val="0"/>
      <w:marRight w:val="0"/>
      <w:marTop w:val="0"/>
      <w:marBottom w:val="0"/>
      <w:divBdr>
        <w:top w:val="none" w:sz="0" w:space="0" w:color="auto"/>
        <w:left w:val="none" w:sz="0" w:space="0" w:color="auto"/>
        <w:bottom w:val="none" w:sz="0" w:space="0" w:color="auto"/>
        <w:right w:val="none" w:sz="0" w:space="0" w:color="auto"/>
      </w:divBdr>
    </w:div>
    <w:div w:id="160004600">
      <w:bodyDiv w:val="1"/>
      <w:marLeft w:val="0"/>
      <w:marRight w:val="0"/>
      <w:marTop w:val="0"/>
      <w:marBottom w:val="0"/>
      <w:divBdr>
        <w:top w:val="none" w:sz="0" w:space="0" w:color="auto"/>
        <w:left w:val="none" w:sz="0" w:space="0" w:color="auto"/>
        <w:bottom w:val="none" w:sz="0" w:space="0" w:color="auto"/>
        <w:right w:val="none" w:sz="0" w:space="0" w:color="auto"/>
      </w:divBdr>
    </w:div>
    <w:div w:id="165362991">
      <w:bodyDiv w:val="1"/>
      <w:marLeft w:val="0"/>
      <w:marRight w:val="0"/>
      <w:marTop w:val="0"/>
      <w:marBottom w:val="0"/>
      <w:divBdr>
        <w:top w:val="none" w:sz="0" w:space="0" w:color="auto"/>
        <w:left w:val="none" w:sz="0" w:space="0" w:color="auto"/>
        <w:bottom w:val="none" w:sz="0" w:space="0" w:color="auto"/>
        <w:right w:val="none" w:sz="0" w:space="0" w:color="auto"/>
      </w:divBdr>
    </w:div>
    <w:div w:id="167528918">
      <w:bodyDiv w:val="1"/>
      <w:marLeft w:val="0"/>
      <w:marRight w:val="0"/>
      <w:marTop w:val="0"/>
      <w:marBottom w:val="0"/>
      <w:divBdr>
        <w:top w:val="none" w:sz="0" w:space="0" w:color="auto"/>
        <w:left w:val="none" w:sz="0" w:space="0" w:color="auto"/>
        <w:bottom w:val="none" w:sz="0" w:space="0" w:color="auto"/>
        <w:right w:val="none" w:sz="0" w:space="0" w:color="auto"/>
      </w:divBdr>
    </w:div>
    <w:div w:id="167910285">
      <w:bodyDiv w:val="1"/>
      <w:marLeft w:val="0"/>
      <w:marRight w:val="0"/>
      <w:marTop w:val="0"/>
      <w:marBottom w:val="0"/>
      <w:divBdr>
        <w:top w:val="none" w:sz="0" w:space="0" w:color="auto"/>
        <w:left w:val="none" w:sz="0" w:space="0" w:color="auto"/>
        <w:bottom w:val="none" w:sz="0" w:space="0" w:color="auto"/>
        <w:right w:val="none" w:sz="0" w:space="0" w:color="auto"/>
      </w:divBdr>
    </w:div>
    <w:div w:id="172957475">
      <w:bodyDiv w:val="1"/>
      <w:marLeft w:val="0"/>
      <w:marRight w:val="0"/>
      <w:marTop w:val="0"/>
      <w:marBottom w:val="0"/>
      <w:divBdr>
        <w:top w:val="none" w:sz="0" w:space="0" w:color="auto"/>
        <w:left w:val="none" w:sz="0" w:space="0" w:color="auto"/>
        <w:bottom w:val="none" w:sz="0" w:space="0" w:color="auto"/>
        <w:right w:val="none" w:sz="0" w:space="0" w:color="auto"/>
      </w:divBdr>
    </w:div>
    <w:div w:id="174149885">
      <w:bodyDiv w:val="1"/>
      <w:marLeft w:val="0"/>
      <w:marRight w:val="0"/>
      <w:marTop w:val="0"/>
      <w:marBottom w:val="0"/>
      <w:divBdr>
        <w:top w:val="none" w:sz="0" w:space="0" w:color="auto"/>
        <w:left w:val="none" w:sz="0" w:space="0" w:color="auto"/>
        <w:bottom w:val="none" w:sz="0" w:space="0" w:color="auto"/>
        <w:right w:val="none" w:sz="0" w:space="0" w:color="auto"/>
      </w:divBdr>
    </w:div>
    <w:div w:id="174733497">
      <w:bodyDiv w:val="1"/>
      <w:marLeft w:val="0"/>
      <w:marRight w:val="0"/>
      <w:marTop w:val="0"/>
      <w:marBottom w:val="0"/>
      <w:divBdr>
        <w:top w:val="none" w:sz="0" w:space="0" w:color="auto"/>
        <w:left w:val="none" w:sz="0" w:space="0" w:color="auto"/>
        <w:bottom w:val="none" w:sz="0" w:space="0" w:color="auto"/>
        <w:right w:val="none" w:sz="0" w:space="0" w:color="auto"/>
      </w:divBdr>
    </w:div>
    <w:div w:id="174929458">
      <w:bodyDiv w:val="1"/>
      <w:marLeft w:val="0"/>
      <w:marRight w:val="0"/>
      <w:marTop w:val="0"/>
      <w:marBottom w:val="0"/>
      <w:divBdr>
        <w:top w:val="none" w:sz="0" w:space="0" w:color="auto"/>
        <w:left w:val="none" w:sz="0" w:space="0" w:color="auto"/>
        <w:bottom w:val="none" w:sz="0" w:space="0" w:color="auto"/>
        <w:right w:val="none" w:sz="0" w:space="0" w:color="auto"/>
      </w:divBdr>
    </w:div>
    <w:div w:id="175577555">
      <w:bodyDiv w:val="1"/>
      <w:marLeft w:val="0"/>
      <w:marRight w:val="0"/>
      <w:marTop w:val="0"/>
      <w:marBottom w:val="0"/>
      <w:divBdr>
        <w:top w:val="none" w:sz="0" w:space="0" w:color="auto"/>
        <w:left w:val="none" w:sz="0" w:space="0" w:color="auto"/>
        <w:bottom w:val="none" w:sz="0" w:space="0" w:color="auto"/>
        <w:right w:val="none" w:sz="0" w:space="0" w:color="auto"/>
      </w:divBdr>
    </w:div>
    <w:div w:id="178932940">
      <w:bodyDiv w:val="1"/>
      <w:marLeft w:val="0"/>
      <w:marRight w:val="0"/>
      <w:marTop w:val="0"/>
      <w:marBottom w:val="0"/>
      <w:divBdr>
        <w:top w:val="none" w:sz="0" w:space="0" w:color="auto"/>
        <w:left w:val="none" w:sz="0" w:space="0" w:color="auto"/>
        <w:bottom w:val="none" w:sz="0" w:space="0" w:color="auto"/>
        <w:right w:val="none" w:sz="0" w:space="0" w:color="auto"/>
      </w:divBdr>
    </w:div>
    <w:div w:id="179392954">
      <w:bodyDiv w:val="1"/>
      <w:marLeft w:val="0"/>
      <w:marRight w:val="0"/>
      <w:marTop w:val="0"/>
      <w:marBottom w:val="0"/>
      <w:divBdr>
        <w:top w:val="none" w:sz="0" w:space="0" w:color="auto"/>
        <w:left w:val="none" w:sz="0" w:space="0" w:color="auto"/>
        <w:bottom w:val="none" w:sz="0" w:space="0" w:color="auto"/>
        <w:right w:val="none" w:sz="0" w:space="0" w:color="auto"/>
      </w:divBdr>
    </w:div>
    <w:div w:id="182090241">
      <w:bodyDiv w:val="1"/>
      <w:marLeft w:val="0"/>
      <w:marRight w:val="0"/>
      <w:marTop w:val="0"/>
      <w:marBottom w:val="0"/>
      <w:divBdr>
        <w:top w:val="none" w:sz="0" w:space="0" w:color="auto"/>
        <w:left w:val="none" w:sz="0" w:space="0" w:color="auto"/>
        <w:bottom w:val="none" w:sz="0" w:space="0" w:color="auto"/>
        <w:right w:val="none" w:sz="0" w:space="0" w:color="auto"/>
      </w:divBdr>
    </w:div>
    <w:div w:id="183447324">
      <w:bodyDiv w:val="1"/>
      <w:marLeft w:val="0"/>
      <w:marRight w:val="0"/>
      <w:marTop w:val="0"/>
      <w:marBottom w:val="0"/>
      <w:divBdr>
        <w:top w:val="none" w:sz="0" w:space="0" w:color="auto"/>
        <w:left w:val="none" w:sz="0" w:space="0" w:color="auto"/>
        <w:bottom w:val="none" w:sz="0" w:space="0" w:color="auto"/>
        <w:right w:val="none" w:sz="0" w:space="0" w:color="auto"/>
      </w:divBdr>
    </w:div>
    <w:div w:id="184250895">
      <w:bodyDiv w:val="1"/>
      <w:marLeft w:val="0"/>
      <w:marRight w:val="0"/>
      <w:marTop w:val="0"/>
      <w:marBottom w:val="0"/>
      <w:divBdr>
        <w:top w:val="none" w:sz="0" w:space="0" w:color="auto"/>
        <w:left w:val="none" w:sz="0" w:space="0" w:color="auto"/>
        <w:bottom w:val="none" w:sz="0" w:space="0" w:color="auto"/>
        <w:right w:val="none" w:sz="0" w:space="0" w:color="auto"/>
      </w:divBdr>
    </w:div>
    <w:div w:id="185950148">
      <w:bodyDiv w:val="1"/>
      <w:marLeft w:val="0"/>
      <w:marRight w:val="0"/>
      <w:marTop w:val="0"/>
      <w:marBottom w:val="0"/>
      <w:divBdr>
        <w:top w:val="none" w:sz="0" w:space="0" w:color="auto"/>
        <w:left w:val="none" w:sz="0" w:space="0" w:color="auto"/>
        <w:bottom w:val="none" w:sz="0" w:space="0" w:color="auto"/>
        <w:right w:val="none" w:sz="0" w:space="0" w:color="auto"/>
      </w:divBdr>
    </w:div>
    <w:div w:id="187332600">
      <w:bodyDiv w:val="1"/>
      <w:marLeft w:val="0"/>
      <w:marRight w:val="0"/>
      <w:marTop w:val="0"/>
      <w:marBottom w:val="0"/>
      <w:divBdr>
        <w:top w:val="none" w:sz="0" w:space="0" w:color="auto"/>
        <w:left w:val="none" w:sz="0" w:space="0" w:color="auto"/>
        <w:bottom w:val="none" w:sz="0" w:space="0" w:color="auto"/>
        <w:right w:val="none" w:sz="0" w:space="0" w:color="auto"/>
      </w:divBdr>
    </w:div>
    <w:div w:id="191264159">
      <w:bodyDiv w:val="1"/>
      <w:marLeft w:val="0"/>
      <w:marRight w:val="0"/>
      <w:marTop w:val="0"/>
      <w:marBottom w:val="0"/>
      <w:divBdr>
        <w:top w:val="none" w:sz="0" w:space="0" w:color="auto"/>
        <w:left w:val="none" w:sz="0" w:space="0" w:color="auto"/>
        <w:bottom w:val="none" w:sz="0" w:space="0" w:color="auto"/>
        <w:right w:val="none" w:sz="0" w:space="0" w:color="auto"/>
      </w:divBdr>
    </w:div>
    <w:div w:id="192115807">
      <w:bodyDiv w:val="1"/>
      <w:marLeft w:val="0"/>
      <w:marRight w:val="0"/>
      <w:marTop w:val="0"/>
      <w:marBottom w:val="0"/>
      <w:divBdr>
        <w:top w:val="none" w:sz="0" w:space="0" w:color="auto"/>
        <w:left w:val="none" w:sz="0" w:space="0" w:color="auto"/>
        <w:bottom w:val="none" w:sz="0" w:space="0" w:color="auto"/>
        <w:right w:val="none" w:sz="0" w:space="0" w:color="auto"/>
      </w:divBdr>
    </w:div>
    <w:div w:id="197208606">
      <w:bodyDiv w:val="1"/>
      <w:marLeft w:val="0"/>
      <w:marRight w:val="0"/>
      <w:marTop w:val="0"/>
      <w:marBottom w:val="0"/>
      <w:divBdr>
        <w:top w:val="none" w:sz="0" w:space="0" w:color="auto"/>
        <w:left w:val="none" w:sz="0" w:space="0" w:color="auto"/>
        <w:bottom w:val="none" w:sz="0" w:space="0" w:color="auto"/>
        <w:right w:val="none" w:sz="0" w:space="0" w:color="auto"/>
      </w:divBdr>
    </w:div>
    <w:div w:id="198014273">
      <w:bodyDiv w:val="1"/>
      <w:marLeft w:val="0"/>
      <w:marRight w:val="0"/>
      <w:marTop w:val="0"/>
      <w:marBottom w:val="0"/>
      <w:divBdr>
        <w:top w:val="none" w:sz="0" w:space="0" w:color="auto"/>
        <w:left w:val="none" w:sz="0" w:space="0" w:color="auto"/>
        <w:bottom w:val="none" w:sz="0" w:space="0" w:color="auto"/>
        <w:right w:val="none" w:sz="0" w:space="0" w:color="auto"/>
      </w:divBdr>
    </w:div>
    <w:div w:id="200898650">
      <w:bodyDiv w:val="1"/>
      <w:marLeft w:val="0"/>
      <w:marRight w:val="0"/>
      <w:marTop w:val="0"/>
      <w:marBottom w:val="0"/>
      <w:divBdr>
        <w:top w:val="none" w:sz="0" w:space="0" w:color="auto"/>
        <w:left w:val="none" w:sz="0" w:space="0" w:color="auto"/>
        <w:bottom w:val="none" w:sz="0" w:space="0" w:color="auto"/>
        <w:right w:val="none" w:sz="0" w:space="0" w:color="auto"/>
      </w:divBdr>
    </w:div>
    <w:div w:id="203368685">
      <w:bodyDiv w:val="1"/>
      <w:marLeft w:val="0"/>
      <w:marRight w:val="0"/>
      <w:marTop w:val="0"/>
      <w:marBottom w:val="0"/>
      <w:divBdr>
        <w:top w:val="none" w:sz="0" w:space="0" w:color="auto"/>
        <w:left w:val="none" w:sz="0" w:space="0" w:color="auto"/>
        <w:bottom w:val="none" w:sz="0" w:space="0" w:color="auto"/>
        <w:right w:val="none" w:sz="0" w:space="0" w:color="auto"/>
      </w:divBdr>
    </w:div>
    <w:div w:id="207380874">
      <w:bodyDiv w:val="1"/>
      <w:marLeft w:val="0"/>
      <w:marRight w:val="0"/>
      <w:marTop w:val="0"/>
      <w:marBottom w:val="0"/>
      <w:divBdr>
        <w:top w:val="none" w:sz="0" w:space="0" w:color="auto"/>
        <w:left w:val="none" w:sz="0" w:space="0" w:color="auto"/>
        <w:bottom w:val="none" w:sz="0" w:space="0" w:color="auto"/>
        <w:right w:val="none" w:sz="0" w:space="0" w:color="auto"/>
      </w:divBdr>
    </w:div>
    <w:div w:id="212205769">
      <w:bodyDiv w:val="1"/>
      <w:marLeft w:val="0"/>
      <w:marRight w:val="0"/>
      <w:marTop w:val="0"/>
      <w:marBottom w:val="0"/>
      <w:divBdr>
        <w:top w:val="none" w:sz="0" w:space="0" w:color="auto"/>
        <w:left w:val="none" w:sz="0" w:space="0" w:color="auto"/>
        <w:bottom w:val="none" w:sz="0" w:space="0" w:color="auto"/>
        <w:right w:val="none" w:sz="0" w:space="0" w:color="auto"/>
      </w:divBdr>
    </w:div>
    <w:div w:id="213808535">
      <w:bodyDiv w:val="1"/>
      <w:marLeft w:val="0"/>
      <w:marRight w:val="0"/>
      <w:marTop w:val="0"/>
      <w:marBottom w:val="0"/>
      <w:divBdr>
        <w:top w:val="none" w:sz="0" w:space="0" w:color="auto"/>
        <w:left w:val="none" w:sz="0" w:space="0" w:color="auto"/>
        <w:bottom w:val="none" w:sz="0" w:space="0" w:color="auto"/>
        <w:right w:val="none" w:sz="0" w:space="0" w:color="auto"/>
      </w:divBdr>
    </w:div>
    <w:div w:id="213930075">
      <w:bodyDiv w:val="1"/>
      <w:marLeft w:val="0"/>
      <w:marRight w:val="0"/>
      <w:marTop w:val="0"/>
      <w:marBottom w:val="0"/>
      <w:divBdr>
        <w:top w:val="none" w:sz="0" w:space="0" w:color="auto"/>
        <w:left w:val="none" w:sz="0" w:space="0" w:color="auto"/>
        <w:bottom w:val="none" w:sz="0" w:space="0" w:color="auto"/>
        <w:right w:val="none" w:sz="0" w:space="0" w:color="auto"/>
      </w:divBdr>
    </w:div>
    <w:div w:id="214631514">
      <w:bodyDiv w:val="1"/>
      <w:marLeft w:val="0"/>
      <w:marRight w:val="0"/>
      <w:marTop w:val="0"/>
      <w:marBottom w:val="0"/>
      <w:divBdr>
        <w:top w:val="none" w:sz="0" w:space="0" w:color="auto"/>
        <w:left w:val="none" w:sz="0" w:space="0" w:color="auto"/>
        <w:bottom w:val="none" w:sz="0" w:space="0" w:color="auto"/>
        <w:right w:val="none" w:sz="0" w:space="0" w:color="auto"/>
      </w:divBdr>
    </w:div>
    <w:div w:id="218979474">
      <w:bodyDiv w:val="1"/>
      <w:marLeft w:val="0"/>
      <w:marRight w:val="0"/>
      <w:marTop w:val="0"/>
      <w:marBottom w:val="0"/>
      <w:divBdr>
        <w:top w:val="none" w:sz="0" w:space="0" w:color="auto"/>
        <w:left w:val="none" w:sz="0" w:space="0" w:color="auto"/>
        <w:bottom w:val="none" w:sz="0" w:space="0" w:color="auto"/>
        <w:right w:val="none" w:sz="0" w:space="0" w:color="auto"/>
      </w:divBdr>
    </w:div>
    <w:div w:id="222258701">
      <w:bodyDiv w:val="1"/>
      <w:marLeft w:val="0"/>
      <w:marRight w:val="0"/>
      <w:marTop w:val="0"/>
      <w:marBottom w:val="0"/>
      <w:divBdr>
        <w:top w:val="none" w:sz="0" w:space="0" w:color="auto"/>
        <w:left w:val="none" w:sz="0" w:space="0" w:color="auto"/>
        <w:bottom w:val="none" w:sz="0" w:space="0" w:color="auto"/>
        <w:right w:val="none" w:sz="0" w:space="0" w:color="auto"/>
      </w:divBdr>
    </w:div>
    <w:div w:id="222370617">
      <w:bodyDiv w:val="1"/>
      <w:marLeft w:val="0"/>
      <w:marRight w:val="0"/>
      <w:marTop w:val="0"/>
      <w:marBottom w:val="0"/>
      <w:divBdr>
        <w:top w:val="none" w:sz="0" w:space="0" w:color="auto"/>
        <w:left w:val="none" w:sz="0" w:space="0" w:color="auto"/>
        <w:bottom w:val="none" w:sz="0" w:space="0" w:color="auto"/>
        <w:right w:val="none" w:sz="0" w:space="0" w:color="auto"/>
      </w:divBdr>
    </w:div>
    <w:div w:id="224343236">
      <w:bodyDiv w:val="1"/>
      <w:marLeft w:val="0"/>
      <w:marRight w:val="0"/>
      <w:marTop w:val="0"/>
      <w:marBottom w:val="0"/>
      <w:divBdr>
        <w:top w:val="none" w:sz="0" w:space="0" w:color="auto"/>
        <w:left w:val="none" w:sz="0" w:space="0" w:color="auto"/>
        <w:bottom w:val="none" w:sz="0" w:space="0" w:color="auto"/>
        <w:right w:val="none" w:sz="0" w:space="0" w:color="auto"/>
      </w:divBdr>
    </w:div>
    <w:div w:id="230043281">
      <w:bodyDiv w:val="1"/>
      <w:marLeft w:val="0"/>
      <w:marRight w:val="0"/>
      <w:marTop w:val="0"/>
      <w:marBottom w:val="0"/>
      <w:divBdr>
        <w:top w:val="none" w:sz="0" w:space="0" w:color="auto"/>
        <w:left w:val="none" w:sz="0" w:space="0" w:color="auto"/>
        <w:bottom w:val="none" w:sz="0" w:space="0" w:color="auto"/>
        <w:right w:val="none" w:sz="0" w:space="0" w:color="auto"/>
      </w:divBdr>
    </w:div>
    <w:div w:id="231621418">
      <w:bodyDiv w:val="1"/>
      <w:marLeft w:val="0"/>
      <w:marRight w:val="0"/>
      <w:marTop w:val="0"/>
      <w:marBottom w:val="0"/>
      <w:divBdr>
        <w:top w:val="none" w:sz="0" w:space="0" w:color="auto"/>
        <w:left w:val="none" w:sz="0" w:space="0" w:color="auto"/>
        <w:bottom w:val="none" w:sz="0" w:space="0" w:color="auto"/>
        <w:right w:val="none" w:sz="0" w:space="0" w:color="auto"/>
      </w:divBdr>
    </w:div>
    <w:div w:id="232207247">
      <w:bodyDiv w:val="1"/>
      <w:marLeft w:val="0"/>
      <w:marRight w:val="0"/>
      <w:marTop w:val="0"/>
      <w:marBottom w:val="0"/>
      <w:divBdr>
        <w:top w:val="none" w:sz="0" w:space="0" w:color="auto"/>
        <w:left w:val="none" w:sz="0" w:space="0" w:color="auto"/>
        <w:bottom w:val="none" w:sz="0" w:space="0" w:color="auto"/>
        <w:right w:val="none" w:sz="0" w:space="0" w:color="auto"/>
      </w:divBdr>
    </w:div>
    <w:div w:id="234900150">
      <w:bodyDiv w:val="1"/>
      <w:marLeft w:val="0"/>
      <w:marRight w:val="0"/>
      <w:marTop w:val="0"/>
      <w:marBottom w:val="0"/>
      <w:divBdr>
        <w:top w:val="none" w:sz="0" w:space="0" w:color="auto"/>
        <w:left w:val="none" w:sz="0" w:space="0" w:color="auto"/>
        <w:bottom w:val="none" w:sz="0" w:space="0" w:color="auto"/>
        <w:right w:val="none" w:sz="0" w:space="0" w:color="auto"/>
      </w:divBdr>
    </w:div>
    <w:div w:id="245382169">
      <w:bodyDiv w:val="1"/>
      <w:marLeft w:val="0"/>
      <w:marRight w:val="0"/>
      <w:marTop w:val="0"/>
      <w:marBottom w:val="0"/>
      <w:divBdr>
        <w:top w:val="none" w:sz="0" w:space="0" w:color="auto"/>
        <w:left w:val="none" w:sz="0" w:space="0" w:color="auto"/>
        <w:bottom w:val="none" w:sz="0" w:space="0" w:color="auto"/>
        <w:right w:val="none" w:sz="0" w:space="0" w:color="auto"/>
      </w:divBdr>
    </w:div>
    <w:div w:id="246497359">
      <w:bodyDiv w:val="1"/>
      <w:marLeft w:val="0"/>
      <w:marRight w:val="0"/>
      <w:marTop w:val="0"/>
      <w:marBottom w:val="0"/>
      <w:divBdr>
        <w:top w:val="none" w:sz="0" w:space="0" w:color="auto"/>
        <w:left w:val="none" w:sz="0" w:space="0" w:color="auto"/>
        <w:bottom w:val="none" w:sz="0" w:space="0" w:color="auto"/>
        <w:right w:val="none" w:sz="0" w:space="0" w:color="auto"/>
      </w:divBdr>
    </w:div>
    <w:div w:id="248513771">
      <w:bodyDiv w:val="1"/>
      <w:marLeft w:val="0"/>
      <w:marRight w:val="0"/>
      <w:marTop w:val="0"/>
      <w:marBottom w:val="0"/>
      <w:divBdr>
        <w:top w:val="none" w:sz="0" w:space="0" w:color="auto"/>
        <w:left w:val="none" w:sz="0" w:space="0" w:color="auto"/>
        <w:bottom w:val="none" w:sz="0" w:space="0" w:color="auto"/>
        <w:right w:val="none" w:sz="0" w:space="0" w:color="auto"/>
      </w:divBdr>
    </w:div>
    <w:div w:id="250899442">
      <w:bodyDiv w:val="1"/>
      <w:marLeft w:val="0"/>
      <w:marRight w:val="0"/>
      <w:marTop w:val="0"/>
      <w:marBottom w:val="0"/>
      <w:divBdr>
        <w:top w:val="none" w:sz="0" w:space="0" w:color="auto"/>
        <w:left w:val="none" w:sz="0" w:space="0" w:color="auto"/>
        <w:bottom w:val="none" w:sz="0" w:space="0" w:color="auto"/>
        <w:right w:val="none" w:sz="0" w:space="0" w:color="auto"/>
      </w:divBdr>
    </w:div>
    <w:div w:id="252469551">
      <w:bodyDiv w:val="1"/>
      <w:marLeft w:val="0"/>
      <w:marRight w:val="0"/>
      <w:marTop w:val="0"/>
      <w:marBottom w:val="0"/>
      <w:divBdr>
        <w:top w:val="none" w:sz="0" w:space="0" w:color="auto"/>
        <w:left w:val="none" w:sz="0" w:space="0" w:color="auto"/>
        <w:bottom w:val="none" w:sz="0" w:space="0" w:color="auto"/>
        <w:right w:val="none" w:sz="0" w:space="0" w:color="auto"/>
      </w:divBdr>
    </w:div>
    <w:div w:id="256602893">
      <w:bodyDiv w:val="1"/>
      <w:marLeft w:val="0"/>
      <w:marRight w:val="0"/>
      <w:marTop w:val="0"/>
      <w:marBottom w:val="0"/>
      <w:divBdr>
        <w:top w:val="none" w:sz="0" w:space="0" w:color="auto"/>
        <w:left w:val="none" w:sz="0" w:space="0" w:color="auto"/>
        <w:bottom w:val="none" w:sz="0" w:space="0" w:color="auto"/>
        <w:right w:val="none" w:sz="0" w:space="0" w:color="auto"/>
      </w:divBdr>
    </w:div>
    <w:div w:id="262079299">
      <w:bodyDiv w:val="1"/>
      <w:marLeft w:val="0"/>
      <w:marRight w:val="0"/>
      <w:marTop w:val="0"/>
      <w:marBottom w:val="0"/>
      <w:divBdr>
        <w:top w:val="none" w:sz="0" w:space="0" w:color="auto"/>
        <w:left w:val="none" w:sz="0" w:space="0" w:color="auto"/>
        <w:bottom w:val="none" w:sz="0" w:space="0" w:color="auto"/>
        <w:right w:val="none" w:sz="0" w:space="0" w:color="auto"/>
      </w:divBdr>
    </w:div>
    <w:div w:id="264576197">
      <w:bodyDiv w:val="1"/>
      <w:marLeft w:val="0"/>
      <w:marRight w:val="0"/>
      <w:marTop w:val="0"/>
      <w:marBottom w:val="0"/>
      <w:divBdr>
        <w:top w:val="none" w:sz="0" w:space="0" w:color="auto"/>
        <w:left w:val="none" w:sz="0" w:space="0" w:color="auto"/>
        <w:bottom w:val="none" w:sz="0" w:space="0" w:color="auto"/>
        <w:right w:val="none" w:sz="0" w:space="0" w:color="auto"/>
      </w:divBdr>
    </w:div>
    <w:div w:id="264928008">
      <w:bodyDiv w:val="1"/>
      <w:marLeft w:val="0"/>
      <w:marRight w:val="0"/>
      <w:marTop w:val="0"/>
      <w:marBottom w:val="0"/>
      <w:divBdr>
        <w:top w:val="none" w:sz="0" w:space="0" w:color="auto"/>
        <w:left w:val="none" w:sz="0" w:space="0" w:color="auto"/>
        <w:bottom w:val="none" w:sz="0" w:space="0" w:color="auto"/>
        <w:right w:val="none" w:sz="0" w:space="0" w:color="auto"/>
      </w:divBdr>
    </w:div>
    <w:div w:id="265576529">
      <w:bodyDiv w:val="1"/>
      <w:marLeft w:val="0"/>
      <w:marRight w:val="0"/>
      <w:marTop w:val="0"/>
      <w:marBottom w:val="0"/>
      <w:divBdr>
        <w:top w:val="none" w:sz="0" w:space="0" w:color="auto"/>
        <w:left w:val="none" w:sz="0" w:space="0" w:color="auto"/>
        <w:bottom w:val="none" w:sz="0" w:space="0" w:color="auto"/>
        <w:right w:val="none" w:sz="0" w:space="0" w:color="auto"/>
      </w:divBdr>
    </w:div>
    <w:div w:id="267810088">
      <w:bodyDiv w:val="1"/>
      <w:marLeft w:val="0"/>
      <w:marRight w:val="0"/>
      <w:marTop w:val="0"/>
      <w:marBottom w:val="0"/>
      <w:divBdr>
        <w:top w:val="none" w:sz="0" w:space="0" w:color="auto"/>
        <w:left w:val="none" w:sz="0" w:space="0" w:color="auto"/>
        <w:bottom w:val="none" w:sz="0" w:space="0" w:color="auto"/>
        <w:right w:val="none" w:sz="0" w:space="0" w:color="auto"/>
      </w:divBdr>
    </w:div>
    <w:div w:id="268708866">
      <w:bodyDiv w:val="1"/>
      <w:marLeft w:val="0"/>
      <w:marRight w:val="0"/>
      <w:marTop w:val="0"/>
      <w:marBottom w:val="0"/>
      <w:divBdr>
        <w:top w:val="none" w:sz="0" w:space="0" w:color="auto"/>
        <w:left w:val="none" w:sz="0" w:space="0" w:color="auto"/>
        <w:bottom w:val="none" w:sz="0" w:space="0" w:color="auto"/>
        <w:right w:val="none" w:sz="0" w:space="0" w:color="auto"/>
      </w:divBdr>
    </w:div>
    <w:div w:id="269582134">
      <w:bodyDiv w:val="1"/>
      <w:marLeft w:val="0"/>
      <w:marRight w:val="0"/>
      <w:marTop w:val="0"/>
      <w:marBottom w:val="0"/>
      <w:divBdr>
        <w:top w:val="none" w:sz="0" w:space="0" w:color="auto"/>
        <w:left w:val="none" w:sz="0" w:space="0" w:color="auto"/>
        <w:bottom w:val="none" w:sz="0" w:space="0" w:color="auto"/>
        <w:right w:val="none" w:sz="0" w:space="0" w:color="auto"/>
      </w:divBdr>
    </w:div>
    <w:div w:id="270666384">
      <w:bodyDiv w:val="1"/>
      <w:marLeft w:val="0"/>
      <w:marRight w:val="0"/>
      <w:marTop w:val="0"/>
      <w:marBottom w:val="0"/>
      <w:divBdr>
        <w:top w:val="none" w:sz="0" w:space="0" w:color="auto"/>
        <w:left w:val="none" w:sz="0" w:space="0" w:color="auto"/>
        <w:bottom w:val="none" w:sz="0" w:space="0" w:color="auto"/>
        <w:right w:val="none" w:sz="0" w:space="0" w:color="auto"/>
      </w:divBdr>
    </w:div>
    <w:div w:id="276915621">
      <w:bodyDiv w:val="1"/>
      <w:marLeft w:val="0"/>
      <w:marRight w:val="0"/>
      <w:marTop w:val="0"/>
      <w:marBottom w:val="0"/>
      <w:divBdr>
        <w:top w:val="none" w:sz="0" w:space="0" w:color="auto"/>
        <w:left w:val="none" w:sz="0" w:space="0" w:color="auto"/>
        <w:bottom w:val="none" w:sz="0" w:space="0" w:color="auto"/>
        <w:right w:val="none" w:sz="0" w:space="0" w:color="auto"/>
      </w:divBdr>
    </w:div>
    <w:div w:id="277834201">
      <w:bodyDiv w:val="1"/>
      <w:marLeft w:val="0"/>
      <w:marRight w:val="0"/>
      <w:marTop w:val="0"/>
      <w:marBottom w:val="0"/>
      <w:divBdr>
        <w:top w:val="none" w:sz="0" w:space="0" w:color="auto"/>
        <w:left w:val="none" w:sz="0" w:space="0" w:color="auto"/>
        <w:bottom w:val="none" w:sz="0" w:space="0" w:color="auto"/>
        <w:right w:val="none" w:sz="0" w:space="0" w:color="auto"/>
      </w:divBdr>
    </w:div>
    <w:div w:id="279071744">
      <w:bodyDiv w:val="1"/>
      <w:marLeft w:val="0"/>
      <w:marRight w:val="0"/>
      <w:marTop w:val="0"/>
      <w:marBottom w:val="0"/>
      <w:divBdr>
        <w:top w:val="none" w:sz="0" w:space="0" w:color="auto"/>
        <w:left w:val="none" w:sz="0" w:space="0" w:color="auto"/>
        <w:bottom w:val="none" w:sz="0" w:space="0" w:color="auto"/>
        <w:right w:val="none" w:sz="0" w:space="0" w:color="auto"/>
      </w:divBdr>
    </w:div>
    <w:div w:id="279075714">
      <w:bodyDiv w:val="1"/>
      <w:marLeft w:val="0"/>
      <w:marRight w:val="0"/>
      <w:marTop w:val="0"/>
      <w:marBottom w:val="0"/>
      <w:divBdr>
        <w:top w:val="none" w:sz="0" w:space="0" w:color="auto"/>
        <w:left w:val="none" w:sz="0" w:space="0" w:color="auto"/>
        <w:bottom w:val="none" w:sz="0" w:space="0" w:color="auto"/>
        <w:right w:val="none" w:sz="0" w:space="0" w:color="auto"/>
      </w:divBdr>
    </w:div>
    <w:div w:id="280570406">
      <w:bodyDiv w:val="1"/>
      <w:marLeft w:val="0"/>
      <w:marRight w:val="0"/>
      <w:marTop w:val="0"/>
      <w:marBottom w:val="0"/>
      <w:divBdr>
        <w:top w:val="none" w:sz="0" w:space="0" w:color="auto"/>
        <w:left w:val="none" w:sz="0" w:space="0" w:color="auto"/>
        <w:bottom w:val="none" w:sz="0" w:space="0" w:color="auto"/>
        <w:right w:val="none" w:sz="0" w:space="0" w:color="auto"/>
      </w:divBdr>
    </w:div>
    <w:div w:id="282001464">
      <w:bodyDiv w:val="1"/>
      <w:marLeft w:val="0"/>
      <w:marRight w:val="0"/>
      <w:marTop w:val="0"/>
      <w:marBottom w:val="0"/>
      <w:divBdr>
        <w:top w:val="none" w:sz="0" w:space="0" w:color="auto"/>
        <w:left w:val="none" w:sz="0" w:space="0" w:color="auto"/>
        <w:bottom w:val="none" w:sz="0" w:space="0" w:color="auto"/>
        <w:right w:val="none" w:sz="0" w:space="0" w:color="auto"/>
      </w:divBdr>
    </w:div>
    <w:div w:id="285894113">
      <w:bodyDiv w:val="1"/>
      <w:marLeft w:val="0"/>
      <w:marRight w:val="0"/>
      <w:marTop w:val="0"/>
      <w:marBottom w:val="0"/>
      <w:divBdr>
        <w:top w:val="none" w:sz="0" w:space="0" w:color="auto"/>
        <w:left w:val="none" w:sz="0" w:space="0" w:color="auto"/>
        <w:bottom w:val="none" w:sz="0" w:space="0" w:color="auto"/>
        <w:right w:val="none" w:sz="0" w:space="0" w:color="auto"/>
      </w:divBdr>
    </w:div>
    <w:div w:id="286475436">
      <w:bodyDiv w:val="1"/>
      <w:marLeft w:val="0"/>
      <w:marRight w:val="0"/>
      <w:marTop w:val="0"/>
      <w:marBottom w:val="0"/>
      <w:divBdr>
        <w:top w:val="none" w:sz="0" w:space="0" w:color="auto"/>
        <w:left w:val="none" w:sz="0" w:space="0" w:color="auto"/>
        <w:bottom w:val="none" w:sz="0" w:space="0" w:color="auto"/>
        <w:right w:val="none" w:sz="0" w:space="0" w:color="auto"/>
      </w:divBdr>
      <w:divsChild>
        <w:div w:id="2051295057">
          <w:marLeft w:val="0"/>
          <w:marRight w:val="0"/>
          <w:marTop w:val="0"/>
          <w:marBottom w:val="0"/>
          <w:divBdr>
            <w:top w:val="none" w:sz="0" w:space="0" w:color="auto"/>
            <w:left w:val="none" w:sz="0" w:space="0" w:color="auto"/>
            <w:bottom w:val="none" w:sz="0" w:space="0" w:color="auto"/>
            <w:right w:val="none" w:sz="0" w:space="0" w:color="auto"/>
          </w:divBdr>
          <w:divsChild>
            <w:div w:id="820080541">
              <w:marLeft w:val="0"/>
              <w:marRight w:val="0"/>
              <w:marTop w:val="0"/>
              <w:marBottom w:val="0"/>
              <w:divBdr>
                <w:top w:val="none" w:sz="0" w:space="0" w:color="auto"/>
                <w:left w:val="none" w:sz="0" w:space="0" w:color="auto"/>
                <w:bottom w:val="none" w:sz="0" w:space="0" w:color="auto"/>
                <w:right w:val="none" w:sz="0" w:space="0" w:color="auto"/>
              </w:divBdr>
              <w:divsChild>
                <w:div w:id="508758858">
                  <w:marLeft w:val="0"/>
                  <w:marRight w:val="0"/>
                  <w:marTop w:val="0"/>
                  <w:marBottom w:val="0"/>
                  <w:divBdr>
                    <w:top w:val="none" w:sz="0" w:space="0" w:color="auto"/>
                    <w:left w:val="none" w:sz="0" w:space="0" w:color="auto"/>
                    <w:bottom w:val="none" w:sz="0" w:space="0" w:color="auto"/>
                    <w:right w:val="none" w:sz="0" w:space="0" w:color="auto"/>
                  </w:divBdr>
                  <w:divsChild>
                    <w:div w:id="1713653178">
                      <w:marLeft w:val="0"/>
                      <w:marRight w:val="0"/>
                      <w:marTop w:val="0"/>
                      <w:marBottom w:val="0"/>
                      <w:divBdr>
                        <w:top w:val="none" w:sz="0" w:space="0" w:color="auto"/>
                        <w:left w:val="none" w:sz="0" w:space="0" w:color="auto"/>
                        <w:bottom w:val="none" w:sz="0" w:space="0" w:color="auto"/>
                        <w:right w:val="none" w:sz="0" w:space="0" w:color="auto"/>
                      </w:divBdr>
                      <w:divsChild>
                        <w:div w:id="61293739">
                          <w:marLeft w:val="0"/>
                          <w:marRight w:val="0"/>
                          <w:marTop w:val="0"/>
                          <w:marBottom w:val="0"/>
                          <w:divBdr>
                            <w:top w:val="none" w:sz="0" w:space="0" w:color="auto"/>
                            <w:left w:val="none" w:sz="0" w:space="0" w:color="auto"/>
                            <w:bottom w:val="none" w:sz="0" w:space="0" w:color="auto"/>
                            <w:right w:val="none" w:sz="0" w:space="0" w:color="auto"/>
                          </w:divBdr>
                          <w:divsChild>
                            <w:div w:id="236407550">
                              <w:marLeft w:val="0"/>
                              <w:marRight w:val="0"/>
                              <w:marTop w:val="0"/>
                              <w:marBottom w:val="0"/>
                              <w:divBdr>
                                <w:top w:val="none" w:sz="0" w:space="0" w:color="auto"/>
                                <w:left w:val="none" w:sz="0" w:space="0" w:color="auto"/>
                                <w:bottom w:val="none" w:sz="0" w:space="0" w:color="auto"/>
                                <w:right w:val="none" w:sz="0" w:space="0" w:color="auto"/>
                              </w:divBdr>
                              <w:divsChild>
                                <w:div w:id="1786121157">
                                  <w:marLeft w:val="0"/>
                                  <w:marRight w:val="0"/>
                                  <w:marTop w:val="0"/>
                                  <w:marBottom w:val="0"/>
                                  <w:divBdr>
                                    <w:top w:val="none" w:sz="0" w:space="0" w:color="auto"/>
                                    <w:left w:val="none" w:sz="0" w:space="0" w:color="auto"/>
                                    <w:bottom w:val="none" w:sz="0" w:space="0" w:color="auto"/>
                                    <w:right w:val="none" w:sz="0" w:space="0" w:color="auto"/>
                                  </w:divBdr>
                                  <w:divsChild>
                                    <w:div w:id="1274442813">
                                      <w:marLeft w:val="0"/>
                                      <w:marRight w:val="0"/>
                                      <w:marTop w:val="0"/>
                                      <w:marBottom w:val="0"/>
                                      <w:divBdr>
                                        <w:top w:val="none" w:sz="0" w:space="0" w:color="auto"/>
                                        <w:left w:val="none" w:sz="0" w:space="0" w:color="auto"/>
                                        <w:bottom w:val="none" w:sz="0" w:space="0" w:color="auto"/>
                                        <w:right w:val="none" w:sz="0" w:space="0" w:color="auto"/>
                                      </w:divBdr>
                                      <w:divsChild>
                                        <w:div w:id="2039961868">
                                          <w:marLeft w:val="0"/>
                                          <w:marRight w:val="0"/>
                                          <w:marTop w:val="0"/>
                                          <w:marBottom w:val="495"/>
                                          <w:divBdr>
                                            <w:top w:val="none" w:sz="0" w:space="0" w:color="auto"/>
                                            <w:left w:val="none" w:sz="0" w:space="0" w:color="auto"/>
                                            <w:bottom w:val="none" w:sz="0" w:space="0" w:color="auto"/>
                                            <w:right w:val="none" w:sz="0" w:space="0" w:color="auto"/>
                                          </w:divBdr>
                                          <w:divsChild>
                                            <w:div w:id="10453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7247349">
      <w:bodyDiv w:val="1"/>
      <w:marLeft w:val="0"/>
      <w:marRight w:val="0"/>
      <w:marTop w:val="0"/>
      <w:marBottom w:val="0"/>
      <w:divBdr>
        <w:top w:val="none" w:sz="0" w:space="0" w:color="auto"/>
        <w:left w:val="none" w:sz="0" w:space="0" w:color="auto"/>
        <w:bottom w:val="none" w:sz="0" w:space="0" w:color="auto"/>
        <w:right w:val="none" w:sz="0" w:space="0" w:color="auto"/>
      </w:divBdr>
      <w:divsChild>
        <w:div w:id="1486553592">
          <w:marLeft w:val="0"/>
          <w:marRight w:val="0"/>
          <w:marTop w:val="0"/>
          <w:marBottom w:val="0"/>
          <w:divBdr>
            <w:top w:val="none" w:sz="0" w:space="0" w:color="auto"/>
            <w:left w:val="none" w:sz="0" w:space="0" w:color="auto"/>
            <w:bottom w:val="none" w:sz="0" w:space="0" w:color="auto"/>
            <w:right w:val="none" w:sz="0" w:space="0" w:color="auto"/>
          </w:divBdr>
          <w:divsChild>
            <w:div w:id="206577185">
              <w:marLeft w:val="0"/>
              <w:marRight w:val="0"/>
              <w:marTop w:val="0"/>
              <w:marBottom w:val="0"/>
              <w:divBdr>
                <w:top w:val="none" w:sz="0" w:space="0" w:color="auto"/>
                <w:left w:val="none" w:sz="0" w:space="0" w:color="auto"/>
                <w:bottom w:val="none" w:sz="0" w:space="0" w:color="auto"/>
                <w:right w:val="none" w:sz="0" w:space="0" w:color="auto"/>
              </w:divBdr>
              <w:divsChild>
                <w:div w:id="2095124645">
                  <w:marLeft w:val="-225"/>
                  <w:marRight w:val="-225"/>
                  <w:marTop w:val="0"/>
                  <w:marBottom w:val="0"/>
                  <w:divBdr>
                    <w:top w:val="none" w:sz="0" w:space="0" w:color="auto"/>
                    <w:left w:val="none" w:sz="0" w:space="0" w:color="auto"/>
                    <w:bottom w:val="none" w:sz="0" w:space="0" w:color="auto"/>
                    <w:right w:val="none" w:sz="0" w:space="0" w:color="auto"/>
                  </w:divBdr>
                  <w:divsChild>
                    <w:div w:id="17162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42896">
      <w:bodyDiv w:val="1"/>
      <w:marLeft w:val="0"/>
      <w:marRight w:val="0"/>
      <w:marTop w:val="0"/>
      <w:marBottom w:val="0"/>
      <w:divBdr>
        <w:top w:val="none" w:sz="0" w:space="0" w:color="auto"/>
        <w:left w:val="none" w:sz="0" w:space="0" w:color="auto"/>
        <w:bottom w:val="none" w:sz="0" w:space="0" w:color="auto"/>
        <w:right w:val="none" w:sz="0" w:space="0" w:color="auto"/>
      </w:divBdr>
    </w:div>
    <w:div w:id="296372579">
      <w:bodyDiv w:val="1"/>
      <w:marLeft w:val="0"/>
      <w:marRight w:val="0"/>
      <w:marTop w:val="0"/>
      <w:marBottom w:val="0"/>
      <w:divBdr>
        <w:top w:val="none" w:sz="0" w:space="0" w:color="auto"/>
        <w:left w:val="none" w:sz="0" w:space="0" w:color="auto"/>
        <w:bottom w:val="none" w:sz="0" w:space="0" w:color="auto"/>
        <w:right w:val="none" w:sz="0" w:space="0" w:color="auto"/>
      </w:divBdr>
    </w:div>
    <w:div w:id="297609151">
      <w:bodyDiv w:val="1"/>
      <w:marLeft w:val="0"/>
      <w:marRight w:val="0"/>
      <w:marTop w:val="0"/>
      <w:marBottom w:val="0"/>
      <w:divBdr>
        <w:top w:val="none" w:sz="0" w:space="0" w:color="auto"/>
        <w:left w:val="none" w:sz="0" w:space="0" w:color="auto"/>
        <w:bottom w:val="none" w:sz="0" w:space="0" w:color="auto"/>
        <w:right w:val="none" w:sz="0" w:space="0" w:color="auto"/>
      </w:divBdr>
    </w:div>
    <w:div w:id="299963776">
      <w:bodyDiv w:val="1"/>
      <w:marLeft w:val="0"/>
      <w:marRight w:val="0"/>
      <w:marTop w:val="0"/>
      <w:marBottom w:val="0"/>
      <w:divBdr>
        <w:top w:val="none" w:sz="0" w:space="0" w:color="auto"/>
        <w:left w:val="none" w:sz="0" w:space="0" w:color="auto"/>
        <w:bottom w:val="none" w:sz="0" w:space="0" w:color="auto"/>
        <w:right w:val="none" w:sz="0" w:space="0" w:color="auto"/>
      </w:divBdr>
    </w:div>
    <w:div w:id="300624386">
      <w:bodyDiv w:val="1"/>
      <w:marLeft w:val="0"/>
      <w:marRight w:val="0"/>
      <w:marTop w:val="0"/>
      <w:marBottom w:val="0"/>
      <w:divBdr>
        <w:top w:val="none" w:sz="0" w:space="0" w:color="auto"/>
        <w:left w:val="none" w:sz="0" w:space="0" w:color="auto"/>
        <w:bottom w:val="none" w:sz="0" w:space="0" w:color="auto"/>
        <w:right w:val="none" w:sz="0" w:space="0" w:color="auto"/>
      </w:divBdr>
    </w:div>
    <w:div w:id="301230771">
      <w:bodyDiv w:val="1"/>
      <w:marLeft w:val="0"/>
      <w:marRight w:val="0"/>
      <w:marTop w:val="0"/>
      <w:marBottom w:val="0"/>
      <w:divBdr>
        <w:top w:val="none" w:sz="0" w:space="0" w:color="auto"/>
        <w:left w:val="none" w:sz="0" w:space="0" w:color="auto"/>
        <w:bottom w:val="none" w:sz="0" w:space="0" w:color="auto"/>
        <w:right w:val="none" w:sz="0" w:space="0" w:color="auto"/>
      </w:divBdr>
    </w:div>
    <w:div w:id="305473029">
      <w:bodyDiv w:val="1"/>
      <w:marLeft w:val="0"/>
      <w:marRight w:val="0"/>
      <w:marTop w:val="0"/>
      <w:marBottom w:val="0"/>
      <w:divBdr>
        <w:top w:val="none" w:sz="0" w:space="0" w:color="auto"/>
        <w:left w:val="none" w:sz="0" w:space="0" w:color="auto"/>
        <w:bottom w:val="none" w:sz="0" w:space="0" w:color="auto"/>
        <w:right w:val="none" w:sz="0" w:space="0" w:color="auto"/>
      </w:divBdr>
    </w:div>
    <w:div w:id="306277858">
      <w:bodyDiv w:val="1"/>
      <w:marLeft w:val="0"/>
      <w:marRight w:val="0"/>
      <w:marTop w:val="0"/>
      <w:marBottom w:val="0"/>
      <w:divBdr>
        <w:top w:val="none" w:sz="0" w:space="0" w:color="auto"/>
        <w:left w:val="none" w:sz="0" w:space="0" w:color="auto"/>
        <w:bottom w:val="none" w:sz="0" w:space="0" w:color="auto"/>
        <w:right w:val="none" w:sz="0" w:space="0" w:color="auto"/>
      </w:divBdr>
    </w:div>
    <w:div w:id="306590753">
      <w:bodyDiv w:val="1"/>
      <w:marLeft w:val="0"/>
      <w:marRight w:val="0"/>
      <w:marTop w:val="0"/>
      <w:marBottom w:val="0"/>
      <w:divBdr>
        <w:top w:val="none" w:sz="0" w:space="0" w:color="auto"/>
        <w:left w:val="none" w:sz="0" w:space="0" w:color="auto"/>
        <w:bottom w:val="none" w:sz="0" w:space="0" w:color="auto"/>
        <w:right w:val="none" w:sz="0" w:space="0" w:color="auto"/>
      </w:divBdr>
    </w:div>
    <w:div w:id="308093391">
      <w:bodyDiv w:val="1"/>
      <w:marLeft w:val="0"/>
      <w:marRight w:val="0"/>
      <w:marTop w:val="0"/>
      <w:marBottom w:val="0"/>
      <w:divBdr>
        <w:top w:val="none" w:sz="0" w:space="0" w:color="auto"/>
        <w:left w:val="none" w:sz="0" w:space="0" w:color="auto"/>
        <w:bottom w:val="none" w:sz="0" w:space="0" w:color="auto"/>
        <w:right w:val="none" w:sz="0" w:space="0" w:color="auto"/>
      </w:divBdr>
    </w:div>
    <w:div w:id="308678663">
      <w:bodyDiv w:val="1"/>
      <w:marLeft w:val="0"/>
      <w:marRight w:val="0"/>
      <w:marTop w:val="0"/>
      <w:marBottom w:val="0"/>
      <w:divBdr>
        <w:top w:val="none" w:sz="0" w:space="0" w:color="auto"/>
        <w:left w:val="none" w:sz="0" w:space="0" w:color="auto"/>
        <w:bottom w:val="none" w:sz="0" w:space="0" w:color="auto"/>
        <w:right w:val="none" w:sz="0" w:space="0" w:color="auto"/>
      </w:divBdr>
    </w:div>
    <w:div w:id="314186417">
      <w:bodyDiv w:val="1"/>
      <w:marLeft w:val="0"/>
      <w:marRight w:val="0"/>
      <w:marTop w:val="0"/>
      <w:marBottom w:val="0"/>
      <w:divBdr>
        <w:top w:val="none" w:sz="0" w:space="0" w:color="auto"/>
        <w:left w:val="none" w:sz="0" w:space="0" w:color="auto"/>
        <w:bottom w:val="none" w:sz="0" w:space="0" w:color="auto"/>
        <w:right w:val="none" w:sz="0" w:space="0" w:color="auto"/>
      </w:divBdr>
    </w:div>
    <w:div w:id="321853562">
      <w:bodyDiv w:val="1"/>
      <w:marLeft w:val="0"/>
      <w:marRight w:val="0"/>
      <w:marTop w:val="0"/>
      <w:marBottom w:val="0"/>
      <w:divBdr>
        <w:top w:val="none" w:sz="0" w:space="0" w:color="auto"/>
        <w:left w:val="none" w:sz="0" w:space="0" w:color="auto"/>
        <w:bottom w:val="none" w:sz="0" w:space="0" w:color="auto"/>
        <w:right w:val="none" w:sz="0" w:space="0" w:color="auto"/>
      </w:divBdr>
    </w:div>
    <w:div w:id="324669404">
      <w:bodyDiv w:val="1"/>
      <w:marLeft w:val="0"/>
      <w:marRight w:val="0"/>
      <w:marTop w:val="0"/>
      <w:marBottom w:val="0"/>
      <w:divBdr>
        <w:top w:val="none" w:sz="0" w:space="0" w:color="auto"/>
        <w:left w:val="none" w:sz="0" w:space="0" w:color="auto"/>
        <w:bottom w:val="none" w:sz="0" w:space="0" w:color="auto"/>
        <w:right w:val="none" w:sz="0" w:space="0" w:color="auto"/>
      </w:divBdr>
    </w:div>
    <w:div w:id="327055393">
      <w:bodyDiv w:val="1"/>
      <w:marLeft w:val="0"/>
      <w:marRight w:val="0"/>
      <w:marTop w:val="0"/>
      <w:marBottom w:val="0"/>
      <w:divBdr>
        <w:top w:val="none" w:sz="0" w:space="0" w:color="auto"/>
        <w:left w:val="none" w:sz="0" w:space="0" w:color="auto"/>
        <w:bottom w:val="none" w:sz="0" w:space="0" w:color="auto"/>
        <w:right w:val="none" w:sz="0" w:space="0" w:color="auto"/>
      </w:divBdr>
    </w:div>
    <w:div w:id="331495440">
      <w:bodyDiv w:val="1"/>
      <w:marLeft w:val="0"/>
      <w:marRight w:val="0"/>
      <w:marTop w:val="0"/>
      <w:marBottom w:val="0"/>
      <w:divBdr>
        <w:top w:val="none" w:sz="0" w:space="0" w:color="auto"/>
        <w:left w:val="none" w:sz="0" w:space="0" w:color="auto"/>
        <w:bottom w:val="none" w:sz="0" w:space="0" w:color="auto"/>
        <w:right w:val="none" w:sz="0" w:space="0" w:color="auto"/>
      </w:divBdr>
    </w:div>
    <w:div w:id="332681120">
      <w:bodyDiv w:val="1"/>
      <w:marLeft w:val="0"/>
      <w:marRight w:val="0"/>
      <w:marTop w:val="0"/>
      <w:marBottom w:val="0"/>
      <w:divBdr>
        <w:top w:val="none" w:sz="0" w:space="0" w:color="auto"/>
        <w:left w:val="none" w:sz="0" w:space="0" w:color="auto"/>
        <w:bottom w:val="none" w:sz="0" w:space="0" w:color="auto"/>
        <w:right w:val="none" w:sz="0" w:space="0" w:color="auto"/>
      </w:divBdr>
    </w:div>
    <w:div w:id="333804879">
      <w:bodyDiv w:val="1"/>
      <w:marLeft w:val="0"/>
      <w:marRight w:val="0"/>
      <w:marTop w:val="0"/>
      <w:marBottom w:val="0"/>
      <w:divBdr>
        <w:top w:val="none" w:sz="0" w:space="0" w:color="auto"/>
        <w:left w:val="none" w:sz="0" w:space="0" w:color="auto"/>
        <w:bottom w:val="none" w:sz="0" w:space="0" w:color="auto"/>
        <w:right w:val="none" w:sz="0" w:space="0" w:color="auto"/>
      </w:divBdr>
      <w:divsChild>
        <w:div w:id="1950548302">
          <w:marLeft w:val="0"/>
          <w:marRight w:val="0"/>
          <w:marTop w:val="0"/>
          <w:marBottom w:val="0"/>
          <w:divBdr>
            <w:top w:val="none" w:sz="0" w:space="0" w:color="auto"/>
            <w:left w:val="none" w:sz="0" w:space="0" w:color="auto"/>
            <w:bottom w:val="none" w:sz="0" w:space="0" w:color="auto"/>
            <w:right w:val="none" w:sz="0" w:space="0" w:color="auto"/>
          </w:divBdr>
          <w:divsChild>
            <w:div w:id="1788042560">
              <w:marLeft w:val="0"/>
              <w:marRight w:val="0"/>
              <w:marTop w:val="0"/>
              <w:marBottom w:val="0"/>
              <w:divBdr>
                <w:top w:val="none" w:sz="0" w:space="0" w:color="auto"/>
                <w:left w:val="none" w:sz="0" w:space="0" w:color="auto"/>
                <w:bottom w:val="none" w:sz="0" w:space="0" w:color="auto"/>
                <w:right w:val="none" w:sz="0" w:space="0" w:color="auto"/>
              </w:divBdr>
              <w:divsChild>
                <w:div w:id="1755514306">
                  <w:marLeft w:val="0"/>
                  <w:marRight w:val="0"/>
                  <w:marTop w:val="0"/>
                  <w:marBottom w:val="0"/>
                  <w:divBdr>
                    <w:top w:val="none" w:sz="0" w:space="0" w:color="auto"/>
                    <w:left w:val="none" w:sz="0" w:space="0" w:color="auto"/>
                    <w:bottom w:val="none" w:sz="0" w:space="0" w:color="auto"/>
                    <w:right w:val="none" w:sz="0" w:space="0" w:color="auto"/>
                  </w:divBdr>
                  <w:divsChild>
                    <w:div w:id="13920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80">
      <w:bodyDiv w:val="1"/>
      <w:marLeft w:val="0"/>
      <w:marRight w:val="0"/>
      <w:marTop w:val="0"/>
      <w:marBottom w:val="0"/>
      <w:divBdr>
        <w:top w:val="none" w:sz="0" w:space="0" w:color="auto"/>
        <w:left w:val="none" w:sz="0" w:space="0" w:color="auto"/>
        <w:bottom w:val="none" w:sz="0" w:space="0" w:color="auto"/>
        <w:right w:val="none" w:sz="0" w:space="0" w:color="auto"/>
      </w:divBdr>
      <w:divsChild>
        <w:div w:id="337850442">
          <w:marLeft w:val="706"/>
          <w:marRight w:val="0"/>
          <w:marTop w:val="96"/>
          <w:marBottom w:val="144"/>
          <w:divBdr>
            <w:top w:val="none" w:sz="0" w:space="0" w:color="auto"/>
            <w:left w:val="none" w:sz="0" w:space="0" w:color="auto"/>
            <w:bottom w:val="none" w:sz="0" w:space="0" w:color="auto"/>
            <w:right w:val="none" w:sz="0" w:space="0" w:color="auto"/>
          </w:divBdr>
        </w:div>
        <w:div w:id="1867789119">
          <w:marLeft w:val="706"/>
          <w:marRight w:val="0"/>
          <w:marTop w:val="96"/>
          <w:marBottom w:val="144"/>
          <w:divBdr>
            <w:top w:val="none" w:sz="0" w:space="0" w:color="auto"/>
            <w:left w:val="none" w:sz="0" w:space="0" w:color="auto"/>
            <w:bottom w:val="none" w:sz="0" w:space="0" w:color="auto"/>
            <w:right w:val="none" w:sz="0" w:space="0" w:color="auto"/>
          </w:divBdr>
        </w:div>
      </w:divsChild>
    </w:div>
    <w:div w:id="344207305">
      <w:bodyDiv w:val="1"/>
      <w:marLeft w:val="0"/>
      <w:marRight w:val="0"/>
      <w:marTop w:val="0"/>
      <w:marBottom w:val="0"/>
      <w:divBdr>
        <w:top w:val="none" w:sz="0" w:space="0" w:color="auto"/>
        <w:left w:val="none" w:sz="0" w:space="0" w:color="auto"/>
        <w:bottom w:val="none" w:sz="0" w:space="0" w:color="auto"/>
        <w:right w:val="none" w:sz="0" w:space="0" w:color="auto"/>
      </w:divBdr>
    </w:div>
    <w:div w:id="345376255">
      <w:bodyDiv w:val="1"/>
      <w:marLeft w:val="0"/>
      <w:marRight w:val="0"/>
      <w:marTop w:val="0"/>
      <w:marBottom w:val="0"/>
      <w:divBdr>
        <w:top w:val="none" w:sz="0" w:space="0" w:color="auto"/>
        <w:left w:val="none" w:sz="0" w:space="0" w:color="auto"/>
        <w:bottom w:val="none" w:sz="0" w:space="0" w:color="auto"/>
        <w:right w:val="none" w:sz="0" w:space="0" w:color="auto"/>
      </w:divBdr>
      <w:divsChild>
        <w:div w:id="9574112">
          <w:marLeft w:val="547"/>
          <w:marRight w:val="0"/>
          <w:marTop w:val="86"/>
          <w:marBottom w:val="0"/>
          <w:divBdr>
            <w:top w:val="none" w:sz="0" w:space="0" w:color="auto"/>
            <w:left w:val="none" w:sz="0" w:space="0" w:color="auto"/>
            <w:bottom w:val="none" w:sz="0" w:space="0" w:color="auto"/>
            <w:right w:val="none" w:sz="0" w:space="0" w:color="auto"/>
          </w:divBdr>
        </w:div>
        <w:div w:id="1021584574">
          <w:marLeft w:val="547"/>
          <w:marRight w:val="0"/>
          <w:marTop w:val="86"/>
          <w:marBottom w:val="0"/>
          <w:divBdr>
            <w:top w:val="none" w:sz="0" w:space="0" w:color="auto"/>
            <w:left w:val="none" w:sz="0" w:space="0" w:color="auto"/>
            <w:bottom w:val="none" w:sz="0" w:space="0" w:color="auto"/>
            <w:right w:val="none" w:sz="0" w:space="0" w:color="auto"/>
          </w:divBdr>
        </w:div>
        <w:div w:id="1637643086">
          <w:marLeft w:val="547"/>
          <w:marRight w:val="0"/>
          <w:marTop w:val="86"/>
          <w:marBottom w:val="0"/>
          <w:divBdr>
            <w:top w:val="none" w:sz="0" w:space="0" w:color="auto"/>
            <w:left w:val="none" w:sz="0" w:space="0" w:color="auto"/>
            <w:bottom w:val="none" w:sz="0" w:space="0" w:color="auto"/>
            <w:right w:val="none" w:sz="0" w:space="0" w:color="auto"/>
          </w:divBdr>
        </w:div>
        <w:div w:id="1709644866">
          <w:marLeft w:val="547"/>
          <w:marRight w:val="0"/>
          <w:marTop w:val="86"/>
          <w:marBottom w:val="0"/>
          <w:divBdr>
            <w:top w:val="none" w:sz="0" w:space="0" w:color="auto"/>
            <w:left w:val="none" w:sz="0" w:space="0" w:color="auto"/>
            <w:bottom w:val="none" w:sz="0" w:space="0" w:color="auto"/>
            <w:right w:val="none" w:sz="0" w:space="0" w:color="auto"/>
          </w:divBdr>
        </w:div>
      </w:divsChild>
    </w:div>
    <w:div w:id="350227748">
      <w:bodyDiv w:val="1"/>
      <w:marLeft w:val="0"/>
      <w:marRight w:val="0"/>
      <w:marTop w:val="0"/>
      <w:marBottom w:val="0"/>
      <w:divBdr>
        <w:top w:val="none" w:sz="0" w:space="0" w:color="auto"/>
        <w:left w:val="none" w:sz="0" w:space="0" w:color="auto"/>
        <w:bottom w:val="none" w:sz="0" w:space="0" w:color="auto"/>
        <w:right w:val="none" w:sz="0" w:space="0" w:color="auto"/>
      </w:divBdr>
    </w:div>
    <w:div w:id="351541242">
      <w:bodyDiv w:val="1"/>
      <w:marLeft w:val="0"/>
      <w:marRight w:val="0"/>
      <w:marTop w:val="0"/>
      <w:marBottom w:val="0"/>
      <w:divBdr>
        <w:top w:val="none" w:sz="0" w:space="0" w:color="auto"/>
        <w:left w:val="none" w:sz="0" w:space="0" w:color="auto"/>
        <w:bottom w:val="none" w:sz="0" w:space="0" w:color="auto"/>
        <w:right w:val="none" w:sz="0" w:space="0" w:color="auto"/>
      </w:divBdr>
    </w:div>
    <w:div w:id="359860754">
      <w:bodyDiv w:val="1"/>
      <w:marLeft w:val="0"/>
      <w:marRight w:val="0"/>
      <w:marTop w:val="0"/>
      <w:marBottom w:val="0"/>
      <w:divBdr>
        <w:top w:val="none" w:sz="0" w:space="0" w:color="auto"/>
        <w:left w:val="none" w:sz="0" w:space="0" w:color="auto"/>
        <w:bottom w:val="none" w:sz="0" w:space="0" w:color="auto"/>
        <w:right w:val="none" w:sz="0" w:space="0" w:color="auto"/>
      </w:divBdr>
    </w:div>
    <w:div w:id="363214378">
      <w:bodyDiv w:val="1"/>
      <w:marLeft w:val="0"/>
      <w:marRight w:val="0"/>
      <w:marTop w:val="0"/>
      <w:marBottom w:val="0"/>
      <w:divBdr>
        <w:top w:val="none" w:sz="0" w:space="0" w:color="auto"/>
        <w:left w:val="none" w:sz="0" w:space="0" w:color="auto"/>
        <w:bottom w:val="none" w:sz="0" w:space="0" w:color="auto"/>
        <w:right w:val="none" w:sz="0" w:space="0" w:color="auto"/>
      </w:divBdr>
    </w:div>
    <w:div w:id="366178007">
      <w:bodyDiv w:val="1"/>
      <w:marLeft w:val="0"/>
      <w:marRight w:val="0"/>
      <w:marTop w:val="0"/>
      <w:marBottom w:val="0"/>
      <w:divBdr>
        <w:top w:val="none" w:sz="0" w:space="0" w:color="auto"/>
        <w:left w:val="none" w:sz="0" w:space="0" w:color="auto"/>
        <w:bottom w:val="none" w:sz="0" w:space="0" w:color="auto"/>
        <w:right w:val="none" w:sz="0" w:space="0" w:color="auto"/>
      </w:divBdr>
    </w:div>
    <w:div w:id="366685899">
      <w:bodyDiv w:val="1"/>
      <w:marLeft w:val="0"/>
      <w:marRight w:val="0"/>
      <w:marTop w:val="0"/>
      <w:marBottom w:val="0"/>
      <w:divBdr>
        <w:top w:val="none" w:sz="0" w:space="0" w:color="auto"/>
        <w:left w:val="none" w:sz="0" w:space="0" w:color="auto"/>
        <w:bottom w:val="none" w:sz="0" w:space="0" w:color="auto"/>
        <w:right w:val="none" w:sz="0" w:space="0" w:color="auto"/>
      </w:divBdr>
    </w:div>
    <w:div w:id="369960699">
      <w:bodyDiv w:val="1"/>
      <w:marLeft w:val="0"/>
      <w:marRight w:val="0"/>
      <w:marTop w:val="0"/>
      <w:marBottom w:val="0"/>
      <w:divBdr>
        <w:top w:val="none" w:sz="0" w:space="0" w:color="auto"/>
        <w:left w:val="none" w:sz="0" w:space="0" w:color="auto"/>
        <w:bottom w:val="none" w:sz="0" w:space="0" w:color="auto"/>
        <w:right w:val="none" w:sz="0" w:space="0" w:color="auto"/>
      </w:divBdr>
    </w:div>
    <w:div w:id="370344322">
      <w:bodyDiv w:val="1"/>
      <w:marLeft w:val="0"/>
      <w:marRight w:val="0"/>
      <w:marTop w:val="0"/>
      <w:marBottom w:val="0"/>
      <w:divBdr>
        <w:top w:val="none" w:sz="0" w:space="0" w:color="auto"/>
        <w:left w:val="none" w:sz="0" w:space="0" w:color="auto"/>
        <w:bottom w:val="none" w:sz="0" w:space="0" w:color="auto"/>
        <w:right w:val="none" w:sz="0" w:space="0" w:color="auto"/>
      </w:divBdr>
    </w:div>
    <w:div w:id="371273885">
      <w:bodyDiv w:val="1"/>
      <w:marLeft w:val="0"/>
      <w:marRight w:val="0"/>
      <w:marTop w:val="0"/>
      <w:marBottom w:val="0"/>
      <w:divBdr>
        <w:top w:val="none" w:sz="0" w:space="0" w:color="auto"/>
        <w:left w:val="none" w:sz="0" w:space="0" w:color="auto"/>
        <w:bottom w:val="none" w:sz="0" w:space="0" w:color="auto"/>
        <w:right w:val="none" w:sz="0" w:space="0" w:color="auto"/>
      </w:divBdr>
    </w:div>
    <w:div w:id="371420807">
      <w:bodyDiv w:val="1"/>
      <w:marLeft w:val="0"/>
      <w:marRight w:val="0"/>
      <w:marTop w:val="0"/>
      <w:marBottom w:val="0"/>
      <w:divBdr>
        <w:top w:val="none" w:sz="0" w:space="0" w:color="auto"/>
        <w:left w:val="none" w:sz="0" w:space="0" w:color="auto"/>
        <w:bottom w:val="none" w:sz="0" w:space="0" w:color="auto"/>
        <w:right w:val="none" w:sz="0" w:space="0" w:color="auto"/>
      </w:divBdr>
    </w:div>
    <w:div w:id="371542156">
      <w:bodyDiv w:val="1"/>
      <w:marLeft w:val="0"/>
      <w:marRight w:val="0"/>
      <w:marTop w:val="0"/>
      <w:marBottom w:val="0"/>
      <w:divBdr>
        <w:top w:val="none" w:sz="0" w:space="0" w:color="auto"/>
        <w:left w:val="none" w:sz="0" w:space="0" w:color="auto"/>
        <w:bottom w:val="none" w:sz="0" w:space="0" w:color="auto"/>
        <w:right w:val="none" w:sz="0" w:space="0" w:color="auto"/>
      </w:divBdr>
    </w:div>
    <w:div w:id="373701585">
      <w:bodyDiv w:val="1"/>
      <w:marLeft w:val="0"/>
      <w:marRight w:val="0"/>
      <w:marTop w:val="0"/>
      <w:marBottom w:val="0"/>
      <w:divBdr>
        <w:top w:val="none" w:sz="0" w:space="0" w:color="auto"/>
        <w:left w:val="none" w:sz="0" w:space="0" w:color="auto"/>
        <w:bottom w:val="none" w:sz="0" w:space="0" w:color="auto"/>
        <w:right w:val="none" w:sz="0" w:space="0" w:color="auto"/>
      </w:divBdr>
    </w:div>
    <w:div w:id="375011542">
      <w:bodyDiv w:val="1"/>
      <w:marLeft w:val="0"/>
      <w:marRight w:val="0"/>
      <w:marTop w:val="0"/>
      <w:marBottom w:val="0"/>
      <w:divBdr>
        <w:top w:val="none" w:sz="0" w:space="0" w:color="auto"/>
        <w:left w:val="none" w:sz="0" w:space="0" w:color="auto"/>
        <w:bottom w:val="none" w:sz="0" w:space="0" w:color="auto"/>
        <w:right w:val="none" w:sz="0" w:space="0" w:color="auto"/>
      </w:divBdr>
    </w:div>
    <w:div w:id="375205271">
      <w:bodyDiv w:val="1"/>
      <w:marLeft w:val="0"/>
      <w:marRight w:val="0"/>
      <w:marTop w:val="0"/>
      <w:marBottom w:val="0"/>
      <w:divBdr>
        <w:top w:val="none" w:sz="0" w:space="0" w:color="auto"/>
        <w:left w:val="none" w:sz="0" w:space="0" w:color="auto"/>
        <w:bottom w:val="none" w:sz="0" w:space="0" w:color="auto"/>
        <w:right w:val="none" w:sz="0" w:space="0" w:color="auto"/>
      </w:divBdr>
    </w:div>
    <w:div w:id="380250634">
      <w:bodyDiv w:val="1"/>
      <w:marLeft w:val="0"/>
      <w:marRight w:val="0"/>
      <w:marTop w:val="0"/>
      <w:marBottom w:val="0"/>
      <w:divBdr>
        <w:top w:val="none" w:sz="0" w:space="0" w:color="auto"/>
        <w:left w:val="none" w:sz="0" w:space="0" w:color="auto"/>
        <w:bottom w:val="none" w:sz="0" w:space="0" w:color="auto"/>
        <w:right w:val="none" w:sz="0" w:space="0" w:color="auto"/>
      </w:divBdr>
    </w:div>
    <w:div w:id="380327941">
      <w:bodyDiv w:val="1"/>
      <w:marLeft w:val="0"/>
      <w:marRight w:val="0"/>
      <w:marTop w:val="0"/>
      <w:marBottom w:val="0"/>
      <w:divBdr>
        <w:top w:val="none" w:sz="0" w:space="0" w:color="auto"/>
        <w:left w:val="none" w:sz="0" w:space="0" w:color="auto"/>
        <w:bottom w:val="none" w:sz="0" w:space="0" w:color="auto"/>
        <w:right w:val="none" w:sz="0" w:space="0" w:color="auto"/>
      </w:divBdr>
    </w:div>
    <w:div w:id="380397834">
      <w:bodyDiv w:val="1"/>
      <w:marLeft w:val="0"/>
      <w:marRight w:val="0"/>
      <w:marTop w:val="0"/>
      <w:marBottom w:val="0"/>
      <w:divBdr>
        <w:top w:val="none" w:sz="0" w:space="0" w:color="auto"/>
        <w:left w:val="none" w:sz="0" w:space="0" w:color="auto"/>
        <w:bottom w:val="none" w:sz="0" w:space="0" w:color="auto"/>
        <w:right w:val="none" w:sz="0" w:space="0" w:color="auto"/>
      </w:divBdr>
    </w:div>
    <w:div w:id="380982883">
      <w:bodyDiv w:val="1"/>
      <w:marLeft w:val="0"/>
      <w:marRight w:val="0"/>
      <w:marTop w:val="0"/>
      <w:marBottom w:val="0"/>
      <w:divBdr>
        <w:top w:val="none" w:sz="0" w:space="0" w:color="auto"/>
        <w:left w:val="none" w:sz="0" w:space="0" w:color="auto"/>
        <w:bottom w:val="none" w:sz="0" w:space="0" w:color="auto"/>
        <w:right w:val="none" w:sz="0" w:space="0" w:color="auto"/>
      </w:divBdr>
    </w:div>
    <w:div w:id="387338403">
      <w:bodyDiv w:val="1"/>
      <w:marLeft w:val="0"/>
      <w:marRight w:val="0"/>
      <w:marTop w:val="0"/>
      <w:marBottom w:val="0"/>
      <w:divBdr>
        <w:top w:val="none" w:sz="0" w:space="0" w:color="auto"/>
        <w:left w:val="none" w:sz="0" w:space="0" w:color="auto"/>
        <w:bottom w:val="none" w:sz="0" w:space="0" w:color="auto"/>
        <w:right w:val="none" w:sz="0" w:space="0" w:color="auto"/>
      </w:divBdr>
    </w:div>
    <w:div w:id="390465640">
      <w:bodyDiv w:val="1"/>
      <w:marLeft w:val="0"/>
      <w:marRight w:val="0"/>
      <w:marTop w:val="0"/>
      <w:marBottom w:val="0"/>
      <w:divBdr>
        <w:top w:val="none" w:sz="0" w:space="0" w:color="auto"/>
        <w:left w:val="none" w:sz="0" w:space="0" w:color="auto"/>
        <w:bottom w:val="none" w:sz="0" w:space="0" w:color="auto"/>
        <w:right w:val="none" w:sz="0" w:space="0" w:color="auto"/>
      </w:divBdr>
    </w:div>
    <w:div w:id="390470445">
      <w:bodyDiv w:val="1"/>
      <w:marLeft w:val="0"/>
      <w:marRight w:val="0"/>
      <w:marTop w:val="0"/>
      <w:marBottom w:val="0"/>
      <w:divBdr>
        <w:top w:val="none" w:sz="0" w:space="0" w:color="auto"/>
        <w:left w:val="none" w:sz="0" w:space="0" w:color="auto"/>
        <w:bottom w:val="none" w:sz="0" w:space="0" w:color="auto"/>
        <w:right w:val="none" w:sz="0" w:space="0" w:color="auto"/>
      </w:divBdr>
    </w:div>
    <w:div w:id="394747126">
      <w:bodyDiv w:val="1"/>
      <w:marLeft w:val="0"/>
      <w:marRight w:val="0"/>
      <w:marTop w:val="0"/>
      <w:marBottom w:val="0"/>
      <w:divBdr>
        <w:top w:val="none" w:sz="0" w:space="0" w:color="auto"/>
        <w:left w:val="none" w:sz="0" w:space="0" w:color="auto"/>
        <w:bottom w:val="none" w:sz="0" w:space="0" w:color="auto"/>
        <w:right w:val="none" w:sz="0" w:space="0" w:color="auto"/>
      </w:divBdr>
    </w:div>
    <w:div w:id="399906005">
      <w:bodyDiv w:val="1"/>
      <w:marLeft w:val="0"/>
      <w:marRight w:val="0"/>
      <w:marTop w:val="0"/>
      <w:marBottom w:val="0"/>
      <w:divBdr>
        <w:top w:val="none" w:sz="0" w:space="0" w:color="auto"/>
        <w:left w:val="none" w:sz="0" w:space="0" w:color="auto"/>
        <w:bottom w:val="none" w:sz="0" w:space="0" w:color="auto"/>
        <w:right w:val="none" w:sz="0" w:space="0" w:color="auto"/>
      </w:divBdr>
    </w:div>
    <w:div w:id="404038767">
      <w:bodyDiv w:val="1"/>
      <w:marLeft w:val="0"/>
      <w:marRight w:val="0"/>
      <w:marTop w:val="0"/>
      <w:marBottom w:val="0"/>
      <w:divBdr>
        <w:top w:val="none" w:sz="0" w:space="0" w:color="auto"/>
        <w:left w:val="none" w:sz="0" w:space="0" w:color="auto"/>
        <w:bottom w:val="none" w:sz="0" w:space="0" w:color="auto"/>
        <w:right w:val="none" w:sz="0" w:space="0" w:color="auto"/>
      </w:divBdr>
    </w:div>
    <w:div w:id="405156234">
      <w:bodyDiv w:val="1"/>
      <w:marLeft w:val="0"/>
      <w:marRight w:val="0"/>
      <w:marTop w:val="0"/>
      <w:marBottom w:val="0"/>
      <w:divBdr>
        <w:top w:val="none" w:sz="0" w:space="0" w:color="auto"/>
        <w:left w:val="none" w:sz="0" w:space="0" w:color="auto"/>
        <w:bottom w:val="none" w:sz="0" w:space="0" w:color="auto"/>
        <w:right w:val="none" w:sz="0" w:space="0" w:color="auto"/>
      </w:divBdr>
    </w:div>
    <w:div w:id="405998295">
      <w:bodyDiv w:val="1"/>
      <w:marLeft w:val="0"/>
      <w:marRight w:val="0"/>
      <w:marTop w:val="0"/>
      <w:marBottom w:val="0"/>
      <w:divBdr>
        <w:top w:val="none" w:sz="0" w:space="0" w:color="auto"/>
        <w:left w:val="none" w:sz="0" w:space="0" w:color="auto"/>
        <w:bottom w:val="none" w:sz="0" w:space="0" w:color="auto"/>
        <w:right w:val="none" w:sz="0" w:space="0" w:color="auto"/>
      </w:divBdr>
    </w:div>
    <w:div w:id="407389318">
      <w:bodyDiv w:val="1"/>
      <w:marLeft w:val="0"/>
      <w:marRight w:val="0"/>
      <w:marTop w:val="0"/>
      <w:marBottom w:val="0"/>
      <w:divBdr>
        <w:top w:val="none" w:sz="0" w:space="0" w:color="auto"/>
        <w:left w:val="none" w:sz="0" w:space="0" w:color="auto"/>
        <w:bottom w:val="none" w:sz="0" w:space="0" w:color="auto"/>
        <w:right w:val="none" w:sz="0" w:space="0" w:color="auto"/>
      </w:divBdr>
    </w:div>
    <w:div w:id="412630188">
      <w:bodyDiv w:val="1"/>
      <w:marLeft w:val="0"/>
      <w:marRight w:val="0"/>
      <w:marTop w:val="0"/>
      <w:marBottom w:val="0"/>
      <w:divBdr>
        <w:top w:val="none" w:sz="0" w:space="0" w:color="auto"/>
        <w:left w:val="none" w:sz="0" w:space="0" w:color="auto"/>
        <w:bottom w:val="none" w:sz="0" w:space="0" w:color="auto"/>
        <w:right w:val="none" w:sz="0" w:space="0" w:color="auto"/>
      </w:divBdr>
    </w:div>
    <w:div w:id="417824115">
      <w:bodyDiv w:val="1"/>
      <w:marLeft w:val="0"/>
      <w:marRight w:val="0"/>
      <w:marTop w:val="0"/>
      <w:marBottom w:val="0"/>
      <w:divBdr>
        <w:top w:val="none" w:sz="0" w:space="0" w:color="auto"/>
        <w:left w:val="none" w:sz="0" w:space="0" w:color="auto"/>
        <w:bottom w:val="none" w:sz="0" w:space="0" w:color="auto"/>
        <w:right w:val="none" w:sz="0" w:space="0" w:color="auto"/>
      </w:divBdr>
    </w:div>
    <w:div w:id="419179654">
      <w:bodyDiv w:val="1"/>
      <w:marLeft w:val="0"/>
      <w:marRight w:val="0"/>
      <w:marTop w:val="0"/>
      <w:marBottom w:val="0"/>
      <w:divBdr>
        <w:top w:val="none" w:sz="0" w:space="0" w:color="auto"/>
        <w:left w:val="none" w:sz="0" w:space="0" w:color="auto"/>
        <w:bottom w:val="none" w:sz="0" w:space="0" w:color="auto"/>
        <w:right w:val="none" w:sz="0" w:space="0" w:color="auto"/>
      </w:divBdr>
    </w:div>
    <w:div w:id="419837527">
      <w:bodyDiv w:val="1"/>
      <w:marLeft w:val="0"/>
      <w:marRight w:val="0"/>
      <w:marTop w:val="0"/>
      <w:marBottom w:val="0"/>
      <w:divBdr>
        <w:top w:val="none" w:sz="0" w:space="0" w:color="auto"/>
        <w:left w:val="none" w:sz="0" w:space="0" w:color="auto"/>
        <w:bottom w:val="none" w:sz="0" w:space="0" w:color="auto"/>
        <w:right w:val="none" w:sz="0" w:space="0" w:color="auto"/>
      </w:divBdr>
    </w:div>
    <w:div w:id="420033661">
      <w:bodyDiv w:val="1"/>
      <w:marLeft w:val="0"/>
      <w:marRight w:val="0"/>
      <w:marTop w:val="0"/>
      <w:marBottom w:val="0"/>
      <w:divBdr>
        <w:top w:val="none" w:sz="0" w:space="0" w:color="auto"/>
        <w:left w:val="none" w:sz="0" w:space="0" w:color="auto"/>
        <w:bottom w:val="none" w:sz="0" w:space="0" w:color="auto"/>
        <w:right w:val="none" w:sz="0" w:space="0" w:color="auto"/>
      </w:divBdr>
    </w:div>
    <w:div w:id="424301366">
      <w:bodyDiv w:val="1"/>
      <w:marLeft w:val="0"/>
      <w:marRight w:val="0"/>
      <w:marTop w:val="0"/>
      <w:marBottom w:val="0"/>
      <w:divBdr>
        <w:top w:val="none" w:sz="0" w:space="0" w:color="auto"/>
        <w:left w:val="none" w:sz="0" w:space="0" w:color="auto"/>
        <w:bottom w:val="none" w:sz="0" w:space="0" w:color="auto"/>
        <w:right w:val="none" w:sz="0" w:space="0" w:color="auto"/>
      </w:divBdr>
      <w:divsChild>
        <w:div w:id="140269511">
          <w:marLeft w:val="547"/>
          <w:marRight w:val="0"/>
          <w:marTop w:val="82"/>
          <w:marBottom w:val="0"/>
          <w:divBdr>
            <w:top w:val="none" w:sz="0" w:space="0" w:color="auto"/>
            <w:left w:val="none" w:sz="0" w:space="0" w:color="auto"/>
            <w:bottom w:val="none" w:sz="0" w:space="0" w:color="auto"/>
            <w:right w:val="none" w:sz="0" w:space="0" w:color="auto"/>
          </w:divBdr>
        </w:div>
        <w:div w:id="432939306">
          <w:marLeft w:val="547"/>
          <w:marRight w:val="0"/>
          <w:marTop w:val="82"/>
          <w:marBottom w:val="0"/>
          <w:divBdr>
            <w:top w:val="none" w:sz="0" w:space="0" w:color="auto"/>
            <w:left w:val="none" w:sz="0" w:space="0" w:color="auto"/>
            <w:bottom w:val="none" w:sz="0" w:space="0" w:color="auto"/>
            <w:right w:val="none" w:sz="0" w:space="0" w:color="auto"/>
          </w:divBdr>
        </w:div>
        <w:div w:id="558370417">
          <w:marLeft w:val="547"/>
          <w:marRight w:val="0"/>
          <w:marTop w:val="82"/>
          <w:marBottom w:val="0"/>
          <w:divBdr>
            <w:top w:val="none" w:sz="0" w:space="0" w:color="auto"/>
            <w:left w:val="none" w:sz="0" w:space="0" w:color="auto"/>
            <w:bottom w:val="none" w:sz="0" w:space="0" w:color="auto"/>
            <w:right w:val="none" w:sz="0" w:space="0" w:color="auto"/>
          </w:divBdr>
        </w:div>
        <w:div w:id="1459757297">
          <w:marLeft w:val="547"/>
          <w:marRight w:val="0"/>
          <w:marTop w:val="82"/>
          <w:marBottom w:val="0"/>
          <w:divBdr>
            <w:top w:val="none" w:sz="0" w:space="0" w:color="auto"/>
            <w:left w:val="none" w:sz="0" w:space="0" w:color="auto"/>
            <w:bottom w:val="none" w:sz="0" w:space="0" w:color="auto"/>
            <w:right w:val="none" w:sz="0" w:space="0" w:color="auto"/>
          </w:divBdr>
        </w:div>
        <w:div w:id="1479348423">
          <w:marLeft w:val="547"/>
          <w:marRight w:val="0"/>
          <w:marTop w:val="82"/>
          <w:marBottom w:val="0"/>
          <w:divBdr>
            <w:top w:val="none" w:sz="0" w:space="0" w:color="auto"/>
            <w:left w:val="none" w:sz="0" w:space="0" w:color="auto"/>
            <w:bottom w:val="none" w:sz="0" w:space="0" w:color="auto"/>
            <w:right w:val="none" w:sz="0" w:space="0" w:color="auto"/>
          </w:divBdr>
        </w:div>
        <w:div w:id="2044136001">
          <w:marLeft w:val="547"/>
          <w:marRight w:val="0"/>
          <w:marTop w:val="82"/>
          <w:marBottom w:val="0"/>
          <w:divBdr>
            <w:top w:val="none" w:sz="0" w:space="0" w:color="auto"/>
            <w:left w:val="none" w:sz="0" w:space="0" w:color="auto"/>
            <w:bottom w:val="none" w:sz="0" w:space="0" w:color="auto"/>
            <w:right w:val="none" w:sz="0" w:space="0" w:color="auto"/>
          </w:divBdr>
        </w:div>
        <w:div w:id="2105613919">
          <w:marLeft w:val="547"/>
          <w:marRight w:val="0"/>
          <w:marTop w:val="82"/>
          <w:marBottom w:val="0"/>
          <w:divBdr>
            <w:top w:val="none" w:sz="0" w:space="0" w:color="auto"/>
            <w:left w:val="none" w:sz="0" w:space="0" w:color="auto"/>
            <w:bottom w:val="none" w:sz="0" w:space="0" w:color="auto"/>
            <w:right w:val="none" w:sz="0" w:space="0" w:color="auto"/>
          </w:divBdr>
        </w:div>
      </w:divsChild>
    </w:div>
    <w:div w:id="433669977">
      <w:bodyDiv w:val="1"/>
      <w:marLeft w:val="0"/>
      <w:marRight w:val="0"/>
      <w:marTop w:val="0"/>
      <w:marBottom w:val="0"/>
      <w:divBdr>
        <w:top w:val="none" w:sz="0" w:space="0" w:color="auto"/>
        <w:left w:val="none" w:sz="0" w:space="0" w:color="auto"/>
        <w:bottom w:val="none" w:sz="0" w:space="0" w:color="auto"/>
        <w:right w:val="none" w:sz="0" w:space="0" w:color="auto"/>
      </w:divBdr>
    </w:div>
    <w:div w:id="435517356">
      <w:bodyDiv w:val="1"/>
      <w:marLeft w:val="0"/>
      <w:marRight w:val="0"/>
      <w:marTop w:val="0"/>
      <w:marBottom w:val="0"/>
      <w:divBdr>
        <w:top w:val="none" w:sz="0" w:space="0" w:color="auto"/>
        <w:left w:val="none" w:sz="0" w:space="0" w:color="auto"/>
        <w:bottom w:val="none" w:sz="0" w:space="0" w:color="auto"/>
        <w:right w:val="none" w:sz="0" w:space="0" w:color="auto"/>
      </w:divBdr>
    </w:div>
    <w:div w:id="440539269">
      <w:bodyDiv w:val="1"/>
      <w:marLeft w:val="0"/>
      <w:marRight w:val="0"/>
      <w:marTop w:val="0"/>
      <w:marBottom w:val="0"/>
      <w:divBdr>
        <w:top w:val="none" w:sz="0" w:space="0" w:color="auto"/>
        <w:left w:val="none" w:sz="0" w:space="0" w:color="auto"/>
        <w:bottom w:val="none" w:sz="0" w:space="0" w:color="auto"/>
        <w:right w:val="none" w:sz="0" w:space="0" w:color="auto"/>
      </w:divBdr>
    </w:div>
    <w:div w:id="440614863">
      <w:bodyDiv w:val="1"/>
      <w:marLeft w:val="0"/>
      <w:marRight w:val="0"/>
      <w:marTop w:val="0"/>
      <w:marBottom w:val="0"/>
      <w:divBdr>
        <w:top w:val="none" w:sz="0" w:space="0" w:color="auto"/>
        <w:left w:val="none" w:sz="0" w:space="0" w:color="auto"/>
        <w:bottom w:val="none" w:sz="0" w:space="0" w:color="auto"/>
        <w:right w:val="none" w:sz="0" w:space="0" w:color="auto"/>
      </w:divBdr>
    </w:div>
    <w:div w:id="446628163">
      <w:bodyDiv w:val="1"/>
      <w:marLeft w:val="0"/>
      <w:marRight w:val="0"/>
      <w:marTop w:val="0"/>
      <w:marBottom w:val="0"/>
      <w:divBdr>
        <w:top w:val="none" w:sz="0" w:space="0" w:color="auto"/>
        <w:left w:val="none" w:sz="0" w:space="0" w:color="auto"/>
        <w:bottom w:val="none" w:sz="0" w:space="0" w:color="auto"/>
        <w:right w:val="none" w:sz="0" w:space="0" w:color="auto"/>
      </w:divBdr>
    </w:div>
    <w:div w:id="449469677">
      <w:bodyDiv w:val="1"/>
      <w:marLeft w:val="0"/>
      <w:marRight w:val="0"/>
      <w:marTop w:val="0"/>
      <w:marBottom w:val="0"/>
      <w:divBdr>
        <w:top w:val="none" w:sz="0" w:space="0" w:color="auto"/>
        <w:left w:val="none" w:sz="0" w:space="0" w:color="auto"/>
        <w:bottom w:val="none" w:sz="0" w:space="0" w:color="auto"/>
        <w:right w:val="none" w:sz="0" w:space="0" w:color="auto"/>
      </w:divBdr>
    </w:div>
    <w:div w:id="450518165">
      <w:bodyDiv w:val="1"/>
      <w:marLeft w:val="0"/>
      <w:marRight w:val="0"/>
      <w:marTop w:val="0"/>
      <w:marBottom w:val="0"/>
      <w:divBdr>
        <w:top w:val="none" w:sz="0" w:space="0" w:color="auto"/>
        <w:left w:val="none" w:sz="0" w:space="0" w:color="auto"/>
        <w:bottom w:val="none" w:sz="0" w:space="0" w:color="auto"/>
        <w:right w:val="none" w:sz="0" w:space="0" w:color="auto"/>
      </w:divBdr>
    </w:div>
    <w:div w:id="451166451">
      <w:bodyDiv w:val="1"/>
      <w:marLeft w:val="0"/>
      <w:marRight w:val="0"/>
      <w:marTop w:val="0"/>
      <w:marBottom w:val="0"/>
      <w:divBdr>
        <w:top w:val="none" w:sz="0" w:space="0" w:color="auto"/>
        <w:left w:val="none" w:sz="0" w:space="0" w:color="auto"/>
        <w:bottom w:val="none" w:sz="0" w:space="0" w:color="auto"/>
        <w:right w:val="none" w:sz="0" w:space="0" w:color="auto"/>
      </w:divBdr>
    </w:div>
    <w:div w:id="452024019">
      <w:bodyDiv w:val="1"/>
      <w:marLeft w:val="0"/>
      <w:marRight w:val="0"/>
      <w:marTop w:val="0"/>
      <w:marBottom w:val="0"/>
      <w:divBdr>
        <w:top w:val="none" w:sz="0" w:space="0" w:color="auto"/>
        <w:left w:val="none" w:sz="0" w:space="0" w:color="auto"/>
        <w:bottom w:val="none" w:sz="0" w:space="0" w:color="auto"/>
        <w:right w:val="none" w:sz="0" w:space="0" w:color="auto"/>
      </w:divBdr>
    </w:div>
    <w:div w:id="452095450">
      <w:bodyDiv w:val="1"/>
      <w:marLeft w:val="0"/>
      <w:marRight w:val="0"/>
      <w:marTop w:val="0"/>
      <w:marBottom w:val="0"/>
      <w:divBdr>
        <w:top w:val="none" w:sz="0" w:space="0" w:color="auto"/>
        <w:left w:val="none" w:sz="0" w:space="0" w:color="auto"/>
        <w:bottom w:val="none" w:sz="0" w:space="0" w:color="auto"/>
        <w:right w:val="none" w:sz="0" w:space="0" w:color="auto"/>
      </w:divBdr>
    </w:div>
    <w:div w:id="454374583">
      <w:bodyDiv w:val="1"/>
      <w:marLeft w:val="0"/>
      <w:marRight w:val="0"/>
      <w:marTop w:val="0"/>
      <w:marBottom w:val="0"/>
      <w:divBdr>
        <w:top w:val="none" w:sz="0" w:space="0" w:color="auto"/>
        <w:left w:val="none" w:sz="0" w:space="0" w:color="auto"/>
        <w:bottom w:val="none" w:sz="0" w:space="0" w:color="auto"/>
        <w:right w:val="none" w:sz="0" w:space="0" w:color="auto"/>
      </w:divBdr>
    </w:div>
    <w:div w:id="454569052">
      <w:bodyDiv w:val="1"/>
      <w:marLeft w:val="0"/>
      <w:marRight w:val="0"/>
      <w:marTop w:val="0"/>
      <w:marBottom w:val="0"/>
      <w:divBdr>
        <w:top w:val="none" w:sz="0" w:space="0" w:color="auto"/>
        <w:left w:val="none" w:sz="0" w:space="0" w:color="auto"/>
        <w:bottom w:val="none" w:sz="0" w:space="0" w:color="auto"/>
        <w:right w:val="none" w:sz="0" w:space="0" w:color="auto"/>
      </w:divBdr>
    </w:div>
    <w:div w:id="457068075">
      <w:bodyDiv w:val="1"/>
      <w:marLeft w:val="0"/>
      <w:marRight w:val="0"/>
      <w:marTop w:val="0"/>
      <w:marBottom w:val="0"/>
      <w:divBdr>
        <w:top w:val="none" w:sz="0" w:space="0" w:color="auto"/>
        <w:left w:val="none" w:sz="0" w:space="0" w:color="auto"/>
        <w:bottom w:val="none" w:sz="0" w:space="0" w:color="auto"/>
        <w:right w:val="none" w:sz="0" w:space="0" w:color="auto"/>
      </w:divBdr>
    </w:div>
    <w:div w:id="457260865">
      <w:bodyDiv w:val="1"/>
      <w:marLeft w:val="0"/>
      <w:marRight w:val="0"/>
      <w:marTop w:val="0"/>
      <w:marBottom w:val="0"/>
      <w:divBdr>
        <w:top w:val="none" w:sz="0" w:space="0" w:color="auto"/>
        <w:left w:val="none" w:sz="0" w:space="0" w:color="auto"/>
        <w:bottom w:val="none" w:sz="0" w:space="0" w:color="auto"/>
        <w:right w:val="none" w:sz="0" w:space="0" w:color="auto"/>
      </w:divBdr>
    </w:div>
    <w:div w:id="459997584">
      <w:bodyDiv w:val="1"/>
      <w:marLeft w:val="0"/>
      <w:marRight w:val="0"/>
      <w:marTop w:val="0"/>
      <w:marBottom w:val="0"/>
      <w:divBdr>
        <w:top w:val="none" w:sz="0" w:space="0" w:color="auto"/>
        <w:left w:val="none" w:sz="0" w:space="0" w:color="auto"/>
        <w:bottom w:val="none" w:sz="0" w:space="0" w:color="auto"/>
        <w:right w:val="none" w:sz="0" w:space="0" w:color="auto"/>
      </w:divBdr>
    </w:div>
    <w:div w:id="460347489">
      <w:bodyDiv w:val="1"/>
      <w:marLeft w:val="0"/>
      <w:marRight w:val="0"/>
      <w:marTop w:val="0"/>
      <w:marBottom w:val="0"/>
      <w:divBdr>
        <w:top w:val="none" w:sz="0" w:space="0" w:color="auto"/>
        <w:left w:val="none" w:sz="0" w:space="0" w:color="auto"/>
        <w:bottom w:val="none" w:sz="0" w:space="0" w:color="auto"/>
        <w:right w:val="none" w:sz="0" w:space="0" w:color="auto"/>
      </w:divBdr>
    </w:div>
    <w:div w:id="465389758">
      <w:bodyDiv w:val="1"/>
      <w:marLeft w:val="0"/>
      <w:marRight w:val="0"/>
      <w:marTop w:val="0"/>
      <w:marBottom w:val="0"/>
      <w:divBdr>
        <w:top w:val="none" w:sz="0" w:space="0" w:color="auto"/>
        <w:left w:val="none" w:sz="0" w:space="0" w:color="auto"/>
        <w:bottom w:val="none" w:sz="0" w:space="0" w:color="auto"/>
        <w:right w:val="none" w:sz="0" w:space="0" w:color="auto"/>
      </w:divBdr>
    </w:div>
    <w:div w:id="465780090">
      <w:bodyDiv w:val="1"/>
      <w:marLeft w:val="0"/>
      <w:marRight w:val="0"/>
      <w:marTop w:val="0"/>
      <w:marBottom w:val="0"/>
      <w:divBdr>
        <w:top w:val="none" w:sz="0" w:space="0" w:color="auto"/>
        <w:left w:val="none" w:sz="0" w:space="0" w:color="auto"/>
        <w:bottom w:val="none" w:sz="0" w:space="0" w:color="auto"/>
        <w:right w:val="none" w:sz="0" w:space="0" w:color="auto"/>
      </w:divBdr>
    </w:div>
    <w:div w:id="471554992">
      <w:bodyDiv w:val="1"/>
      <w:marLeft w:val="0"/>
      <w:marRight w:val="0"/>
      <w:marTop w:val="0"/>
      <w:marBottom w:val="0"/>
      <w:divBdr>
        <w:top w:val="none" w:sz="0" w:space="0" w:color="auto"/>
        <w:left w:val="none" w:sz="0" w:space="0" w:color="auto"/>
        <w:bottom w:val="none" w:sz="0" w:space="0" w:color="auto"/>
        <w:right w:val="none" w:sz="0" w:space="0" w:color="auto"/>
      </w:divBdr>
    </w:div>
    <w:div w:id="477653061">
      <w:bodyDiv w:val="1"/>
      <w:marLeft w:val="0"/>
      <w:marRight w:val="0"/>
      <w:marTop w:val="0"/>
      <w:marBottom w:val="0"/>
      <w:divBdr>
        <w:top w:val="none" w:sz="0" w:space="0" w:color="auto"/>
        <w:left w:val="none" w:sz="0" w:space="0" w:color="auto"/>
        <w:bottom w:val="none" w:sz="0" w:space="0" w:color="auto"/>
        <w:right w:val="none" w:sz="0" w:space="0" w:color="auto"/>
      </w:divBdr>
    </w:div>
    <w:div w:id="480587588">
      <w:bodyDiv w:val="1"/>
      <w:marLeft w:val="0"/>
      <w:marRight w:val="0"/>
      <w:marTop w:val="0"/>
      <w:marBottom w:val="0"/>
      <w:divBdr>
        <w:top w:val="none" w:sz="0" w:space="0" w:color="auto"/>
        <w:left w:val="none" w:sz="0" w:space="0" w:color="auto"/>
        <w:bottom w:val="none" w:sz="0" w:space="0" w:color="auto"/>
        <w:right w:val="none" w:sz="0" w:space="0" w:color="auto"/>
      </w:divBdr>
    </w:div>
    <w:div w:id="482281070">
      <w:bodyDiv w:val="1"/>
      <w:marLeft w:val="0"/>
      <w:marRight w:val="0"/>
      <w:marTop w:val="0"/>
      <w:marBottom w:val="0"/>
      <w:divBdr>
        <w:top w:val="none" w:sz="0" w:space="0" w:color="auto"/>
        <w:left w:val="none" w:sz="0" w:space="0" w:color="auto"/>
        <w:bottom w:val="none" w:sz="0" w:space="0" w:color="auto"/>
        <w:right w:val="none" w:sz="0" w:space="0" w:color="auto"/>
      </w:divBdr>
    </w:div>
    <w:div w:id="483400145">
      <w:bodyDiv w:val="1"/>
      <w:marLeft w:val="0"/>
      <w:marRight w:val="0"/>
      <w:marTop w:val="0"/>
      <w:marBottom w:val="0"/>
      <w:divBdr>
        <w:top w:val="none" w:sz="0" w:space="0" w:color="auto"/>
        <w:left w:val="none" w:sz="0" w:space="0" w:color="auto"/>
        <w:bottom w:val="none" w:sz="0" w:space="0" w:color="auto"/>
        <w:right w:val="none" w:sz="0" w:space="0" w:color="auto"/>
      </w:divBdr>
    </w:div>
    <w:div w:id="486749781">
      <w:bodyDiv w:val="1"/>
      <w:marLeft w:val="0"/>
      <w:marRight w:val="0"/>
      <w:marTop w:val="0"/>
      <w:marBottom w:val="0"/>
      <w:divBdr>
        <w:top w:val="none" w:sz="0" w:space="0" w:color="auto"/>
        <w:left w:val="none" w:sz="0" w:space="0" w:color="auto"/>
        <w:bottom w:val="none" w:sz="0" w:space="0" w:color="auto"/>
        <w:right w:val="none" w:sz="0" w:space="0" w:color="auto"/>
      </w:divBdr>
    </w:div>
    <w:div w:id="486939076">
      <w:bodyDiv w:val="1"/>
      <w:marLeft w:val="0"/>
      <w:marRight w:val="0"/>
      <w:marTop w:val="0"/>
      <w:marBottom w:val="0"/>
      <w:divBdr>
        <w:top w:val="none" w:sz="0" w:space="0" w:color="auto"/>
        <w:left w:val="none" w:sz="0" w:space="0" w:color="auto"/>
        <w:bottom w:val="none" w:sz="0" w:space="0" w:color="auto"/>
        <w:right w:val="none" w:sz="0" w:space="0" w:color="auto"/>
      </w:divBdr>
    </w:div>
    <w:div w:id="487016187">
      <w:bodyDiv w:val="1"/>
      <w:marLeft w:val="0"/>
      <w:marRight w:val="0"/>
      <w:marTop w:val="0"/>
      <w:marBottom w:val="0"/>
      <w:divBdr>
        <w:top w:val="none" w:sz="0" w:space="0" w:color="auto"/>
        <w:left w:val="none" w:sz="0" w:space="0" w:color="auto"/>
        <w:bottom w:val="none" w:sz="0" w:space="0" w:color="auto"/>
        <w:right w:val="none" w:sz="0" w:space="0" w:color="auto"/>
      </w:divBdr>
    </w:div>
    <w:div w:id="489637823">
      <w:bodyDiv w:val="1"/>
      <w:marLeft w:val="0"/>
      <w:marRight w:val="0"/>
      <w:marTop w:val="0"/>
      <w:marBottom w:val="0"/>
      <w:divBdr>
        <w:top w:val="none" w:sz="0" w:space="0" w:color="auto"/>
        <w:left w:val="none" w:sz="0" w:space="0" w:color="auto"/>
        <w:bottom w:val="none" w:sz="0" w:space="0" w:color="auto"/>
        <w:right w:val="none" w:sz="0" w:space="0" w:color="auto"/>
      </w:divBdr>
    </w:div>
    <w:div w:id="491913322">
      <w:bodyDiv w:val="1"/>
      <w:marLeft w:val="0"/>
      <w:marRight w:val="0"/>
      <w:marTop w:val="0"/>
      <w:marBottom w:val="0"/>
      <w:divBdr>
        <w:top w:val="none" w:sz="0" w:space="0" w:color="auto"/>
        <w:left w:val="none" w:sz="0" w:space="0" w:color="auto"/>
        <w:bottom w:val="none" w:sz="0" w:space="0" w:color="auto"/>
        <w:right w:val="none" w:sz="0" w:space="0" w:color="auto"/>
      </w:divBdr>
    </w:div>
    <w:div w:id="495190971">
      <w:bodyDiv w:val="1"/>
      <w:marLeft w:val="0"/>
      <w:marRight w:val="0"/>
      <w:marTop w:val="0"/>
      <w:marBottom w:val="0"/>
      <w:divBdr>
        <w:top w:val="none" w:sz="0" w:space="0" w:color="auto"/>
        <w:left w:val="none" w:sz="0" w:space="0" w:color="auto"/>
        <w:bottom w:val="none" w:sz="0" w:space="0" w:color="auto"/>
        <w:right w:val="none" w:sz="0" w:space="0" w:color="auto"/>
      </w:divBdr>
    </w:div>
    <w:div w:id="498353065">
      <w:bodyDiv w:val="1"/>
      <w:marLeft w:val="0"/>
      <w:marRight w:val="0"/>
      <w:marTop w:val="0"/>
      <w:marBottom w:val="0"/>
      <w:divBdr>
        <w:top w:val="none" w:sz="0" w:space="0" w:color="auto"/>
        <w:left w:val="none" w:sz="0" w:space="0" w:color="auto"/>
        <w:bottom w:val="none" w:sz="0" w:space="0" w:color="auto"/>
        <w:right w:val="none" w:sz="0" w:space="0" w:color="auto"/>
      </w:divBdr>
    </w:div>
    <w:div w:id="498540370">
      <w:bodyDiv w:val="1"/>
      <w:marLeft w:val="0"/>
      <w:marRight w:val="0"/>
      <w:marTop w:val="0"/>
      <w:marBottom w:val="0"/>
      <w:divBdr>
        <w:top w:val="none" w:sz="0" w:space="0" w:color="auto"/>
        <w:left w:val="none" w:sz="0" w:space="0" w:color="auto"/>
        <w:bottom w:val="none" w:sz="0" w:space="0" w:color="auto"/>
        <w:right w:val="none" w:sz="0" w:space="0" w:color="auto"/>
      </w:divBdr>
    </w:div>
    <w:div w:id="500315102">
      <w:bodyDiv w:val="1"/>
      <w:marLeft w:val="0"/>
      <w:marRight w:val="0"/>
      <w:marTop w:val="0"/>
      <w:marBottom w:val="0"/>
      <w:divBdr>
        <w:top w:val="none" w:sz="0" w:space="0" w:color="auto"/>
        <w:left w:val="none" w:sz="0" w:space="0" w:color="auto"/>
        <w:bottom w:val="none" w:sz="0" w:space="0" w:color="auto"/>
        <w:right w:val="none" w:sz="0" w:space="0" w:color="auto"/>
      </w:divBdr>
    </w:div>
    <w:div w:id="500393055">
      <w:bodyDiv w:val="1"/>
      <w:marLeft w:val="0"/>
      <w:marRight w:val="0"/>
      <w:marTop w:val="0"/>
      <w:marBottom w:val="0"/>
      <w:divBdr>
        <w:top w:val="none" w:sz="0" w:space="0" w:color="auto"/>
        <w:left w:val="none" w:sz="0" w:space="0" w:color="auto"/>
        <w:bottom w:val="none" w:sz="0" w:space="0" w:color="auto"/>
        <w:right w:val="none" w:sz="0" w:space="0" w:color="auto"/>
      </w:divBdr>
    </w:div>
    <w:div w:id="500707351">
      <w:bodyDiv w:val="1"/>
      <w:marLeft w:val="0"/>
      <w:marRight w:val="0"/>
      <w:marTop w:val="0"/>
      <w:marBottom w:val="0"/>
      <w:divBdr>
        <w:top w:val="none" w:sz="0" w:space="0" w:color="auto"/>
        <w:left w:val="none" w:sz="0" w:space="0" w:color="auto"/>
        <w:bottom w:val="none" w:sz="0" w:space="0" w:color="auto"/>
        <w:right w:val="none" w:sz="0" w:space="0" w:color="auto"/>
      </w:divBdr>
    </w:div>
    <w:div w:id="501162005">
      <w:bodyDiv w:val="1"/>
      <w:marLeft w:val="0"/>
      <w:marRight w:val="0"/>
      <w:marTop w:val="0"/>
      <w:marBottom w:val="0"/>
      <w:divBdr>
        <w:top w:val="none" w:sz="0" w:space="0" w:color="auto"/>
        <w:left w:val="none" w:sz="0" w:space="0" w:color="auto"/>
        <w:bottom w:val="none" w:sz="0" w:space="0" w:color="auto"/>
        <w:right w:val="none" w:sz="0" w:space="0" w:color="auto"/>
      </w:divBdr>
    </w:div>
    <w:div w:id="501163016">
      <w:bodyDiv w:val="1"/>
      <w:marLeft w:val="0"/>
      <w:marRight w:val="0"/>
      <w:marTop w:val="0"/>
      <w:marBottom w:val="0"/>
      <w:divBdr>
        <w:top w:val="none" w:sz="0" w:space="0" w:color="auto"/>
        <w:left w:val="none" w:sz="0" w:space="0" w:color="auto"/>
        <w:bottom w:val="none" w:sz="0" w:space="0" w:color="auto"/>
        <w:right w:val="none" w:sz="0" w:space="0" w:color="auto"/>
      </w:divBdr>
    </w:div>
    <w:div w:id="501285593">
      <w:bodyDiv w:val="1"/>
      <w:marLeft w:val="0"/>
      <w:marRight w:val="0"/>
      <w:marTop w:val="0"/>
      <w:marBottom w:val="0"/>
      <w:divBdr>
        <w:top w:val="none" w:sz="0" w:space="0" w:color="auto"/>
        <w:left w:val="none" w:sz="0" w:space="0" w:color="auto"/>
        <w:bottom w:val="none" w:sz="0" w:space="0" w:color="auto"/>
        <w:right w:val="none" w:sz="0" w:space="0" w:color="auto"/>
      </w:divBdr>
    </w:div>
    <w:div w:id="516892529">
      <w:bodyDiv w:val="1"/>
      <w:marLeft w:val="0"/>
      <w:marRight w:val="0"/>
      <w:marTop w:val="0"/>
      <w:marBottom w:val="0"/>
      <w:divBdr>
        <w:top w:val="none" w:sz="0" w:space="0" w:color="auto"/>
        <w:left w:val="none" w:sz="0" w:space="0" w:color="auto"/>
        <w:bottom w:val="none" w:sz="0" w:space="0" w:color="auto"/>
        <w:right w:val="none" w:sz="0" w:space="0" w:color="auto"/>
      </w:divBdr>
    </w:div>
    <w:div w:id="518354303">
      <w:bodyDiv w:val="1"/>
      <w:marLeft w:val="0"/>
      <w:marRight w:val="0"/>
      <w:marTop w:val="0"/>
      <w:marBottom w:val="0"/>
      <w:divBdr>
        <w:top w:val="none" w:sz="0" w:space="0" w:color="auto"/>
        <w:left w:val="none" w:sz="0" w:space="0" w:color="auto"/>
        <w:bottom w:val="none" w:sz="0" w:space="0" w:color="auto"/>
        <w:right w:val="none" w:sz="0" w:space="0" w:color="auto"/>
      </w:divBdr>
    </w:div>
    <w:div w:id="520239614">
      <w:bodyDiv w:val="1"/>
      <w:marLeft w:val="0"/>
      <w:marRight w:val="0"/>
      <w:marTop w:val="0"/>
      <w:marBottom w:val="0"/>
      <w:divBdr>
        <w:top w:val="none" w:sz="0" w:space="0" w:color="auto"/>
        <w:left w:val="none" w:sz="0" w:space="0" w:color="auto"/>
        <w:bottom w:val="none" w:sz="0" w:space="0" w:color="auto"/>
        <w:right w:val="none" w:sz="0" w:space="0" w:color="auto"/>
      </w:divBdr>
    </w:div>
    <w:div w:id="521016665">
      <w:bodyDiv w:val="1"/>
      <w:marLeft w:val="0"/>
      <w:marRight w:val="0"/>
      <w:marTop w:val="0"/>
      <w:marBottom w:val="0"/>
      <w:divBdr>
        <w:top w:val="none" w:sz="0" w:space="0" w:color="auto"/>
        <w:left w:val="none" w:sz="0" w:space="0" w:color="auto"/>
        <w:bottom w:val="none" w:sz="0" w:space="0" w:color="auto"/>
        <w:right w:val="none" w:sz="0" w:space="0" w:color="auto"/>
      </w:divBdr>
    </w:div>
    <w:div w:id="521210679">
      <w:bodyDiv w:val="1"/>
      <w:marLeft w:val="0"/>
      <w:marRight w:val="0"/>
      <w:marTop w:val="0"/>
      <w:marBottom w:val="0"/>
      <w:divBdr>
        <w:top w:val="none" w:sz="0" w:space="0" w:color="auto"/>
        <w:left w:val="none" w:sz="0" w:space="0" w:color="auto"/>
        <w:bottom w:val="none" w:sz="0" w:space="0" w:color="auto"/>
        <w:right w:val="none" w:sz="0" w:space="0" w:color="auto"/>
      </w:divBdr>
    </w:div>
    <w:div w:id="522479399">
      <w:bodyDiv w:val="1"/>
      <w:marLeft w:val="0"/>
      <w:marRight w:val="0"/>
      <w:marTop w:val="0"/>
      <w:marBottom w:val="0"/>
      <w:divBdr>
        <w:top w:val="none" w:sz="0" w:space="0" w:color="auto"/>
        <w:left w:val="none" w:sz="0" w:space="0" w:color="auto"/>
        <w:bottom w:val="none" w:sz="0" w:space="0" w:color="auto"/>
        <w:right w:val="none" w:sz="0" w:space="0" w:color="auto"/>
      </w:divBdr>
    </w:div>
    <w:div w:id="523910150">
      <w:bodyDiv w:val="1"/>
      <w:marLeft w:val="0"/>
      <w:marRight w:val="0"/>
      <w:marTop w:val="0"/>
      <w:marBottom w:val="0"/>
      <w:divBdr>
        <w:top w:val="none" w:sz="0" w:space="0" w:color="auto"/>
        <w:left w:val="none" w:sz="0" w:space="0" w:color="auto"/>
        <w:bottom w:val="none" w:sz="0" w:space="0" w:color="auto"/>
        <w:right w:val="none" w:sz="0" w:space="0" w:color="auto"/>
      </w:divBdr>
    </w:div>
    <w:div w:id="528447426">
      <w:bodyDiv w:val="1"/>
      <w:marLeft w:val="0"/>
      <w:marRight w:val="0"/>
      <w:marTop w:val="0"/>
      <w:marBottom w:val="0"/>
      <w:divBdr>
        <w:top w:val="none" w:sz="0" w:space="0" w:color="auto"/>
        <w:left w:val="none" w:sz="0" w:space="0" w:color="auto"/>
        <w:bottom w:val="none" w:sz="0" w:space="0" w:color="auto"/>
        <w:right w:val="none" w:sz="0" w:space="0" w:color="auto"/>
      </w:divBdr>
      <w:divsChild>
        <w:div w:id="959800455">
          <w:marLeft w:val="547"/>
          <w:marRight w:val="0"/>
          <w:marTop w:val="86"/>
          <w:marBottom w:val="0"/>
          <w:divBdr>
            <w:top w:val="none" w:sz="0" w:space="0" w:color="auto"/>
            <w:left w:val="none" w:sz="0" w:space="0" w:color="auto"/>
            <w:bottom w:val="none" w:sz="0" w:space="0" w:color="auto"/>
            <w:right w:val="none" w:sz="0" w:space="0" w:color="auto"/>
          </w:divBdr>
        </w:div>
        <w:div w:id="1198346866">
          <w:marLeft w:val="547"/>
          <w:marRight w:val="0"/>
          <w:marTop w:val="86"/>
          <w:marBottom w:val="0"/>
          <w:divBdr>
            <w:top w:val="none" w:sz="0" w:space="0" w:color="auto"/>
            <w:left w:val="none" w:sz="0" w:space="0" w:color="auto"/>
            <w:bottom w:val="none" w:sz="0" w:space="0" w:color="auto"/>
            <w:right w:val="none" w:sz="0" w:space="0" w:color="auto"/>
          </w:divBdr>
        </w:div>
        <w:div w:id="1537427501">
          <w:marLeft w:val="547"/>
          <w:marRight w:val="0"/>
          <w:marTop w:val="86"/>
          <w:marBottom w:val="0"/>
          <w:divBdr>
            <w:top w:val="none" w:sz="0" w:space="0" w:color="auto"/>
            <w:left w:val="none" w:sz="0" w:space="0" w:color="auto"/>
            <w:bottom w:val="none" w:sz="0" w:space="0" w:color="auto"/>
            <w:right w:val="none" w:sz="0" w:space="0" w:color="auto"/>
          </w:divBdr>
        </w:div>
        <w:div w:id="2058233673">
          <w:marLeft w:val="547"/>
          <w:marRight w:val="0"/>
          <w:marTop w:val="86"/>
          <w:marBottom w:val="0"/>
          <w:divBdr>
            <w:top w:val="none" w:sz="0" w:space="0" w:color="auto"/>
            <w:left w:val="none" w:sz="0" w:space="0" w:color="auto"/>
            <w:bottom w:val="none" w:sz="0" w:space="0" w:color="auto"/>
            <w:right w:val="none" w:sz="0" w:space="0" w:color="auto"/>
          </w:divBdr>
        </w:div>
      </w:divsChild>
    </w:div>
    <w:div w:id="529299485">
      <w:bodyDiv w:val="1"/>
      <w:marLeft w:val="0"/>
      <w:marRight w:val="0"/>
      <w:marTop w:val="0"/>
      <w:marBottom w:val="0"/>
      <w:divBdr>
        <w:top w:val="none" w:sz="0" w:space="0" w:color="auto"/>
        <w:left w:val="none" w:sz="0" w:space="0" w:color="auto"/>
        <w:bottom w:val="none" w:sz="0" w:space="0" w:color="auto"/>
        <w:right w:val="none" w:sz="0" w:space="0" w:color="auto"/>
      </w:divBdr>
    </w:div>
    <w:div w:id="530799790">
      <w:bodyDiv w:val="1"/>
      <w:marLeft w:val="0"/>
      <w:marRight w:val="0"/>
      <w:marTop w:val="0"/>
      <w:marBottom w:val="0"/>
      <w:divBdr>
        <w:top w:val="none" w:sz="0" w:space="0" w:color="auto"/>
        <w:left w:val="none" w:sz="0" w:space="0" w:color="auto"/>
        <w:bottom w:val="none" w:sz="0" w:space="0" w:color="auto"/>
        <w:right w:val="none" w:sz="0" w:space="0" w:color="auto"/>
      </w:divBdr>
    </w:div>
    <w:div w:id="538669749">
      <w:bodyDiv w:val="1"/>
      <w:marLeft w:val="0"/>
      <w:marRight w:val="0"/>
      <w:marTop w:val="0"/>
      <w:marBottom w:val="0"/>
      <w:divBdr>
        <w:top w:val="none" w:sz="0" w:space="0" w:color="auto"/>
        <w:left w:val="none" w:sz="0" w:space="0" w:color="auto"/>
        <w:bottom w:val="none" w:sz="0" w:space="0" w:color="auto"/>
        <w:right w:val="none" w:sz="0" w:space="0" w:color="auto"/>
      </w:divBdr>
    </w:div>
    <w:div w:id="539828103">
      <w:bodyDiv w:val="1"/>
      <w:marLeft w:val="0"/>
      <w:marRight w:val="0"/>
      <w:marTop w:val="0"/>
      <w:marBottom w:val="0"/>
      <w:divBdr>
        <w:top w:val="none" w:sz="0" w:space="0" w:color="auto"/>
        <w:left w:val="none" w:sz="0" w:space="0" w:color="auto"/>
        <w:bottom w:val="none" w:sz="0" w:space="0" w:color="auto"/>
        <w:right w:val="none" w:sz="0" w:space="0" w:color="auto"/>
      </w:divBdr>
    </w:div>
    <w:div w:id="542787591">
      <w:bodyDiv w:val="1"/>
      <w:marLeft w:val="0"/>
      <w:marRight w:val="0"/>
      <w:marTop w:val="0"/>
      <w:marBottom w:val="0"/>
      <w:divBdr>
        <w:top w:val="none" w:sz="0" w:space="0" w:color="auto"/>
        <w:left w:val="none" w:sz="0" w:space="0" w:color="auto"/>
        <w:bottom w:val="none" w:sz="0" w:space="0" w:color="auto"/>
        <w:right w:val="none" w:sz="0" w:space="0" w:color="auto"/>
      </w:divBdr>
    </w:div>
    <w:div w:id="547642431">
      <w:bodyDiv w:val="1"/>
      <w:marLeft w:val="0"/>
      <w:marRight w:val="0"/>
      <w:marTop w:val="0"/>
      <w:marBottom w:val="0"/>
      <w:divBdr>
        <w:top w:val="none" w:sz="0" w:space="0" w:color="auto"/>
        <w:left w:val="none" w:sz="0" w:space="0" w:color="auto"/>
        <w:bottom w:val="none" w:sz="0" w:space="0" w:color="auto"/>
        <w:right w:val="none" w:sz="0" w:space="0" w:color="auto"/>
      </w:divBdr>
    </w:div>
    <w:div w:id="549223398">
      <w:bodyDiv w:val="1"/>
      <w:marLeft w:val="0"/>
      <w:marRight w:val="0"/>
      <w:marTop w:val="0"/>
      <w:marBottom w:val="0"/>
      <w:divBdr>
        <w:top w:val="none" w:sz="0" w:space="0" w:color="auto"/>
        <w:left w:val="none" w:sz="0" w:space="0" w:color="auto"/>
        <w:bottom w:val="none" w:sz="0" w:space="0" w:color="auto"/>
        <w:right w:val="none" w:sz="0" w:space="0" w:color="auto"/>
      </w:divBdr>
    </w:div>
    <w:div w:id="556210568">
      <w:bodyDiv w:val="1"/>
      <w:marLeft w:val="0"/>
      <w:marRight w:val="0"/>
      <w:marTop w:val="0"/>
      <w:marBottom w:val="0"/>
      <w:divBdr>
        <w:top w:val="none" w:sz="0" w:space="0" w:color="auto"/>
        <w:left w:val="none" w:sz="0" w:space="0" w:color="auto"/>
        <w:bottom w:val="none" w:sz="0" w:space="0" w:color="auto"/>
        <w:right w:val="none" w:sz="0" w:space="0" w:color="auto"/>
      </w:divBdr>
    </w:div>
    <w:div w:id="561019682">
      <w:bodyDiv w:val="1"/>
      <w:marLeft w:val="0"/>
      <w:marRight w:val="0"/>
      <w:marTop w:val="0"/>
      <w:marBottom w:val="0"/>
      <w:divBdr>
        <w:top w:val="none" w:sz="0" w:space="0" w:color="auto"/>
        <w:left w:val="none" w:sz="0" w:space="0" w:color="auto"/>
        <w:bottom w:val="none" w:sz="0" w:space="0" w:color="auto"/>
        <w:right w:val="none" w:sz="0" w:space="0" w:color="auto"/>
      </w:divBdr>
    </w:div>
    <w:div w:id="561529146">
      <w:bodyDiv w:val="1"/>
      <w:marLeft w:val="0"/>
      <w:marRight w:val="0"/>
      <w:marTop w:val="0"/>
      <w:marBottom w:val="0"/>
      <w:divBdr>
        <w:top w:val="none" w:sz="0" w:space="0" w:color="auto"/>
        <w:left w:val="none" w:sz="0" w:space="0" w:color="auto"/>
        <w:bottom w:val="none" w:sz="0" w:space="0" w:color="auto"/>
        <w:right w:val="none" w:sz="0" w:space="0" w:color="auto"/>
      </w:divBdr>
    </w:div>
    <w:div w:id="562761555">
      <w:bodyDiv w:val="1"/>
      <w:marLeft w:val="0"/>
      <w:marRight w:val="0"/>
      <w:marTop w:val="0"/>
      <w:marBottom w:val="0"/>
      <w:divBdr>
        <w:top w:val="none" w:sz="0" w:space="0" w:color="auto"/>
        <w:left w:val="none" w:sz="0" w:space="0" w:color="auto"/>
        <w:bottom w:val="none" w:sz="0" w:space="0" w:color="auto"/>
        <w:right w:val="none" w:sz="0" w:space="0" w:color="auto"/>
      </w:divBdr>
    </w:div>
    <w:div w:id="563950569">
      <w:bodyDiv w:val="1"/>
      <w:marLeft w:val="0"/>
      <w:marRight w:val="0"/>
      <w:marTop w:val="0"/>
      <w:marBottom w:val="0"/>
      <w:divBdr>
        <w:top w:val="none" w:sz="0" w:space="0" w:color="auto"/>
        <w:left w:val="none" w:sz="0" w:space="0" w:color="auto"/>
        <w:bottom w:val="none" w:sz="0" w:space="0" w:color="auto"/>
        <w:right w:val="none" w:sz="0" w:space="0" w:color="auto"/>
      </w:divBdr>
    </w:div>
    <w:div w:id="565998456">
      <w:bodyDiv w:val="1"/>
      <w:marLeft w:val="0"/>
      <w:marRight w:val="0"/>
      <w:marTop w:val="0"/>
      <w:marBottom w:val="0"/>
      <w:divBdr>
        <w:top w:val="none" w:sz="0" w:space="0" w:color="auto"/>
        <w:left w:val="none" w:sz="0" w:space="0" w:color="auto"/>
        <w:bottom w:val="none" w:sz="0" w:space="0" w:color="auto"/>
        <w:right w:val="none" w:sz="0" w:space="0" w:color="auto"/>
      </w:divBdr>
    </w:div>
    <w:div w:id="575752154">
      <w:bodyDiv w:val="1"/>
      <w:marLeft w:val="0"/>
      <w:marRight w:val="0"/>
      <w:marTop w:val="0"/>
      <w:marBottom w:val="0"/>
      <w:divBdr>
        <w:top w:val="none" w:sz="0" w:space="0" w:color="auto"/>
        <w:left w:val="none" w:sz="0" w:space="0" w:color="auto"/>
        <w:bottom w:val="none" w:sz="0" w:space="0" w:color="auto"/>
        <w:right w:val="none" w:sz="0" w:space="0" w:color="auto"/>
      </w:divBdr>
    </w:div>
    <w:div w:id="576206397">
      <w:bodyDiv w:val="1"/>
      <w:marLeft w:val="0"/>
      <w:marRight w:val="0"/>
      <w:marTop w:val="0"/>
      <w:marBottom w:val="0"/>
      <w:divBdr>
        <w:top w:val="none" w:sz="0" w:space="0" w:color="auto"/>
        <w:left w:val="none" w:sz="0" w:space="0" w:color="auto"/>
        <w:bottom w:val="none" w:sz="0" w:space="0" w:color="auto"/>
        <w:right w:val="none" w:sz="0" w:space="0" w:color="auto"/>
      </w:divBdr>
    </w:div>
    <w:div w:id="579213159">
      <w:bodyDiv w:val="1"/>
      <w:marLeft w:val="0"/>
      <w:marRight w:val="0"/>
      <w:marTop w:val="0"/>
      <w:marBottom w:val="0"/>
      <w:divBdr>
        <w:top w:val="none" w:sz="0" w:space="0" w:color="auto"/>
        <w:left w:val="none" w:sz="0" w:space="0" w:color="auto"/>
        <w:bottom w:val="none" w:sz="0" w:space="0" w:color="auto"/>
        <w:right w:val="none" w:sz="0" w:space="0" w:color="auto"/>
      </w:divBdr>
    </w:div>
    <w:div w:id="581377349">
      <w:bodyDiv w:val="1"/>
      <w:marLeft w:val="0"/>
      <w:marRight w:val="0"/>
      <w:marTop w:val="0"/>
      <w:marBottom w:val="0"/>
      <w:divBdr>
        <w:top w:val="none" w:sz="0" w:space="0" w:color="auto"/>
        <w:left w:val="none" w:sz="0" w:space="0" w:color="auto"/>
        <w:bottom w:val="none" w:sz="0" w:space="0" w:color="auto"/>
        <w:right w:val="none" w:sz="0" w:space="0" w:color="auto"/>
      </w:divBdr>
    </w:div>
    <w:div w:id="582107417">
      <w:bodyDiv w:val="1"/>
      <w:marLeft w:val="0"/>
      <w:marRight w:val="0"/>
      <w:marTop w:val="0"/>
      <w:marBottom w:val="0"/>
      <w:divBdr>
        <w:top w:val="none" w:sz="0" w:space="0" w:color="auto"/>
        <w:left w:val="none" w:sz="0" w:space="0" w:color="auto"/>
        <w:bottom w:val="none" w:sz="0" w:space="0" w:color="auto"/>
        <w:right w:val="none" w:sz="0" w:space="0" w:color="auto"/>
      </w:divBdr>
    </w:div>
    <w:div w:id="592201422">
      <w:bodyDiv w:val="1"/>
      <w:marLeft w:val="0"/>
      <w:marRight w:val="0"/>
      <w:marTop w:val="0"/>
      <w:marBottom w:val="0"/>
      <w:divBdr>
        <w:top w:val="none" w:sz="0" w:space="0" w:color="auto"/>
        <w:left w:val="none" w:sz="0" w:space="0" w:color="auto"/>
        <w:bottom w:val="none" w:sz="0" w:space="0" w:color="auto"/>
        <w:right w:val="none" w:sz="0" w:space="0" w:color="auto"/>
      </w:divBdr>
    </w:div>
    <w:div w:id="592936046">
      <w:bodyDiv w:val="1"/>
      <w:marLeft w:val="0"/>
      <w:marRight w:val="0"/>
      <w:marTop w:val="0"/>
      <w:marBottom w:val="0"/>
      <w:divBdr>
        <w:top w:val="none" w:sz="0" w:space="0" w:color="auto"/>
        <w:left w:val="none" w:sz="0" w:space="0" w:color="auto"/>
        <w:bottom w:val="none" w:sz="0" w:space="0" w:color="auto"/>
        <w:right w:val="none" w:sz="0" w:space="0" w:color="auto"/>
      </w:divBdr>
    </w:div>
    <w:div w:id="594635807">
      <w:bodyDiv w:val="1"/>
      <w:marLeft w:val="0"/>
      <w:marRight w:val="0"/>
      <w:marTop w:val="0"/>
      <w:marBottom w:val="0"/>
      <w:divBdr>
        <w:top w:val="none" w:sz="0" w:space="0" w:color="auto"/>
        <w:left w:val="none" w:sz="0" w:space="0" w:color="auto"/>
        <w:bottom w:val="none" w:sz="0" w:space="0" w:color="auto"/>
        <w:right w:val="none" w:sz="0" w:space="0" w:color="auto"/>
      </w:divBdr>
    </w:div>
    <w:div w:id="595600554">
      <w:bodyDiv w:val="1"/>
      <w:marLeft w:val="0"/>
      <w:marRight w:val="0"/>
      <w:marTop w:val="0"/>
      <w:marBottom w:val="0"/>
      <w:divBdr>
        <w:top w:val="none" w:sz="0" w:space="0" w:color="auto"/>
        <w:left w:val="none" w:sz="0" w:space="0" w:color="auto"/>
        <w:bottom w:val="none" w:sz="0" w:space="0" w:color="auto"/>
        <w:right w:val="none" w:sz="0" w:space="0" w:color="auto"/>
      </w:divBdr>
    </w:div>
    <w:div w:id="599486384">
      <w:bodyDiv w:val="1"/>
      <w:marLeft w:val="0"/>
      <w:marRight w:val="0"/>
      <w:marTop w:val="0"/>
      <w:marBottom w:val="0"/>
      <w:divBdr>
        <w:top w:val="none" w:sz="0" w:space="0" w:color="auto"/>
        <w:left w:val="none" w:sz="0" w:space="0" w:color="auto"/>
        <w:bottom w:val="none" w:sz="0" w:space="0" w:color="auto"/>
        <w:right w:val="none" w:sz="0" w:space="0" w:color="auto"/>
      </w:divBdr>
    </w:div>
    <w:div w:id="600142157">
      <w:bodyDiv w:val="1"/>
      <w:marLeft w:val="0"/>
      <w:marRight w:val="0"/>
      <w:marTop w:val="0"/>
      <w:marBottom w:val="0"/>
      <w:divBdr>
        <w:top w:val="none" w:sz="0" w:space="0" w:color="auto"/>
        <w:left w:val="none" w:sz="0" w:space="0" w:color="auto"/>
        <w:bottom w:val="none" w:sz="0" w:space="0" w:color="auto"/>
        <w:right w:val="none" w:sz="0" w:space="0" w:color="auto"/>
      </w:divBdr>
    </w:div>
    <w:div w:id="601375723">
      <w:bodyDiv w:val="1"/>
      <w:marLeft w:val="0"/>
      <w:marRight w:val="0"/>
      <w:marTop w:val="0"/>
      <w:marBottom w:val="0"/>
      <w:divBdr>
        <w:top w:val="none" w:sz="0" w:space="0" w:color="auto"/>
        <w:left w:val="none" w:sz="0" w:space="0" w:color="auto"/>
        <w:bottom w:val="none" w:sz="0" w:space="0" w:color="auto"/>
        <w:right w:val="none" w:sz="0" w:space="0" w:color="auto"/>
      </w:divBdr>
    </w:div>
    <w:div w:id="606960366">
      <w:bodyDiv w:val="1"/>
      <w:marLeft w:val="0"/>
      <w:marRight w:val="0"/>
      <w:marTop w:val="0"/>
      <w:marBottom w:val="0"/>
      <w:divBdr>
        <w:top w:val="none" w:sz="0" w:space="0" w:color="auto"/>
        <w:left w:val="none" w:sz="0" w:space="0" w:color="auto"/>
        <w:bottom w:val="none" w:sz="0" w:space="0" w:color="auto"/>
        <w:right w:val="none" w:sz="0" w:space="0" w:color="auto"/>
      </w:divBdr>
    </w:div>
    <w:div w:id="608857603">
      <w:bodyDiv w:val="1"/>
      <w:marLeft w:val="0"/>
      <w:marRight w:val="0"/>
      <w:marTop w:val="0"/>
      <w:marBottom w:val="0"/>
      <w:divBdr>
        <w:top w:val="none" w:sz="0" w:space="0" w:color="auto"/>
        <w:left w:val="none" w:sz="0" w:space="0" w:color="auto"/>
        <w:bottom w:val="none" w:sz="0" w:space="0" w:color="auto"/>
        <w:right w:val="none" w:sz="0" w:space="0" w:color="auto"/>
      </w:divBdr>
    </w:div>
    <w:div w:id="610475082">
      <w:bodyDiv w:val="1"/>
      <w:marLeft w:val="0"/>
      <w:marRight w:val="0"/>
      <w:marTop w:val="0"/>
      <w:marBottom w:val="0"/>
      <w:divBdr>
        <w:top w:val="none" w:sz="0" w:space="0" w:color="auto"/>
        <w:left w:val="none" w:sz="0" w:space="0" w:color="auto"/>
        <w:bottom w:val="none" w:sz="0" w:space="0" w:color="auto"/>
        <w:right w:val="none" w:sz="0" w:space="0" w:color="auto"/>
      </w:divBdr>
    </w:div>
    <w:div w:id="610820278">
      <w:bodyDiv w:val="1"/>
      <w:marLeft w:val="0"/>
      <w:marRight w:val="0"/>
      <w:marTop w:val="0"/>
      <w:marBottom w:val="0"/>
      <w:divBdr>
        <w:top w:val="none" w:sz="0" w:space="0" w:color="auto"/>
        <w:left w:val="none" w:sz="0" w:space="0" w:color="auto"/>
        <w:bottom w:val="none" w:sz="0" w:space="0" w:color="auto"/>
        <w:right w:val="none" w:sz="0" w:space="0" w:color="auto"/>
      </w:divBdr>
    </w:div>
    <w:div w:id="611521713">
      <w:bodyDiv w:val="1"/>
      <w:marLeft w:val="0"/>
      <w:marRight w:val="0"/>
      <w:marTop w:val="0"/>
      <w:marBottom w:val="0"/>
      <w:divBdr>
        <w:top w:val="none" w:sz="0" w:space="0" w:color="auto"/>
        <w:left w:val="none" w:sz="0" w:space="0" w:color="auto"/>
        <w:bottom w:val="none" w:sz="0" w:space="0" w:color="auto"/>
        <w:right w:val="none" w:sz="0" w:space="0" w:color="auto"/>
      </w:divBdr>
    </w:div>
    <w:div w:id="612637527">
      <w:bodyDiv w:val="1"/>
      <w:marLeft w:val="0"/>
      <w:marRight w:val="0"/>
      <w:marTop w:val="0"/>
      <w:marBottom w:val="0"/>
      <w:divBdr>
        <w:top w:val="none" w:sz="0" w:space="0" w:color="auto"/>
        <w:left w:val="none" w:sz="0" w:space="0" w:color="auto"/>
        <w:bottom w:val="none" w:sz="0" w:space="0" w:color="auto"/>
        <w:right w:val="none" w:sz="0" w:space="0" w:color="auto"/>
      </w:divBdr>
    </w:div>
    <w:div w:id="614142494">
      <w:bodyDiv w:val="1"/>
      <w:marLeft w:val="0"/>
      <w:marRight w:val="0"/>
      <w:marTop w:val="0"/>
      <w:marBottom w:val="0"/>
      <w:divBdr>
        <w:top w:val="none" w:sz="0" w:space="0" w:color="auto"/>
        <w:left w:val="none" w:sz="0" w:space="0" w:color="auto"/>
        <w:bottom w:val="none" w:sz="0" w:space="0" w:color="auto"/>
        <w:right w:val="none" w:sz="0" w:space="0" w:color="auto"/>
      </w:divBdr>
    </w:div>
    <w:div w:id="615216110">
      <w:bodyDiv w:val="1"/>
      <w:marLeft w:val="0"/>
      <w:marRight w:val="0"/>
      <w:marTop w:val="0"/>
      <w:marBottom w:val="0"/>
      <w:divBdr>
        <w:top w:val="none" w:sz="0" w:space="0" w:color="auto"/>
        <w:left w:val="none" w:sz="0" w:space="0" w:color="auto"/>
        <w:bottom w:val="none" w:sz="0" w:space="0" w:color="auto"/>
        <w:right w:val="none" w:sz="0" w:space="0" w:color="auto"/>
      </w:divBdr>
    </w:div>
    <w:div w:id="618024680">
      <w:bodyDiv w:val="1"/>
      <w:marLeft w:val="0"/>
      <w:marRight w:val="0"/>
      <w:marTop w:val="0"/>
      <w:marBottom w:val="0"/>
      <w:divBdr>
        <w:top w:val="none" w:sz="0" w:space="0" w:color="auto"/>
        <w:left w:val="none" w:sz="0" w:space="0" w:color="auto"/>
        <w:bottom w:val="none" w:sz="0" w:space="0" w:color="auto"/>
        <w:right w:val="none" w:sz="0" w:space="0" w:color="auto"/>
      </w:divBdr>
    </w:div>
    <w:div w:id="620067532">
      <w:bodyDiv w:val="1"/>
      <w:marLeft w:val="0"/>
      <w:marRight w:val="0"/>
      <w:marTop w:val="0"/>
      <w:marBottom w:val="0"/>
      <w:divBdr>
        <w:top w:val="none" w:sz="0" w:space="0" w:color="auto"/>
        <w:left w:val="none" w:sz="0" w:space="0" w:color="auto"/>
        <w:bottom w:val="none" w:sz="0" w:space="0" w:color="auto"/>
        <w:right w:val="none" w:sz="0" w:space="0" w:color="auto"/>
      </w:divBdr>
    </w:div>
    <w:div w:id="621423111">
      <w:bodyDiv w:val="1"/>
      <w:marLeft w:val="0"/>
      <w:marRight w:val="0"/>
      <w:marTop w:val="0"/>
      <w:marBottom w:val="0"/>
      <w:divBdr>
        <w:top w:val="none" w:sz="0" w:space="0" w:color="auto"/>
        <w:left w:val="none" w:sz="0" w:space="0" w:color="auto"/>
        <w:bottom w:val="none" w:sz="0" w:space="0" w:color="auto"/>
        <w:right w:val="none" w:sz="0" w:space="0" w:color="auto"/>
      </w:divBdr>
    </w:div>
    <w:div w:id="621956081">
      <w:bodyDiv w:val="1"/>
      <w:marLeft w:val="0"/>
      <w:marRight w:val="0"/>
      <w:marTop w:val="0"/>
      <w:marBottom w:val="0"/>
      <w:divBdr>
        <w:top w:val="none" w:sz="0" w:space="0" w:color="auto"/>
        <w:left w:val="none" w:sz="0" w:space="0" w:color="auto"/>
        <w:bottom w:val="none" w:sz="0" w:space="0" w:color="auto"/>
        <w:right w:val="none" w:sz="0" w:space="0" w:color="auto"/>
      </w:divBdr>
    </w:div>
    <w:div w:id="627665690">
      <w:bodyDiv w:val="1"/>
      <w:marLeft w:val="0"/>
      <w:marRight w:val="0"/>
      <w:marTop w:val="0"/>
      <w:marBottom w:val="0"/>
      <w:divBdr>
        <w:top w:val="none" w:sz="0" w:space="0" w:color="auto"/>
        <w:left w:val="none" w:sz="0" w:space="0" w:color="auto"/>
        <w:bottom w:val="none" w:sz="0" w:space="0" w:color="auto"/>
        <w:right w:val="none" w:sz="0" w:space="0" w:color="auto"/>
      </w:divBdr>
    </w:div>
    <w:div w:id="627856222">
      <w:bodyDiv w:val="1"/>
      <w:marLeft w:val="0"/>
      <w:marRight w:val="0"/>
      <w:marTop w:val="0"/>
      <w:marBottom w:val="0"/>
      <w:divBdr>
        <w:top w:val="none" w:sz="0" w:space="0" w:color="auto"/>
        <w:left w:val="none" w:sz="0" w:space="0" w:color="auto"/>
        <w:bottom w:val="none" w:sz="0" w:space="0" w:color="auto"/>
        <w:right w:val="none" w:sz="0" w:space="0" w:color="auto"/>
      </w:divBdr>
    </w:div>
    <w:div w:id="628360547">
      <w:bodyDiv w:val="1"/>
      <w:marLeft w:val="0"/>
      <w:marRight w:val="0"/>
      <w:marTop w:val="0"/>
      <w:marBottom w:val="0"/>
      <w:divBdr>
        <w:top w:val="none" w:sz="0" w:space="0" w:color="auto"/>
        <w:left w:val="none" w:sz="0" w:space="0" w:color="auto"/>
        <w:bottom w:val="none" w:sz="0" w:space="0" w:color="auto"/>
        <w:right w:val="none" w:sz="0" w:space="0" w:color="auto"/>
      </w:divBdr>
    </w:div>
    <w:div w:id="628705423">
      <w:bodyDiv w:val="1"/>
      <w:marLeft w:val="0"/>
      <w:marRight w:val="0"/>
      <w:marTop w:val="0"/>
      <w:marBottom w:val="0"/>
      <w:divBdr>
        <w:top w:val="none" w:sz="0" w:space="0" w:color="auto"/>
        <w:left w:val="none" w:sz="0" w:space="0" w:color="auto"/>
        <w:bottom w:val="none" w:sz="0" w:space="0" w:color="auto"/>
        <w:right w:val="none" w:sz="0" w:space="0" w:color="auto"/>
      </w:divBdr>
    </w:div>
    <w:div w:id="629746148">
      <w:bodyDiv w:val="1"/>
      <w:marLeft w:val="0"/>
      <w:marRight w:val="0"/>
      <w:marTop w:val="0"/>
      <w:marBottom w:val="0"/>
      <w:divBdr>
        <w:top w:val="none" w:sz="0" w:space="0" w:color="auto"/>
        <w:left w:val="none" w:sz="0" w:space="0" w:color="auto"/>
        <w:bottom w:val="none" w:sz="0" w:space="0" w:color="auto"/>
        <w:right w:val="none" w:sz="0" w:space="0" w:color="auto"/>
      </w:divBdr>
    </w:div>
    <w:div w:id="629868285">
      <w:bodyDiv w:val="1"/>
      <w:marLeft w:val="0"/>
      <w:marRight w:val="0"/>
      <w:marTop w:val="0"/>
      <w:marBottom w:val="0"/>
      <w:divBdr>
        <w:top w:val="none" w:sz="0" w:space="0" w:color="auto"/>
        <w:left w:val="none" w:sz="0" w:space="0" w:color="auto"/>
        <w:bottom w:val="none" w:sz="0" w:space="0" w:color="auto"/>
        <w:right w:val="none" w:sz="0" w:space="0" w:color="auto"/>
      </w:divBdr>
    </w:div>
    <w:div w:id="633559931">
      <w:bodyDiv w:val="1"/>
      <w:marLeft w:val="0"/>
      <w:marRight w:val="0"/>
      <w:marTop w:val="0"/>
      <w:marBottom w:val="0"/>
      <w:divBdr>
        <w:top w:val="none" w:sz="0" w:space="0" w:color="auto"/>
        <w:left w:val="none" w:sz="0" w:space="0" w:color="auto"/>
        <w:bottom w:val="none" w:sz="0" w:space="0" w:color="auto"/>
        <w:right w:val="none" w:sz="0" w:space="0" w:color="auto"/>
      </w:divBdr>
    </w:div>
    <w:div w:id="635647017">
      <w:bodyDiv w:val="1"/>
      <w:marLeft w:val="0"/>
      <w:marRight w:val="0"/>
      <w:marTop w:val="0"/>
      <w:marBottom w:val="0"/>
      <w:divBdr>
        <w:top w:val="none" w:sz="0" w:space="0" w:color="auto"/>
        <w:left w:val="none" w:sz="0" w:space="0" w:color="auto"/>
        <w:bottom w:val="none" w:sz="0" w:space="0" w:color="auto"/>
        <w:right w:val="none" w:sz="0" w:space="0" w:color="auto"/>
      </w:divBdr>
    </w:div>
    <w:div w:id="637801899">
      <w:bodyDiv w:val="1"/>
      <w:marLeft w:val="0"/>
      <w:marRight w:val="0"/>
      <w:marTop w:val="0"/>
      <w:marBottom w:val="0"/>
      <w:divBdr>
        <w:top w:val="none" w:sz="0" w:space="0" w:color="auto"/>
        <w:left w:val="none" w:sz="0" w:space="0" w:color="auto"/>
        <w:bottom w:val="none" w:sz="0" w:space="0" w:color="auto"/>
        <w:right w:val="none" w:sz="0" w:space="0" w:color="auto"/>
      </w:divBdr>
    </w:div>
    <w:div w:id="637808734">
      <w:bodyDiv w:val="1"/>
      <w:marLeft w:val="0"/>
      <w:marRight w:val="0"/>
      <w:marTop w:val="0"/>
      <w:marBottom w:val="0"/>
      <w:divBdr>
        <w:top w:val="none" w:sz="0" w:space="0" w:color="auto"/>
        <w:left w:val="none" w:sz="0" w:space="0" w:color="auto"/>
        <w:bottom w:val="none" w:sz="0" w:space="0" w:color="auto"/>
        <w:right w:val="none" w:sz="0" w:space="0" w:color="auto"/>
      </w:divBdr>
    </w:div>
    <w:div w:id="639264082">
      <w:bodyDiv w:val="1"/>
      <w:marLeft w:val="0"/>
      <w:marRight w:val="0"/>
      <w:marTop w:val="0"/>
      <w:marBottom w:val="0"/>
      <w:divBdr>
        <w:top w:val="none" w:sz="0" w:space="0" w:color="auto"/>
        <w:left w:val="none" w:sz="0" w:space="0" w:color="auto"/>
        <w:bottom w:val="none" w:sz="0" w:space="0" w:color="auto"/>
        <w:right w:val="none" w:sz="0" w:space="0" w:color="auto"/>
      </w:divBdr>
    </w:div>
    <w:div w:id="645356209">
      <w:bodyDiv w:val="1"/>
      <w:marLeft w:val="0"/>
      <w:marRight w:val="0"/>
      <w:marTop w:val="0"/>
      <w:marBottom w:val="0"/>
      <w:divBdr>
        <w:top w:val="none" w:sz="0" w:space="0" w:color="auto"/>
        <w:left w:val="none" w:sz="0" w:space="0" w:color="auto"/>
        <w:bottom w:val="none" w:sz="0" w:space="0" w:color="auto"/>
        <w:right w:val="none" w:sz="0" w:space="0" w:color="auto"/>
      </w:divBdr>
    </w:div>
    <w:div w:id="646512773">
      <w:bodyDiv w:val="1"/>
      <w:marLeft w:val="0"/>
      <w:marRight w:val="0"/>
      <w:marTop w:val="0"/>
      <w:marBottom w:val="0"/>
      <w:divBdr>
        <w:top w:val="none" w:sz="0" w:space="0" w:color="auto"/>
        <w:left w:val="none" w:sz="0" w:space="0" w:color="auto"/>
        <w:bottom w:val="none" w:sz="0" w:space="0" w:color="auto"/>
        <w:right w:val="none" w:sz="0" w:space="0" w:color="auto"/>
      </w:divBdr>
    </w:div>
    <w:div w:id="655032456">
      <w:bodyDiv w:val="1"/>
      <w:marLeft w:val="0"/>
      <w:marRight w:val="0"/>
      <w:marTop w:val="0"/>
      <w:marBottom w:val="0"/>
      <w:divBdr>
        <w:top w:val="none" w:sz="0" w:space="0" w:color="auto"/>
        <w:left w:val="none" w:sz="0" w:space="0" w:color="auto"/>
        <w:bottom w:val="none" w:sz="0" w:space="0" w:color="auto"/>
        <w:right w:val="none" w:sz="0" w:space="0" w:color="auto"/>
      </w:divBdr>
    </w:div>
    <w:div w:id="655761482">
      <w:bodyDiv w:val="1"/>
      <w:marLeft w:val="0"/>
      <w:marRight w:val="0"/>
      <w:marTop w:val="0"/>
      <w:marBottom w:val="0"/>
      <w:divBdr>
        <w:top w:val="none" w:sz="0" w:space="0" w:color="auto"/>
        <w:left w:val="none" w:sz="0" w:space="0" w:color="auto"/>
        <w:bottom w:val="none" w:sz="0" w:space="0" w:color="auto"/>
        <w:right w:val="none" w:sz="0" w:space="0" w:color="auto"/>
      </w:divBdr>
    </w:div>
    <w:div w:id="660234131">
      <w:bodyDiv w:val="1"/>
      <w:marLeft w:val="0"/>
      <w:marRight w:val="0"/>
      <w:marTop w:val="0"/>
      <w:marBottom w:val="0"/>
      <w:divBdr>
        <w:top w:val="none" w:sz="0" w:space="0" w:color="auto"/>
        <w:left w:val="none" w:sz="0" w:space="0" w:color="auto"/>
        <w:bottom w:val="none" w:sz="0" w:space="0" w:color="auto"/>
        <w:right w:val="none" w:sz="0" w:space="0" w:color="auto"/>
      </w:divBdr>
      <w:divsChild>
        <w:div w:id="60256341">
          <w:marLeft w:val="547"/>
          <w:marRight w:val="0"/>
          <w:marTop w:val="82"/>
          <w:marBottom w:val="0"/>
          <w:divBdr>
            <w:top w:val="none" w:sz="0" w:space="0" w:color="auto"/>
            <w:left w:val="none" w:sz="0" w:space="0" w:color="auto"/>
            <w:bottom w:val="none" w:sz="0" w:space="0" w:color="auto"/>
            <w:right w:val="none" w:sz="0" w:space="0" w:color="auto"/>
          </w:divBdr>
        </w:div>
        <w:div w:id="124547603">
          <w:marLeft w:val="547"/>
          <w:marRight w:val="0"/>
          <w:marTop w:val="82"/>
          <w:marBottom w:val="0"/>
          <w:divBdr>
            <w:top w:val="none" w:sz="0" w:space="0" w:color="auto"/>
            <w:left w:val="none" w:sz="0" w:space="0" w:color="auto"/>
            <w:bottom w:val="none" w:sz="0" w:space="0" w:color="auto"/>
            <w:right w:val="none" w:sz="0" w:space="0" w:color="auto"/>
          </w:divBdr>
        </w:div>
        <w:div w:id="159271984">
          <w:marLeft w:val="547"/>
          <w:marRight w:val="0"/>
          <w:marTop w:val="82"/>
          <w:marBottom w:val="0"/>
          <w:divBdr>
            <w:top w:val="none" w:sz="0" w:space="0" w:color="auto"/>
            <w:left w:val="none" w:sz="0" w:space="0" w:color="auto"/>
            <w:bottom w:val="none" w:sz="0" w:space="0" w:color="auto"/>
            <w:right w:val="none" w:sz="0" w:space="0" w:color="auto"/>
          </w:divBdr>
        </w:div>
        <w:div w:id="274097833">
          <w:marLeft w:val="547"/>
          <w:marRight w:val="0"/>
          <w:marTop w:val="82"/>
          <w:marBottom w:val="0"/>
          <w:divBdr>
            <w:top w:val="none" w:sz="0" w:space="0" w:color="auto"/>
            <w:left w:val="none" w:sz="0" w:space="0" w:color="auto"/>
            <w:bottom w:val="none" w:sz="0" w:space="0" w:color="auto"/>
            <w:right w:val="none" w:sz="0" w:space="0" w:color="auto"/>
          </w:divBdr>
        </w:div>
        <w:div w:id="701630082">
          <w:marLeft w:val="547"/>
          <w:marRight w:val="0"/>
          <w:marTop w:val="82"/>
          <w:marBottom w:val="0"/>
          <w:divBdr>
            <w:top w:val="none" w:sz="0" w:space="0" w:color="auto"/>
            <w:left w:val="none" w:sz="0" w:space="0" w:color="auto"/>
            <w:bottom w:val="none" w:sz="0" w:space="0" w:color="auto"/>
            <w:right w:val="none" w:sz="0" w:space="0" w:color="auto"/>
          </w:divBdr>
        </w:div>
        <w:div w:id="740837412">
          <w:marLeft w:val="547"/>
          <w:marRight w:val="0"/>
          <w:marTop w:val="82"/>
          <w:marBottom w:val="0"/>
          <w:divBdr>
            <w:top w:val="none" w:sz="0" w:space="0" w:color="auto"/>
            <w:left w:val="none" w:sz="0" w:space="0" w:color="auto"/>
            <w:bottom w:val="none" w:sz="0" w:space="0" w:color="auto"/>
            <w:right w:val="none" w:sz="0" w:space="0" w:color="auto"/>
          </w:divBdr>
        </w:div>
        <w:div w:id="2014602485">
          <w:marLeft w:val="547"/>
          <w:marRight w:val="0"/>
          <w:marTop w:val="82"/>
          <w:marBottom w:val="0"/>
          <w:divBdr>
            <w:top w:val="none" w:sz="0" w:space="0" w:color="auto"/>
            <w:left w:val="none" w:sz="0" w:space="0" w:color="auto"/>
            <w:bottom w:val="none" w:sz="0" w:space="0" w:color="auto"/>
            <w:right w:val="none" w:sz="0" w:space="0" w:color="auto"/>
          </w:divBdr>
        </w:div>
      </w:divsChild>
    </w:div>
    <w:div w:id="660887878">
      <w:bodyDiv w:val="1"/>
      <w:marLeft w:val="0"/>
      <w:marRight w:val="0"/>
      <w:marTop w:val="0"/>
      <w:marBottom w:val="0"/>
      <w:divBdr>
        <w:top w:val="none" w:sz="0" w:space="0" w:color="auto"/>
        <w:left w:val="none" w:sz="0" w:space="0" w:color="auto"/>
        <w:bottom w:val="none" w:sz="0" w:space="0" w:color="auto"/>
        <w:right w:val="none" w:sz="0" w:space="0" w:color="auto"/>
      </w:divBdr>
    </w:div>
    <w:div w:id="665016882">
      <w:bodyDiv w:val="1"/>
      <w:marLeft w:val="0"/>
      <w:marRight w:val="0"/>
      <w:marTop w:val="0"/>
      <w:marBottom w:val="0"/>
      <w:divBdr>
        <w:top w:val="none" w:sz="0" w:space="0" w:color="auto"/>
        <w:left w:val="none" w:sz="0" w:space="0" w:color="auto"/>
        <w:bottom w:val="none" w:sz="0" w:space="0" w:color="auto"/>
        <w:right w:val="none" w:sz="0" w:space="0" w:color="auto"/>
      </w:divBdr>
    </w:div>
    <w:div w:id="666711620">
      <w:bodyDiv w:val="1"/>
      <w:marLeft w:val="0"/>
      <w:marRight w:val="0"/>
      <w:marTop w:val="0"/>
      <w:marBottom w:val="0"/>
      <w:divBdr>
        <w:top w:val="none" w:sz="0" w:space="0" w:color="auto"/>
        <w:left w:val="none" w:sz="0" w:space="0" w:color="auto"/>
        <w:bottom w:val="none" w:sz="0" w:space="0" w:color="auto"/>
        <w:right w:val="none" w:sz="0" w:space="0" w:color="auto"/>
      </w:divBdr>
    </w:div>
    <w:div w:id="671758822">
      <w:bodyDiv w:val="1"/>
      <w:marLeft w:val="0"/>
      <w:marRight w:val="0"/>
      <w:marTop w:val="0"/>
      <w:marBottom w:val="0"/>
      <w:divBdr>
        <w:top w:val="none" w:sz="0" w:space="0" w:color="auto"/>
        <w:left w:val="none" w:sz="0" w:space="0" w:color="auto"/>
        <w:bottom w:val="none" w:sz="0" w:space="0" w:color="auto"/>
        <w:right w:val="none" w:sz="0" w:space="0" w:color="auto"/>
      </w:divBdr>
    </w:div>
    <w:div w:id="673579633">
      <w:bodyDiv w:val="1"/>
      <w:marLeft w:val="0"/>
      <w:marRight w:val="0"/>
      <w:marTop w:val="0"/>
      <w:marBottom w:val="0"/>
      <w:divBdr>
        <w:top w:val="none" w:sz="0" w:space="0" w:color="auto"/>
        <w:left w:val="none" w:sz="0" w:space="0" w:color="auto"/>
        <w:bottom w:val="none" w:sz="0" w:space="0" w:color="auto"/>
        <w:right w:val="none" w:sz="0" w:space="0" w:color="auto"/>
      </w:divBdr>
    </w:div>
    <w:div w:id="677007010">
      <w:bodyDiv w:val="1"/>
      <w:marLeft w:val="0"/>
      <w:marRight w:val="0"/>
      <w:marTop w:val="0"/>
      <w:marBottom w:val="0"/>
      <w:divBdr>
        <w:top w:val="none" w:sz="0" w:space="0" w:color="auto"/>
        <w:left w:val="none" w:sz="0" w:space="0" w:color="auto"/>
        <w:bottom w:val="none" w:sz="0" w:space="0" w:color="auto"/>
        <w:right w:val="none" w:sz="0" w:space="0" w:color="auto"/>
      </w:divBdr>
    </w:div>
    <w:div w:id="678390695">
      <w:bodyDiv w:val="1"/>
      <w:marLeft w:val="0"/>
      <w:marRight w:val="0"/>
      <w:marTop w:val="0"/>
      <w:marBottom w:val="0"/>
      <w:divBdr>
        <w:top w:val="none" w:sz="0" w:space="0" w:color="auto"/>
        <w:left w:val="none" w:sz="0" w:space="0" w:color="auto"/>
        <w:bottom w:val="none" w:sz="0" w:space="0" w:color="auto"/>
        <w:right w:val="none" w:sz="0" w:space="0" w:color="auto"/>
      </w:divBdr>
    </w:div>
    <w:div w:id="679697688">
      <w:bodyDiv w:val="1"/>
      <w:marLeft w:val="0"/>
      <w:marRight w:val="0"/>
      <w:marTop w:val="0"/>
      <w:marBottom w:val="0"/>
      <w:divBdr>
        <w:top w:val="none" w:sz="0" w:space="0" w:color="auto"/>
        <w:left w:val="none" w:sz="0" w:space="0" w:color="auto"/>
        <w:bottom w:val="none" w:sz="0" w:space="0" w:color="auto"/>
        <w:right w:val="none" w:sz="0" w:space="0" w:color="auto"/>
      </w:divBdr>
    </w:div>
    <w:div w:id="685637929">
      <w:bodyDiv w:val="1"/>
      <w:marLeft w:val="0"/>
      <w:marRight w:val="0"/>
      <w:marTop w:val="0"/>
      <w:marBottom w:val="0"/>
      <w:divBdr>
        <w:top w:val="none" w:sz="0" w:space="0" w:color="auto"/>
        <w:left w:val="none" w:sz="0" w:space="0" w:color="auto"/>
        <w:bottom w:val="none" w:sz="0" w:space="0" w:color="auto"/>
        <w:right w:val="none" w:sz="0" w:space="0" w:color="auto"/>
      </w:divBdr>
    </w:div>
    <w:div w:id="692999958">
      <w:bodyDiv w:val="1"/>
      <w:marLeft w:val="0"/>
      <w:marRight w:val="0"/>
      <w:marTop w:val="0"/>
      <w:marBottom w:val="0"/>
      <w:divBdr>
        <w:top w:val="none" w:sz="0" w:space="0" w:color="auto"/>
        <w:left w:val="none" w:sz="0" w:space="0" w:color="auto"/>
        <w:bottom w:val="none" w:sz="0" w:space="0" w:color="auto"/>
        <w:right w:val="none" w:sz="0" w:space="0" w:color="auto"/>
      </w:divBdr>
    </w:div>
    <w:div w:id="693655079">
      <w:bodyDiv w:val="1"/>
      <w:marLeft w:val="0"/>
      <w:marRight w:val="0"/>
      <w:marTop w:val="0"/>
      <w:marBottom w:val="0"/>
      <w:divBdr>
        <w:top w:val="none" w:sz="0" w:space="0" w:color="auto"/>
        <w:left w:val="none" w:sz="0" w:space="0" w:color="auto"/>
        <w:bottom w:val="none" w:sz="0" w:space="0" w:color="auto"/>
        <w:right w:val="none" w:sz="0" w:space="0" w:color="auto"/>
      </w:divBdr>
    </w:div>
    <w:div w:id="700863063">
      <w:bodyDiv w:val="1"/>
      <w:marLeft w:val="0"/>
      <w:marRight w:val="0"/>
      <w:marTop w:val="0"/>
      <w:marBottom w:val="0"/>
      <w:divBdr>
        <w:top w:val="none" w:sz="0" w:space="0" w:color="auto"/>
        <w:left w:val="none" w:sz="0" w:space="0" w:color="auto"/>
        <w:bottom w:val="none" w:sz="0" w:space="0" w:color="auto"/>
        <w:right w:val="none" w:sz="0" w:space="0" w:color="auto"/>
      </w:divBdr>
    </w:div>
    <w:div w:id="702289312">
      <w:bodyDiv w:val="1"/>
      <w:marLeft w:val="0"/>
      <w:marRight w:val="0"/>
      <w:marTop w:val="0"/>
      <w:marBottom w:val="0"/>
      <w:divBdr>
        <w:top w:val="none" w:sz="0" w:space="0" w:color="auto"/>
        <w:left w:val="none" w:sz="0" w:space="0" w:color="auto"/>
        <w:bottom w:val="none" w:sz="0" w:space="0" w:color="auto"/>
        <w:right w:val="none" w:sz="0" w:space="0" w:color="auto"/>
      </w:divBdr>
    </w:div>
    <w:div w:id="702437948">
      <w:bodyDiv w:val="1"/>
      <w:marLeft w:val="0"/>
      <w:marRight w:val="0"/>
      <w:marTop w:val="0"/>
      <w:marBottom w:val="0"/>
      <w:divBdr>
        <w:top w:val="none" w:sz="0" w:space="0" w:color="auto"/>
        <w:left w:val="none" w:sz="0" w:space="0" w:color="auto"/>
        <w:bottom w:val="none" w:sz="0" w:space="0" w:color="auto"/>
        <w:right w:val="none" w:sz="0" w:space="0" w:color="auto"/>
      </w:divBdr>
    </w:div>
    <w:div w:id="703409438">
      <w:bodyDiv w:val="1"/>
      <w:marLeft w:val="0"/>
      <w:marRight w:val="0"/>
      <w:marTop w:val="0"/>
      <w:marBottom w:val="0"/>
      <w:divBdr>
        <w:top w:val="none" w:sz="0" w:space="0" w:color="auto"/>
        <w:left w:val="none" w:sz="0" w:space="0" w:color="auto"/>
        <w:bottom w:val="none" w:sz="0" w:space="0" w:color="auto"/>
        <w:right w:val="none" w:sz="0" w:space="0" w:color="auto"/>
      </w:divBdr>
    </w:div>
    <w:div w:id="706104739">
      <w:bodyDiv w:val="1"/>
      <w:marLeft w:val="0"/>
      <w:marRight w:val="0"/>
      <w:marTop w:val="0"/>
      <w:marBottom w:val="0"/>
      <w:divBdr>
        <w:top w:val="none" w:sz="0" w:space="0" w:color="auto"/>
        <w:left w:val="none" w:sz="0" w:space="0" w:color="auto"/>
        <w:bottom w:val="none" w:sz="0" w:space="0" w:color="auto"/>
        <w:right w:val="none" w:sz="0" w:space="0" w:color="auto"/>
      </w:divBdr>
    </w:div>
    <w:div w:id="708146207">
      <w:bodyDiv w:val="1"/>
      <w:marLeft w:val="0"/>
      <w:marRight w:val="0"/>
      <w:marTop w:val="0"/>
      <w:marBottom w:val="0"/>
      <w:divBdr>
        <w:top w:val="none" w:sz="0" w:space="0" w:color="auto"/>
        <w:left w:val="none" w:sz="0" w:space="0" w:color="auto"/>
        <w:bottom w:val="none" w:sz="0" w:space="0" w:color="auto"/>
        <w:right w:val="none" w:sz="0" w:space="0" w:color="auto"/>
      </w:divBdr>
    </w:div>
    <w:div w:id="708801934">
      <w:bodyDiv w:val="1"/>
      <w:marLeft w:val="0"/>
      <w:marRight w:val="0"/>
      <w:marTop w:val="0"/>
      <w:marBottom w:val="0"/>
      <w:divBdr>
        <w:top w:val="none" w:sz="0" w:space="0" w:color="auto"/>
        <w:left w:val="none" w:sz="0" w:space="0" w:color="auto"/>
        <w:bottom w:val="none" w:sz="0" w:space="0" w:color="auto"/>
        <w:right w:val="none" w:sz="0" w:space="0" w:color="auto"/>
      </w:divBdr>
    </w:div>
    <w:div w:id="710888033">
      <w:bodyDiv w:val="1"/>
      <w:marLeft w:val="0"/>
      <w:marRight w:val="0"/>
      <w:marTop w:val="0"/>
      <w:marBottom w:val="0"/>
      <w:divBdr>
        <w:top w:val="none" w:sz="0" w:space="0" w:color="auto"/>
        <w:left w:val="none" w:sz="0" w:space="0" w:color="auto"/>
        <w:bottom w:val="none" w:sz="0" w:space="0" w:color="auto"/>
        <w:right w:val="none" w:sz="0" w:space="0" w:color="auto"/>
      </w:divBdr>
    </w:div>
    <w:div w:id="714089312">
      <w:bodyDiv w:val="1"/>
      <w:marLeft w:val="0"/>
      <w:marRight w:val="0"/>
      <w:marTop w:val="0"/>
      <w:marBottom w:val="0"/>
      <w:divBdr>
        <w:top w:val="none" w:sz="0" w:space="0" w:color="auto"/>
        <w:left w:val="none" w:sz="0" w:space="0" w:color="auto"/>
        <w:bottom w:val="none" w:sz="0" w:space="0" w:color="auto"/>
        <w:right w:val="none" w:sz="0" w:space="0" w:color="auto"/>
      </w:divBdr>
    </w:div>
    <w:div w:id="720179572">
      <w:bodyDiv w:val="1"/>
      <w:marLeft w:val="0"/>
      <w:marRight w:val="0"/>
      <w:marTop w:val="0"/>
      <w:marBottom w:val="0"/>
      <w:divBdr>
        <w:top w:val="none" w:sz="0" w:space="0" w:color="auto"/>
        <w:left w:val="none" w:sz="0" w:space="0" w:color="auto"/>
        <w:bottom w:val="none" w:sz="0" w:space="0" w:color="auto"/>
        <w:right w:val="none" w:sz="0" w:space="0" w:color="auto"/>
      </w:divBdr>
    </w:div>
    <w:div w:id="726492507">
      <w:bodyDiv w:val="1"/>
      <w:marLeft w:val="0"/>
      <w:marRight w:val="0"/>
      <w:marTop w:val="0"/>
      <w:marBottom w:val="0"/>
      <w:divBdr>
        <w:top w:val="none" w:sz="0" w:space="0" w:color="auto"/>
        <w:left w:val="none" w:sz="0" w:space="0" w:color="auto"/>
        <w:bottom w:val="none" w:sz="0" w:space="0" w:color="auto"/>
        <w:right w:val="none" w:sz="0" w:space="0" w:color="auto"/>
      </w:divBdr>
    </w:div>
    <w:div w:id="728501682">
      <w:bodyDiv w:val="1"/>
      <w:marLeft w:val="0"/>
      <w:marRight w:val="0"/>
      <w:marTop w:val="0"/>
      <w:marBottom w:val="0"/>
      <w:divBdr>
        <w:top w:val="none" w:sz="0" w:space="0" w:color="auto"/>
        <w:left w:val="none" w:sz="0" w:space="0" w:color="auto"/>
        <w:bottom w:val="none" w:sz="0" w:space="0" w:color="auto"/>
        <w:right w:val="none" w:sz="0" w:space="0" w:color="auto"/>
      </w:divBdr>
    </w:div>
    <w:div w:id="728529146">
      <w:bodyDiv w:val="1"/>
      <w:marLeft w:val="0"/>
      <w:marRight w:val="0"/>
      <w:marTop w:val="0"/>
      <w:marBottom w:val="0"/>
      <w:divBdr>
        <w:top w:val="none" w:sz="0" w:space="0" w:color="auto"/>
        <w:left w:val="none" w:sz="0" w:space="0" w:color="auto"/>
        <w:bottom w:val="none" w:sz="0" w:space="0" w:color="auto"/>
        <w:right w:val="none" w:sz="0" w:space="0" w:color="auto"/>
      </w:divBdr>
    </w:div>
    <w:div w:id="731075656">
      <w:bodyDiv w:val="1"/>
      <w:marLeft w:val="0"/>
      <w:marRight w:val="0"/>
      <w:marTop w:val="0"/>
      <w:marBottom w:val="0"/>
      <w:divBdr>
        <w:top w:val="none" w:sz="0" w:space="0" w:color="auto"/>
        <w:left w:val="none" w:sz="0" w:space="0" w:color="auto"/>
        <w:bottom w:val="none" w:sz="0" w:space="0" w:color="auto"/>
        <w:right w:val="none" w:sz="0" w:space="0" w:color="auto"/>
      </w:divBdr>
    </w:div>
    <w:div w:id="734157538">
      <w:bodyDiv w:val="1"/>
      <w:marLeft w:val="0"/>
      <w:marRight w:val="0"/>
      <w:marTop w:val="0"/>
      <w:marBottom w:val="0"/>
      <w:divBdr>
        <w:top w:val="none" w:sz="0" w:space="0" w:color="auto"/>
        <w:left w:val="none" w:sz="0" w:space="0" w:color="auto"/>
        <w:bottom w:val="none" w:sz="0" w:space="0" w:color="auto"/>
        <w:right w:val="none" w:sz="0" w:space="0" w:color="auto"/>
      </w:divBdr>
    </w:div>
    <w:div w:id="734207722">
      <w:bodyDiv w:val="1"/>
      <w:marLeft w:val="0"/>
      <w:marRight w:val="0"/>
      <w:marTop w:val="0"/>
      <w:marBottom w:val="0"/>
      <w:divBdr>
        <w:top w:val="none" w:sz="0" w:space="0" w:color="auto"/>
        <w:left w:val="none" w:sz="0" w:space="0" w:color="auto"/>
        <w:bottom w:val="none" w:sz="0" w:space="0" w:color="auto"/>
        <w:right w:val="none" w:sz="0" w:space="0" w:color="auto"/>
      </w:divBdr>
    </w:div>
    <w:div w:id="735054927">
      <w:bodyDiv w:val="1"/>
      <w:marLeft w:val="0"/>
      <w:marRight w:val="0"/>
      <w:marTop w:val="0"/>
      <w:marBottom w:val="0"/>
      <w:divBdr>
        <w:top w:val="none" w:sz="0" w:space="0" w:color="auto"/>
        <w:left w:val="none" w:sz="0" w:space="0" w:color="auto"/>
        <w:bottom w:val="none" w:sz="0" w:space="0" w:color="auto"/>
        <w:right w:val="none" w:sz="0" w:space="0" w:color="auto"/>
      </w:divBdr>
    </w:div>
    <w:div w:id="740753496">
      <w:bodyDiv w:val="1"/>
      <w:marLeft w:val="0"/>
      <w:marRight w:val="0"/>
      <w:marTop w:val="0"/>
      <w:marBottom w:val="0"/>
      <w:divBdr>
        <w:top w:val="none" w:sz="0" w:space="0" w:color="auto"/>
        <w:left w:val="none" w:sz="0" w:space="0" w:color="auto"/>
        <w:bottom w:val="none" w:sz="0" w:space="0" w:color="auto"/>
        <w:right w:val="none" w:sz="0" w:space="0" w:color="auto"/>
      </w:divBdr>
    </w:div>
    <w:div w:id="741217156">
      <w:bodyDiv w:val="1"/>
      <w:marLeft w:val="0"/>
      <w:marRight w:val="0"/>
      <w:marTop w:val="0"/>
      <w:marBottom w:val="0"/>
      <w:divBdr>
        <w:top w:val="none" w:sz="0" w:space="0" w:color="auto"/>
        <w:left w:val="none" w:sz="0" w:space="0" w:color="auto"/>
        <w:bottom w:val="none" w:sz="0" w:space="0" w:color="auto"/>
        <w:right w:val="none" w:sz="0" w:space="0" w:color="auto"/>
      </w:divBdr>
    </w:div>
    <w:div w:id="743600006">
      <w:bodyDiv w:val="1"/>
      <w:marLeft w:val="0"/>
      <w:marRight w:val="0"/>
      <w:marTop w:val="0"/>
      <w:marBottom w:val="0"/>
      <w:divBdr>
        <w:top w:val="none" w:sz="0" w:space="0" w:color="auto"/>
        <w:left w:val="none" w:sz="0" w:space="0" w:color="auto"/>
        <w:bottom w:val="none" w:sz="0" w:space="0" w:color="auto"/>
        <w:right w:val="none" w:sz="0" w:space="0" w:color="auto"/>
      </w:divBdr>
    </w:div>
    <w:div w:id="745880794">
      <w:bodyDiv w:val="1"/>
      <w:marLeft w:val="0"/>
      <w:marRight w:val="0"/>
      <w:marTop w:val="0"/>
      <w:marBottom w:val="0"/>
      <w:divBdr>
        <w:top w:val="none" w:sz="0" w:space="0" w:color="auto"/>
        <w:left w:val="none" w:sz="0" w:space="0" w:color="auto"/>
        <w:bottom w:val="none" w:sz="0" w:space="0" w:color="auto"/>
        <w:right w:val="none" w:sz="0" w:space="0" w:color="auto"/>
      </w:divBdr>
    </w:div>
    <w:div w:id="748817189">
      <w:bodyDiv w:val="1"/>
      <w:marLeft w:val="0"/>
      <w:marRight w:val="0"/>
      <w:marTop w:val="0"/>
      <w:marBottom w:val="0"/>
      <w:divBdr>
        <w:top w:val="none" w:sz="0" w:space="0" w:color="auto"/>
        <w:left w:val="none" w:sz="0" w:space="0" w:color="auto"/>
        <w:bottom w:val="none" w:sz="0" w:space="0" w:color="auto"/>
        <w:right w:val="none" w:sz="0" w:space="0" w:color="auto"/>
      </w:divBdr>
    </w:div>
    <w:div w:id="750851150">
      <w:bodyDiv w:val="1"/>
      <w:marLeft w:val="0"/>
      <w:marRight w:val="0"/>
      <w:marTop w:val="0"/>
      <w:marBottom w:val="0"/>
      <w:divBdr>
        <w:top w:val="none" w:sz="0" w:space="0" w:color="auto"/>
        <w:left w:val="none" w:sz="0" w:space="0" w:color="auto"/>
        <w:bottom w:val="none" w:sz="0" w:space="0" w:color="auto"/>
        <w:right w:val="none" w:sz="0" w:space="0" w:color="auto"/>
      </w:divBdr>
    </w:div>
    <w:div w:id="751975419">
      <w:bodyDiv w:val="1"/>
      <w:marLeft w:val="0"/>
      <w:marRight w:val="0"/>
      <w:marTop w:val="0"/>
      <w:marBottom w:val="0"/>
      <w:divBdr>
        <w:top w:val="none" w:sz="0" w:space="0" w:color="auto"/>
        <w:left w:val="none" w:sz="0" w:space="0" w:color="auto"/>
        <w:bottom w:val="none" w:sz="0" w:space="0" w:color="auto"/>
        <w:right w:val="none" w:sz="0" w:space="0" w:color="auto"/>
      </w:divBdr>
    </w:div>
    <w:div w:id="757290684">
      <w:bodyDiv w:val="1"/>
      <w:marLeft w:val="0"/>
      <w:marRight w:val="0"/>
      <w:marTop w:val="0"/>
      <w:marBottom w:val="0"/>
      <w:divBdr>
        <w:top w:val="none" w:sz="0" w:space="0" w:color="auto"/>
        <w:left w:val="none" w:sz="0" w:space="0" w:color="auto"/>
        <w:bottom w:val="none" w:sz="0" w:space="0" w:color="auto"/>
        <w:right w:val="none" w:sz="0" w:space="0" w:color="auto"/>
      </w:divBdr>
    </w:div>
    <w:div w:id="757293721">
      <w:bodyDiv w:val="1"/>
      <w:marLeft w:val="0"/>
      <w:marRight w:val="0"/>
      <w:marTop w:val="0"/>
      <w:marBottom w:val="0"/>
      <w:divBdr>
        <w:top w:val="none" w:sz="0" w:space="0" w:color="auto"/>
        <w:left w:val="none" w:sz="0" w:space="0" w:color="auto"/>
        <w:bottom w:val="none" w:sz="0" w:space="0" w:color="auto"/>
        <w:right w:val="none" w:sz="0" w:space="0" w:color="auto"/>
      </w:divBdr>
    </w:div>
    <w:div w:id="758478012">
      <w:bodyDiv w:val="1"/>
      <w:marLeft w:val="0"/>
      <w:marRight w:val="0"/>
      <w:marTop w:val="0"/>
      <w:marBottom w:val="0"/>
      <w:divBdr>
        <w:top w:val="none" w:sz="0" w:space="0" w:color="auto"/>
        <w:left w:val="none" w:sz="0" w:space="0" w:color="auto"/>
        <w:bottom w:val="none" w:sz="0" w:space="0" w:color="auto"/>
        <w:right w:val="none" w:sz="0" w:space="0" w:color="auto"/>
      </w:divBdr>
    </w:div>
    <w:div w:id="758603202">
      <w:bodyDiv w:val="1"/>
      <w:marLeft w:val="0"/>
      <w:marRight w:val="0"/>
      <w:marTop w:val="0"/>
      <w:marBottom w:val="0"/>
      <w:divBdr>
        <w:top w:val="none" w:sz="0" w:space="0" w:color="auto"/>
        <w:left w:val="none" w:sz="0" w:space="0" w:color="auto"/>
        <w:bottom w:val="none" w:sz="0" w:space="0" w:color="auto"/>
        <w:right w:val="none" w:sz="0" w:space="0" w:color="auto"/>
      </w:divBdr>
    </w:div>
    <w:div w:id="763307294">
      <w:bodyDiv w:val="1"/>
      <w:marLeft w:val="0"/>
      <w:marRight w:val="0"/>
      <w:marTop w:val="0"/>
      <w:marBottom w:val="0"/>
      <w:divBdr>
        <w:top w:val="none" w:sz="0" w:space="0" w:color="auto"/>
        <w:left w:val="none" w:sz="0" w:space="0" w:color="auto"/>
        <w:bottom w:val="none" w:sz="0" w:space="0" w:color="auto"/>
        <w:right w:val="none" w:sz="0" w:space="0" w:color="auto"/>
      </w:divBdr>
    </w:div>
    <w:div w:id="767654368">
      <w:bodyDiv w:val="1"/>
      <w:marLeft w:val="0"/>
      <w:marRight w:val="0"/>
      <w:marTop w:val="0"/>
      <w:marBottom w:val="0"/>
      <w:divBdr>
        <w:top w:val="none" w:sz="0" w:space="0" w:color="auto"/>
        <w:left w:val="none" w:sz="0" w:space="0" w:color="auto"/>
        <w:bottom w:val="none" w:sz="0" w:space="0" w:color="auto"/>
        <w:right w:val="none" w:sz="0" w:space="0" w:color="auto"/>
      </w:divBdr>
    </w:div>
    <w:div w:id="767888974">
      <w:bodyDiv w:val="1"/>
      <w:marLeft w:val="0"/>
      <w:marRight w:val="0"/>
      <w:marTop w:val="0"/>
      <w:marBottom w:val="0"/>
      <w:divBdr>
        <w:top w:val="none" w:sz="0" w:space="0" w:color="auto"/>
        <w:left w:val="none" w:sz="0" w:space="0" w:color="auto"/>
        <w:bottom w:val="none" w:sz="0" w:space="0" w:color="auto"/>
        <w:right w:val="none" w:sz="0" w:space="0" w:color="auto"/>
      </w:divBdr>
    </w:div>
    <w:div w:id="772046143">
      <w:bodyDiv w:val="1"/>
      <w:marLeft w:val="0"/>
      <w:marRight w:val="0"/>
      <w:marTop w:val="0"/>
      <w:marBottom w:val="0"/>
      <w:divBdr>
        <w:top w:val="none" w:sz="0" w:space="0" w:color="auto"/>
        <w:left w:val="none" w:sz="0" w:space="0" w:color="auto"/>
        <w:bottom w:val="none" w:sz="0" w:space="0" w:color="auto"/>
        <w:right w:val="none" w:sz="0" w:space="0" w:color="auto"/>
      </w:divBdr>
    </w:div>
    <w:div w:id="776951713">
      <w:bodyDiv w:val="1"/>
      <w:marLeft w:val="0"/>
      <w:marRight w:val="0"/>
      <w:marTop w:val="0"/>
      <w:marBottom w:val="0"/>
      <w:divBdr>
        <w:top w:val="none" w:sz="0" w:space="0" w:color="auto"/>
        <w:left w:val="none" w:sz="0" w:space="0" w:color="auto"/>
        <w:bottom w:val="none" w:sz="0" w:space="0" w:color="auto"/>
        <w:right w:val="none" w:sz="0" w:space="0" w:color="auto"/>
      </w:divBdr>
    </w:div>
    <w:div w:id="779763631">
      <w:bodyDiv w:val="1"/>
      <w:marLeft w:val="0"/>
      <w:marRight w:val="0"/>
      <w:marTop w:val="0"/>
      <w:marBottom w:val="0"/>
      <w:divBdr>
        <w:top w:val="none" w:sz="0" w:space="0" w:color="auto"/>
        <w:left w:val="none" w:sz="0" w:space="0" w:color="auto"/>
        <w:bottom w:val="none" w:sz="0" w:space="0" w:color="auto"/>
        <w:right w:val="none" w:sz="0" w:space="0" w:color="auto"/>
      </w:divBdr>
    </w:div>
    <w:div w:id="781731873">
      <w:bodyDiv w:val="1"/>
      <w:marLeft w:val="0"/>
      <w:marRight w:val="0"/>
      <w:marTop w:val="0"/>
      <w:marBottom w:val="0"/>
      <w:divBdr>
        <w:top w:val="none" w:sz="0" w:space="0" w:color="auto"/>
        <w:left w:val="none" w:sz="0" w:space="0" w:color="auto"/>
        <w:bottom w:val="none" w:sz="0" w:space="0" w:color="auto"/>
        <w:right w:val="none" w:sz="0" w:space="0" w:color="auto"/>
      </w:divBdr>
    </w:div>
    <w:div w:id="782116200">
      <w:bodyDiv w:val="1"/>
      <w:marLeft w:val="0"/>
      <w:marRight w:val="0"/>
      <w:marTop w:val="0"/>
      <w:marBottom w:val="0"/>
      <w:divBdr>
        <w:top w:val="none" w:sz="0" w:space="0" w:color="auto"/>
        <w:left w:val="none" w:sz="0" w:space="0" w:color="auto"/>
        <w:bottom w:val="none" w:sz="0" w:space="0" w:color="auto"/>
        <w:right w:val="none" w:sz="0" w:space="0" w:color="auto"/>
      </w:divBdr>
    </w:div>
    <w:div w:id="784009933">
      <w:bodyDiv w:val="1"/>
      <w:marLeft w:val="0"/>
      <w:marRight w:val="0"/>
      <w:marTop w:val="0"/>
      <w:marBottom w:val="0"/>
      <w:divBdr>
        <w:top w:val="none" w:sz="0" w:space="0" w:color="auto"/>
        <w:left w:val="none" w:sz="0" w:space="0" w:color="auto"/>
        <w:bottom w:val="none" w:sz="0" w:space="0" w:color="auto"/>
        <w:right w:val="none" w:sz="0" w:space="0" w:color="auto"/>
      </w:divBdr>
    </w:div>
    <w:div w:id="784814750">
      <w:bodyDiv w:val="1"/>
      <w:marLeft w:val="0"/>
      <w:marRight w:val="0"/>
      <w:marTop w:val="0"/>
      <w:marBottom w:val="0"/>
      <w:divBdr>
        <w:top w:val="none" w:sz="0" w:space="0" w:color="auto"/>
        <w:left w:val="none" w:sz="0" w:space="0" w:color="auto"/>
        <w:bottom w:val="none" w:sz="0" w:space="0" w:color="auto"/>
        <w:right w:val="none" w:sz="0" w:space="0" w:color="auto"/>
      </w:divBdr>
    </w:div>
    <w:div w:id="785008668">
      <w:bodyDiv w:val="1"/>
      <w:marLeft w:val="0"/>
      <w:marRight w:val="0"/>
      <w:marTop w:val="0"/>
      <w:marBottom w:val="0"/>
      <w:divBdr>
        <w:top w:val="none" w:sz="0" w:space="0" w:color="auto"/>
        <w:left w:val="none" w:sz="0" w:space="0" w:color="auto"/>
        <w:bottom w:val="none" w:sz="0" w:space="0" w:color="auto"/>
        <w:right w:val="none" w:sz="0" w:space="0" w:color="auto"/>
      </w:divBdr>
    </w:div>
    <w:div w:id="789471124">
      <w:bodyDiv w:val="1"/>
      <w:marLeft w:val="0"/>
      <w:marRight w:val="0"/>
      <w:marTop w:val="0"/>
      <w:marBottom w:val="0"/>
      <w:divBdr>
        <w:top w:val="none" w:sz="0" w:space="0" w:color="auto"/>
        <w:left w:val="none" w:sz="0" w:space="0" w:color="auto"/>
        <w:bottom w:val="none" w:sz="0" w:space="0" w:color="auto"/>
        <w:right w:val="none" w:sz="0" w:space="0" w:color="auto"/>
      </w:divBdr>
    </w:div>
    <w:div w:id="796722762">
      <w:bodyDiv w:val="1"/>
      <w:marLeft w:val="0"/>
      <w:marRight w:val="0"/>
      <w:marTop w:val="0"/>
      <w:marBottom w:val="0"/>
      <w:divBdr>
        <w:top w:val="none" w:sz="0" w:space="0" w:color="auto"/>
        <w:left w:val="none" w:sz="0" w:space="0" w:color="auto"/>
        <w:bottom w:val="none" w:sz="0" w:space="0" w:color="auto"/>
        <w:right w:val="none" w:sz="0" w:space="0" w:color="auto"/>
      </w:divBdr>
    </w:div>
    <w:div w:id="798456513">
      <w:bodyDiv w:val="1"/>
      <w:marLeft w:val="0"/>
      <w:marRight w:val="0"/>
      <w:marTop w:val="0"/>
      <w:marBottom w:val="0"/>
      <w:divBdr>
        <w:top w:val="none" w:sz="0" w:space="0" w:color="auto"/>
        <w:left w:val="none" w:sz="0" w:space="0" w:color="auto"/>
        <w:bottom w:val="none" w:sz="0" w:space="0" w:color="auto"/>
        <w:right w:val="none" w:sz="0" w:space="0" w:color="auto"/>
      </w:divBdr>
    </w:div>
    <w:div w:id="799690513">
      <w:bodyDiv w:val="1"/>
      <w:marLeft w:val="0"/>
      <w:marRight w:val="0"/>
      <w:marTop w:val="0"/>
      <w:marBottom w:val="0"/>
      <w:divBdr>
        <w:top w:val="none" w:sz="0" w:space="0" w:color="auto"/>
        <w:left w:val="none" w:sz="0" w:space="0" w:color="auto"/>
        <w:bottom w:val="none" w:sz="0" w:space="0" w:color="auto"/>
        <w:right w:val="none" w:sz="0" w:space="0" w:color="auto"/>
      </w:divBdr>
    </w:div>
    <w:div w:id="799760181">
      <w:bodyDiv w:val="1"/>
      <w:marLeft w:val="0"/>
      <w:marRight w:val="0"/>
      <w:marTop w:val="0"/>
      <w:marBottom w:val="0"/>
      <w:divBdr>
        <w:top w:val="none" w:sz="0" w:space="0" w:color="auto"/>
        <w:left w:val="none" w:sz="0" w:space="0" w:color="auto"/>
        <w:bottom w:val="none" w:sz="0" w:space="0" w:color="auto"/>
        <w:right w:val="none" w:sz="0" w:space="0" w:color="auto"/>
      </w:divBdr>
    </w:div>
    <w:div w:id="803888186">
      <w:bodyDiv w:val="1"/>
      <w:marLeft w:val="0"/>
      <w:marRight w:val="0"/>
      <w:marTop w:val="0"/>
      <w:marBottom w:val="0"/>
      <w:divBdr>
        <w:top w:val="none" w:sz="0" w:space="0" w:color="auto"/>
        <w:left w:val="none" w:sz="0" w:space="0" w:color="auto"/>
        <w:bottom w:val="none" w:sz="0" w:space="0" w:color="auto"/>
        <w:right w:val="none" w:sz="0" w:space="0" w:color="auto"/>
      </w:divBdr>
    </w:div>
    <w:div w:id="804204697">
      <w:bodyDiv w:val="1"/>
      <w:marLeft w:val="0"/>
      <w:marRight w:val="0"/>
      <w:marTop w:val="0"/>
      <w:marBottom w:val="0"/>
      <w:divBdr>
        <w:top w:val="none" w:sz="0" w:space="0" w:color="auto"/>
        <w:left w:val="none" w:sz="0" w:space="0" w:color="auto"/>
        <w:bottom w:val="none" w:sz="0" w:space="0" w:color="auto"/>
        <w:right w:val="none" w:sz="0" w:space="0" w:color="auto"/>
      </w:divBdr>
    </w:div>
    <w:div w:id="804470137">
      <w:bodyDiv w:val="1"/>
      <w:marLeft w:val="0"/>
      <w:marRight w:val="0"/>
      <w:marTop w:val="0"/>
      <w:marBottom w:val="0"/>
      <w:divBdr>
        <w:top w:val="none" w:sz="0" w:space="0" w:color="auto"/>
        <w:left w:val="none" w:sz="0" w:space="0" w:color="auto"/>
        <w:bottom w:val="none" w:sz="0" w:space="0" w:color="auto"/>
        <w:right w:val="none" w:sz="0" w:space="0" w:color="auto"/>
      </w:divBdr>
    </w:div>
    <w:div w:id="808085578">
      <w:bodyDiv w:val="1"/>
      <w:marLeft w:val="0"/>
      <w:marRight w:val="0"/>
      <w:marTop w:val="0"/>
      <w:marBottom w:val="0"/>
      <w:divBdr>
        <w:top w:val="none" w:sz="0" w:space="0" w:color="auto"/>
        <w:left w:val="none" w:sz="0" w:space="0" w:color="auto"/>
        <w:bottom w:val="none" w:sz="0" w:space="0" w:color="auto"/>
        <w:right w:val="none" w:sz="0" w:space="0" w:color="auto"/>
      </w:divBdr>
    </w:div>
    <w:div w:id="811480799">
      <w:bodyDiv w:val="1"/>
      <w:marLeft w:val="0"/>
      <w:marRight w:val="0"/>
      <w:marTop w:val="0"/>
      <w:marBottom w:val="0"/>
      <w:divBdr>
        <w:top w:val="none" w:sz="0" w:space="0" w:color="auto"/>
        <w:left w:val="none" w:sz="0" w:space="0" w:color="auto"/>
        <w:bottom w:val="none" w:sz="0" w:space="0" w:color="auto"/>
        <w:right w:val="none" w:sz="0" w:space="0" w:color="auto"/>
      </w:divBdr>
    </w:div>
    <w:div w:id="812023173">
      <w:bodyDiv w:val="1"/>
      <w:marLeft w:val="0"/>
      <w:marRight w:val="0"/>
      <w:marTop w:val="0"/>
      <w:marBottom w:val="0"/>
      <w:divBdr>
        <w:top w:val="none" w:sz="0" w:space="0" w:color="auto"/>
        <w:left w:val="none" w:sz="0" w:space="0" w:color="auto"/>
        <w:bottom w:val="none" w:sz="0" w:space="0" w:color="auto"/>
        <w:right w:val="none" w:sz="0" w:space="0" w:color="auto"/>
      </w:divBdr>
    </w:div>
    <w:div w:id="815419199">
      <w:bodyDiv w:val="1"/>
      <w:marLeft w:val="0"/>
      <w:marRight w:val="0"/>
      <w:marTop w:val="0"/>
      <w:marBottom w:val="0"/>
      <w:divBdr>
        <w:top w:val="none" w:sz="0" w:space="0" w:color="auto"/>
        <w:left w:val="none" w:sz="0" w:space="0" w:color="auto"/>
        <w:bottom w:val="none" w:sz="0" w:space="0" w:color="auto"/>
        <w:right w:val="none" w:sz="0" w:space="0" w:color="auto"/>
      </w:divBdr>
    </w:div>
    <w:div w:id="824207224">
      <w:bodyDiv w:val="1"/>
      <w:marLeft w:val="0"/>
      <w:marRight w:val="0"/>
      <w:marTop w:val="0"/>
      <w:marBottom w:val="0"/>
      <w:divBdr>
        <w:top w:val="none" w:sz="0" w:space="0" w:color="auto"/>
        <w:left w:val="none" w:sz="0" w:space="0" w:color="auto"/>
        <w:bottom w:val="none" w:sz="0" w:space="0" w:color="auto"/>
        <w:right w:val="none" w:sz="0" w:space="0" w:color="auto"/>
      </w:divBdr>
    </w:div>
    <w:div w:id="832262220">
      <w:bodyDiv w:val="1"/>
      <w:marLeft w:val="0"/>
      <w:marRight w:val="0"/>
      <w:marTop w:val="0"/>
      <w:marBottom w:val="0"/>
      <w:divBdr>
        <w:top w:val="none" w:sz="0" w:space="0" w:color="auto"/>
        <w:left w:val="none" w:sz="0" w:space="0" w:color="auto"/>
        <w:bottom w:val="none" w:sz="0" w:space="0" w:color="auto"/>
        <w:right w:val="none" w:sz="0" w:space="0" w:color="auto"/>
      </w:divBdr>
    </w:div>
    <w:div w:id="835993417">
      <w:bodyDiv w:val="1"/>
      <w:marLeft w:val="0"/>
      <w:marRight w:val="0"/>
      <w:marTop w:val="0"/>
      <w:marBottom w:val="0"/>
      <w:divBdr>
        <w:top w:val="none" w:sz="0" w:space="0" w:color="auto"/>
        <w:left w:val="none" w:sz="0" w:space="0" w:color="auto"/>
        <w:bottom w:val="none" w:sz="0" w:space="0" w:color="auto"/>
        <w:right w:val="none" w:sz="0" w:space="0" w:color="auto"/>
      </w:divBdr>
    </w:div>
    <w:div w:id="837500931">
      <w:bodyDiv w:val="1"/>
      <w:marLeft w:val="0"/>
      <w:marRight w:val="0"/>
      <w:marTop w:val="0"/>
      <w:marBottom w:val="0"/>
      <w:divBdr>
        <w:top w:val="none" w:sz="0" w:space="0" w:color="auto"/>
        <w:left w:val="none" w:sz="0" w:space="0" w:color="auto"/>
        <w:bottom w:val="none" w:sz="0" w:space="0" w:color="auto"/>
        <w:right w:val="none" w:sz="0" w:space="0" w:color="auto"/>
      </w:divBdr>
    </w:div>
    <w:div w:id="838541009">
      <w:bodyDiv w:val="1"/>
      <w:marLeft w:val="0"/>
      <w:marRight w:val="0"/>
      <w:marTop w:val="0"/>
      <w:marBottom w:val="0"/>
      <w:divBdr>
        <w:top w:val="none" w:sz="0" w:space="0" w:color="auto"/>
        <w:left w:val="none" w:sz="0" w:space="0" w:color="auto"/>
        <w:bottom w:val="none" w:sz="0" w:space="0" w:color="auto"/>
        <w:right w:val="none" w:sz="0" w:space="0" w:color="auto"/>
      </w:divBdr>
    </w:div>
    <w:div w:id="843132579">
      <w:bodyDiv w:val="1"/>
      <w:marLeft w:val="0"/>
      <w:marRight w:val="0"/>
      <w:marTop w:val="0"/>
      <w:marBottom w:val="0"/>
      <w:divBdr>
        <w:top w:val="none" w:sz="0" w:space="0" w:color="auto"/>
        <w:left w:val="none" w:sz="0" w:space="0" w:color="auto"/>
        <w:bottom w:val="none" w:sz="0" w:space="0" w:color="auto"/>
        <w:right w:val="none" w:sz="0" w:space="0" w:color="auto"/>
      </w:divBdr>
    </w:div>
    <w:div w:id="845829023">
      <w:bodyDiv w:val="1"/>
      <w:marLeft w:val="0"/>
      <w:marRight w:val="0"/>
      <w:marTop w:val="0"/>
      <w:marBottom w:val="0"/>
      <w:divBdr>
        <w:top w:val="none" w:sz="0" w:space="0" w:color="auto"/>
        <w:left w:val="none" w:sz="0" w:space="0" w:color="auto"/>
        <w:bottom w:val="none" w:sz="0" w:space="0" w:color="auto"/>
        <w:right w:val="none" w:sz="0" w:space="0" w:color="auto"/>
      </w:divBdr>
    </w:div>
    <w:div w:id="846359523">
      <w:bodyDiv w:val="1"/>
      <w:marLeft w:val="0"/>
      <w:marRight w:val="0"/>
      <w:marTop w:val="0"/>
      <w:marBottom w:val="0"/>
      <w:divBdr>
        <w:top w:val="none" w:sz="0" w:space="0" w:color="auto"/>
        <w:left w:val="none" w:sz="0" w:space="0" w:color="auto"/>
        <w:bottom w:val="none" w:sz="0" w:space="0" w:color="auto"/>
        <w:right w:val="none" w:sz="0" w:space="0" w:color="auto"/>
      </w:divBdr>
    </w:div>
    <w:div w:id="846796472">
      <w:bodyDiv w:val="1"/>
      <w:marLeft w:val="0"/>
      <w:marRight w:val="0"/>
      <w:marTop w:val="0"/>
      <w:marBottom w:val="0"/>
      <w:divBdr>
        <w:top w:val="none" w:sz="0" w:space="0" w:color="auto"/>
        <w:left w:val="none" w:sz="0" w:space="0" w:color="auto"/>
        <w:bottom w:val="none" w:sz="0" w:space="0" w:color="auto"/>
        <w:right w:val="none" w:sz="0" w:space="0" w:color="auto"/>
      </w:divBdr>
    </w:div>
    <w:div w:id="850535329">
      <w:bodyDiv w:val="1"/>
      <w:marLeft w:val="0"/>
      <w:marRight w:val="0"/>
      <w:marTop w:val="0"/>
      <w:marBottom w:val="0"/>
      <w:divBdr>
        <w:top w:val="none" w:sz="0" w:space="0" w:color="auto"/>
        <w:left w:val="none" w:sz="0" w:space="0" w:color="auto"/>
        <w:bottom w:val="none" w:sz="0" w:space="0" w:color="auto"/>
        <w:right w:val="none" w:sz="0" w:space="0" w:color="auto"/>
      </w:divBdr>
    </w:div>
    <w:div w:id="851603019">
      <w:bodyDiv w:val="1"/>
      <w:marLeft w:val="0"/>
      <w:marRight w:val="0"/>
      <w:marTop w:val="0"/>
      <w:marBottom w:val="0"/>
      <w:divBdr>
        <w:top w:val="none" w:sz="0" w:space="0" w:color="auto"/>
        <w:left w:val="none" w:sz="0" w:space="0" w:color="auto"/>
        <w:bottom w:val="none" w:sz="0" w:space="0" w:color="auto"/>
        <w:right w:val="none" w:sz="0" w:space="0" w:color="auto"/>
      </w:divBdr>
    </w:div>
    <w:div w:id="852569345">
      <w:bodyDiv w:val="1"/>
      <w:marLeft w:val="0"/>
      <w:marRight w:val="0"/>
      <w:marTop w:val="0"/>
      <w:marBottom w:val="0"/>
      <w:divBdr>
        <w:top w:val="none" w:sz="0" w:space="0" w:color="auto"/>
        <w:left w:val="none" w:sz="0" w:space="0" w:color="auto"/>
        <w:bottom w:val="none" w:sz="0" w:space="0" w:color="auto"/>
        <w:right w:val="none" w:sz="0" w:space="0" w:color="auto"/>
      </w:divBdr>
    </w:div>
    <w:div w:id="852575546">
      <w:bodyDiv w:val="1"/>
      <w:marLeft w:val="0"/>
      <w:marRight w:val="0"/>
      <w:marTop w:val="0"/>
      <w:marBottom w:val="0"/>
      <w:divBdr>
        <w:top w:val="none" w:sz="0" w:space="0" w:color="auto"/>
        <w:left w:val="none" w:sz="0" w:space="0" w:color="auto"/>
        <w:bottom w:val="none" w:sz="0" w:space="0" w:color="auto"/>
        <w:right w:val="none" w:sz="0" w:space="0" w:color="auto"/>
      </w:divBdr>
    </w:div>
    <w:div w:id="853346689">
      <w:bodyDiv w:val="1"/>
      <w:marLeft w:val="0"/>
      <w:marRight w:val="0"/>
      <w:marTop w:val="0"/>
      <w:marBottom w:val="0"/>
      <w:divBdr>
        <w:top w:val="none" w:sz="0" w:space="0" w:color="auto"/>
        <w:left w:val="none" w:sz="0" w:space="0" w:color="auto"/>
        <w:bottom w:val="none" w:sz="0" w:space="0" w:color="auto"/>
        <w:right w:val="none" w:sz="0" w:space="0" w:color="auto"/>
      </w:divBdr>
    </w:div>
    <w:div w:id="856041096">
      <w:bodyDiv w:val="1"/>
      <w:marLeft w:val="0"/>
      <w:marRight w:val="0"/>
      <w:marTop w:val="0"/>
      <w:marBottom w:val="0"/>
      <w:divBdr>
        <w:top w:val="none" w:sz="0" w:space="0" w:color="auto"/>
        <w:left w:val="none" w:sz="0" w:space="0" w:color="auto"/>
        <w:bottom w:val="none" w:sz="0" w:space="0" w:color="auto"/>
        <w:right w:val="none" w:sz="0" w:space="0" w:color="auto"/>
      </w:divBdr>
    </w:div>
    <w:div w:id="856315593">
      <w:bodyDiv w:val="1"/>
      <w:marLeft w:val="0"/>
      <w:marRight w:val="0"/>
      <w:marTop w:val="0"/>
      <w:marBottom w:val="0"/>
      <w:divBdr>
        <w:top w:val="none" w:sz="0" w:space="0" w:color="auto"/>
        <w:left w:val="none" w:sz="0" w:space="0" w:color="auto"/>
        <w:bottom w:val="none" w:sz="0" w:space="0" w:color="auto"/>
        <w:right w:val="none" w:sz="0" w:space="0" w:color="auto"/>
      </w:divBdr>
      <w:divsChild>
        <w:div w:id="645818907">
          <w:marLeft w:val="0"/>
          <w:marRight w:val="0"/>
          <w:marTop w:val="0"/>
          <w:marBottom w:val="0"/>
          <w:divBdr>
            <w:top w:val="none" w:sz="0" w:space="0" w:color="auto"/>
            <w:left w:val="none" w:sz="0" w:space="0" w:color="auto"/>
            <w:bottom w:val="none" w:sz="0" w:space="0" w:color="auto"/>
            <w:right w:val="none" w:sz="0" w:space="0" w:color="auto"/>
          </w:divBdr>
          <w:divsChild>
            <w:div w:id="1238907245">
              <w:marLeft w:val="0"/>
              <w:marRight w:val="0"/>
              <w:marTop w:val="0"/>
              <w:marBottom w:val="0"/>
              <w:divBdr>
                <w:top w:val="none" w:sz="0" w:space="0" w:color="auto"/>
                <w:left w:val="none" w:sz="0" w:space="0" w:color="auto"/>
                <w:bottom w:val="none" w:sz="0" w:space="0" w:color="auto"/>
                <w:right w:val="none" w:sz="0" w:space="0" w:color="auto"/>
              </w:divBdr>
              <w:divsChild>
                <w:div w:id="1708529167">
                  <w:marLeft w:val="0"/>
                  <w:marRight w:val="0"/>
                  <w:marTop w:val="0"/>
                  <w:marBottom w:val="0"/>
                  <w:divBdr>
                    <w:top w:val="none" w:sz="0" w:space="0" w:color="auto"/>
                    <w:left w:val="none" w:sz="0" w:space="0" w:color="auto"/>
                    <w:bottom w:val="none" w:sz="0" w:space="0" w:color="auto"/>
                    <w:right w:val="none" w:sz="0" w:space="0" w:color="auto"/>
                  </w:divBdr>
                  <w:divsChild>
                    <w:div w:id="1353997995">
                      <w:marLeft w:val="0"/>
                      <w:marRight w:val="0"/>
                      <w:marTop w:val="0"/>
                      <w:marBottom w:val="0"/>
                      <w:divBdr>
                        <w:top w:val="none" w:sz="0" w:space="0" w:color="auto"/>
                        <w:left w:val="none" w:sz="0" w:space="0" w:color="auto"/>
                        <w:bottom w:val="none" w:sz="0" w:space="0" w:color="auto"/>
                        <w:right w:val="none" w:sz="0" w:space="0" w:color="auto"/>
                      </w:divBdr>
                      <w:divsChild>
                        <w:div w:id="153692618">
                          <w:marLeft w:val="0"/>
                          <w:marRight w:val="0"/>
                          <w:marTop w:val="0"/>
                          <w:marBottom w:val="0"/>
                          <w:divBdr>
                            <w:top w:val="none" w:sz="0" w:space="0" w:color="auto"/>
                            <w:left w:val="none" w:sz="0" w:space="0" w:color="auto"/>
                            <w:bottom w:val="none" w:sz="0" w:space="0" w:color="auto"/>
                            <w:right w:val="none" w:sz="0" w:space="0" w:color="auto"/>
                          </w:divBdr>
                          <w:divsChild>
                            <w:div w:id="1794209684">
                              <w:marLeft w:val="12300"/>
                              <w:marRight w:val="0"/>
                              <w:marTop w:val="0"/>
                              <w:marBottom w:val="0"/>
                              <w:divBdr>
                                <w:top w:val="none" w:sz="0" w:space="0" w:color="auto"/>
                                <w:left w:val="none" w:sz="0" w:space="0" w:color="auto"/>
                                <w:bottom w:val="none" w:sz="0" w:space="0" w:color="auto"/>
                                <w:right w:val="none" w:sz="0" w:space="0" w:color="auto"/>
                              </w:divBdr>
                              <w:divsChild>
                                <w:div w:id="1288589934">
                                  <w:marLeft w:val="0"/>
                                  <w:marRight w:val="0"/>
                                  <w:marTop w:val="0"/>
                                  <w:marBottom w:val="0"/>
                                  <w:divBdr>
                                    <w:top w:val="none" w:sz="0" w:space="0" w:color="auto"/>
                                    <w:left w:val="none" w:sz="0" w:space="0" w:color="auto"/>
                                    <w:bottom w:val="none" w:sz="0" w:space="0" w:color="auto"/>
                                    <w:right w:val="none" w:sz="0" w:space="0" w:color="auto"/>
                                  </w:divBdr>
                                  <w:divsChild>
                                    <w:div w:id="2133400723">
                                      <w:marLeft w:val="0"/>
                                      <w:marRight w:val="0"/>
                                      <w:marTop w:val="0"/>
                                      <w:marBottom w:val="405"/>
                                      <w:divBdr>
                                        <w:top w:val="none" w:sz="0" w:space="0" w:color="auto"/>
                                        <w:left w:val="none" w:sz="0" w:space="0" w:color="auto"/>
                                        <w:bottom w:val="none" w:sz="0" w:space="0" w:color="auto"/>
                                        <w:right w:val="none" w:sz="0" w:space="0" w:color="auto"/>
                                      </w:divBdr>
                                      <w:divsChild>
                                        <w:div w:id="1580402902">
                                          <w:marLeft w:val="0"/>
                                          <w:marRight w:val="0"/>
                                          <w:marTop w:val="0"/>
                                          <w:marBottom w:val="0"/>
                                          <w:divBdr>
                                            <w:top w:val="none" w:sz="0" w:space="0" w:color="auto"/>
                                            <w:left w:val="none" w:sz="0" w:space="0" w:color="auto"/>
                                            <w:bottom w:val="none" w:sz="0" w:space="0" w:color="auto"/>
                                            <w:right w:val="none" w:sz="0" w:space="0" w:color="auto"/>
                                          </w:divBdr>
                                          <w:divsChild>
                                            <w:div w:id="1181311622">
                                              <w:marLeft w:val="0"/>
                                              <w:marRight w:val="0"/>
                                              <w:marTop w:val="0"/>
                                              <w:marBottom w:val="0"/>
                                              <w:divBdr>
                                                <w:top w:val="none" w:sz="0" w:space="0" w:color="auto"/>
                                                <w:left w:val="none" w:sz="0" w:space="0" w:color="auto"/>
                                                <w:bottom w:val="none" w:sz="0" w:space="0" w:color="auto"/>
                                                <w:right w:val="none" w:sz="0" w:space="0" w:color="auto"/>
                                              </w:divBdr>
                                              <w:divsChild>
                                                <w:div w:id="1837263871">
                                                  <w:marLeft w:val="0"/>
                                                  <w:marRight w:val="0"/>
                                                  <w:marTop w:val="0"/>
                                                  <w:marBottom w:val="0"/>
                                                  <w:divBdr>
                                                    <w:top w:val="none" w:sz="0" w:space="0" w:color="auto"/>
                                                    <w:left w:val="none" w:sz="0" w:space="0" w:color="auto"/>
                                                    <w:bottom w:val="none" w:sz="0" w:space="0" w:color="auto"/>
                                                    <w:right w:val="none" w:sz="0" w:space="0" w:color="auto"/>
                                                  </w:divBdr>
                                                  <w:divsChild>
                                                    <w:div w:id="1685128355">
                                                      <w:marLeft w:val="0"/>
                                                      <w:marRight w:val="0"/>
                                                      <w:marTop w:val="0"/>
                                                      <w:marBottom w:val="0"/>
                                                      <w:divBdr>
                                                        <w:top w:val="none" w:sz="0" w:space="0" w:color="auto"/>
                                                        <w:left w:val="none" w:sz="0" w:space="0" w:color="auto"/>
                                                        <w:bottom w:val="none" w:sz="0" w:space="0" w:color="auto"/>
                                                        <w:right w:val="none" w:sz="0" w:space="0" w:color="auto"/>
                                                      </w:divBdr>
                                                      <w:divsChild>
                                                        <w:div w:id="391581920">
                                                          <w:marLeft w:val="0"/>
                                                          <w:marRight w:val="0"/>
                                                          <w:marTop w:val="0"/>
                                                          <w:marBottom w:val="0"/>
                                                          <w:divBdr>
                                                            <w:top w:val="none" w:sz="0" w:space="0" w:color="auto"/>
                                                            <w:left w:val="none" w:sz="0" w:space="0" w:color="auto"/>
                                                            <w:bottom w:val="none" w:sz="0" w:space="0" w:color="auto"/>
                                                            <w:right w:val="none" w:sz="0" w:space="0" w:color="auto"/>
                                                          </w:divBdr>
                                                          <w:divsChild>
                                                            <w:div w:id="861938097">
                                                              <w:marLeft w:val="0"/>
                                                              <w:marRight w:val="0"/>
                                                              <w:marTop w:val="0"/>
                                                              <w:marBottom w:val="0"/>
                                                              <w:divBdr>
                                                                <w:top w:val="none" w:sz="0" w:space="0" w:color="auto"/>
                                                                <w:left w:val="none" w:sz="0" w:space="0" w:color="auto"/>
                                                                <w:bottom w:val="none" w:sz="0" w:space="0" w:color="auto"/>
                                                                <w:right w:val="none" w:sz="0" w:space="0" w:color="auto"/>
                                                              </w:divBdr>
                                                              <w:divsChild>
                                                                <w:div w:id="974795644">
                                                                  <w:marLeft w:val="0"/>
                                                                  <w:marRight w:val="0"/>
                                                                  <w:marTop w:val="0"/>
                                                                  <w:marBottom w:val="0"/>
                                                                  <w:divBdr>
                                                                    <w:top w:val="none" w:sz="0" w:space="0" w:color="auto"/>
                                                                    <w:left w:val="none" w:sz="0" w:space="0" w:color="auto"/>
                                                                    <w:bottom w:val="none" w:sz="0" w:space="0" w:color="auto"/>
                                                                    <w:right w:val="none" w:sz="0" w:space="0" w:color="auto"/>
                                                                  </w:divBdr>
                                                                  <w:divsChild>
                                                                    <w:div w:id="1139808723">
                                                                      <w:marLeft w:val="0"/>
                                                                      <w:marRight w:val="0"/>
                                                                      <w:marTop w:val="0"/>
                                                                      <w:marBottom w:val="0"/>
                                                                      <w:divBdr>
                                                                        <w:top w:val="none" w:sz="0" w:space="0" w:color="auto"/>
                                                                        <w:left w:val="none" w:sz="0" w:space="0" w:color="auto"/>
                                                                        <w:bottom w:val="none" w:sz="0" w:space="0" w:color="auto"/>
                                                                        <w:right w:val="none" w:sz="0" w:space="0" w:color="auto"/>
                                                                      </w:divBdr>
                                                                      <w:divsChild>
                                                                        <w:div w:id="96826895">
                                                                          <w:marLeft w:val="0"/>
                                                                          <w:marRight w:val="0"/>
                                                                          <w:marTop w:val="0"/>
                                                                          <w:marBottom w:val="0"/>
                                                                          <w:divBdr>
                                                                            <w:top w:val="none" w:sz="0" w:space="0" w:color="auto"/>
                                                                            <w:left w:val="none" w:sz="0" w:space="0" w:color="auto"/>
                                                                            <w:bottom w:val="none" w:sz="0" w:space="0" w:color="auto"/>
                                                                            <w:right w:val="none" w:sz="0" w:space="0" w:color="auto"/>
                                                                          </w:divBdr>
                                                                          <w:divsChild>
                                                                            <w:div w:id="140658900">
                                                                              <w:marLeft w:val="0"/>
                                                                              <w:marRight w:val="0"/>
                                                                              <w:marTop w:val="0"/>
                                                                              <w:marBottom w:val="0"/>
                                                                              <w:divBdr>
                                                                                <w:top w:val="none" w:sz="0" w:space="0" w:color="auto"/>
                                                                                <w:left w:val="none" w:sz="0" w:space="0" w:color="auto"/>
                                                                                <w:bottom w:val="none" w:sz="0" w:space="0" w:color="auto"/>
                                                                                <w:right w:val="none" w:sz="0" w:space="0" w:color="auto"/>
                                                                              </w:divBdr>
                                                                              <w:divsChild>
                                                                                <w:div w:id="1095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7811176">
      <w:bodyDiv w:val="1"/>
      <w:marLeft w:val="0"/>
      <w:marRight w:val="0"/>
      <w:marTop w:val="0"/>
      <w:marBottom w:val="0"/>
      <w:divBdr>
        <w:top w:val="none" w:sz="0" w:space="0" w:color="auto"/>
        <w:left w:val="none" w:sz="0" w:space="0" w:color="auto"/>
        <w:bottom w:val="none" w:sz="0" w:space="0" w:color="auto"/>
        <w:right w:val="none" w:sz="0" w:space="0" w:color="auto"/>
      </w:divBdr>
    </w:div>
    <w:div w:id="858204855">
      <w:bodyDiv w:val="1"/>
      <w:marLeft w:val="0"/>
      <w:marRight w:val="0"/>
      <w:marTop w:val="0"/>
      <w:marBottom w:val="0"/>
      <w:divBdr>
        <w:top w:val="none" w:sz="0" w:space="0" w:color="auto"/>
        <w:left w:val="none" w:sz="0" w:space="0" w:color="auto"/>
        <w:bottom w:val="none" w:sz="0" w:space="0" w:color="auto"/>
        <w:right w:val="none" w:sz="0" w:space="0" w:color="auto"/>
      </w:divBdr>
    </w:div>
    <w:div w:id="858280966">
      <w:bodyDiv w:val="1"/>
      <w:marLeft w:val="0"/>
      <w:marRight w:val="0"/>
      <w:marTop w:val="0"/>
      <w:marBottom w:val="0"/>
      <w:divBdr>
        <w:top w:val="none" w:sz="0" w:space="0" w:color="auto"/>
        <w:left w:val="none" w:sz="0" w:space="0" w:color="auto"/>
        <w:bottom w:val="none" w:sz="0" w:space="0" w:color="auto"/>
        <w:right w:val="none" w:sz="0" w:space="0" w:color="auto"/>
      </w:divBdr>
    </w:div>
    <w:div w:id="859591851">
      <w:bodyDiv w:val="1"/>
      <w:marLeft w:val="0"/>
      <w:marRight w:val="0"/>
      <w:marTop w:val="0"/>
      <w:marBottom w:val="0"/>
      <w:divBdr>
        <w:top w:val="none" w:sz="0" w:space="0" w:color="auto"/>
        <w:left w:val="none" w:sz="0" w:space="0" w:color="auto"/>
        <w:bottom w:val="none" w:sz="0" w:space="0" w:color="auto"/>
        <w:right w:val="none" w:sz="0" w:space="0" w:color="auto"/>
      </w:divBdr>
    </w:div>
    <w:div w:id="859855737">
      <w:bodyDiv w:val="1"/>
      <w:marLeft w:val="0"/>
      <w:marRight w:val="0"/>
      <w:marTop w:val="0"/>
      <w:marBottom w:val="0"/>
      <w:divBdr>
        <w:top w:val="none" w:sz="0" w:space="0" w:color="auto"/>
        <w:left w:val="none" w:sz="0" w:space="0" w:color="auto"/>
        <w:bottom w:val="none" w:sz="0" w:space="0" w:color="auto"/>
        <w:right w:val="none" w:sz="0" w:space="0" w:color="auto"/>
      </w:divBdr>
    </w:div>
    <w:div w:id="866479742">
      <w:bodyDiv w:val="1"/>
      <w:marLeft w:val="0"/>
      <w:marRight w:val="0"/>
      <w:marTop w:val="0"/>
      <w:marBottom w:val="0"/>
      <w:divBdr>
        <w:top w:val="none" w:sz="0" w:space="0" w:color="auto"/>
        <w:left w:val="none" w:sz="0" w:space="0" w:color="auto"/>
        <w:bottom w:val="none" w:sz="0" w:space="0" w:color="auto"/>
        <w:right w:val="none" w:sz="0" w:space="0" w:color="auto"/>
      </w:divBdr>
    </w:div>
    <w:div w:id="867597444">
      <w:bodyDiv w:val="1"/>
      <w:marLeft w:val="0"/>
      <w:marRight w:val="0"/>
      <w:marTop w:val="0"/>
      <w:marBottom w:val="0"/>
      <w:divBdr>
        <w:top w:val="none" w:sz="0" w:space="0" w:color="auto"/>
        <w:left w:val="none" w:sz="0" w:space="0" w:color="auto"/>
        <w:bottom w:val="none" w:sz="0" w:space="0" w:color="auto"/>
        <w:right w:val="none" w:sz="0" w:space="0" w:color="auto"/>
      </w:divBdr>
    </w:div>
    <w:div w:id="874778480">
      <w:bodyDiv w:val="1"/>
      <w:marLeft w:val="0"/>
      <w:marRight w:val="0"/>
      <w:marTop w:val="0"/>
      <w:marBottom w:val="0"/>
      <w:divBdr>
        <w:top w:val="none" w:sz="0" w:space="0" w:color="auto"/>
        <w:left w:val="none" w:sz="0" w:space="0" w:color="auto"/>
        <w:bottom w:val="none" w:sz="0" w:space="0" w:color="auto"/>
        <w:right w:val="none" w:sz="0" w:space="0" w:color="auto"/>
      </w:divBdr>
    </w:div>
    <w:div w:id="875431281">
      <w:bodyDiv w:val="1"/>
      <w:marLeft w:val="0"/>
      <w:marRight w:val="0"/>
      <w:marTop w:val="0"/>
      <w:marBottom w:val="0"/>
      <w:divBdr>
        <w:top w:val="none" w:sz="0" w:space="0" w:color="auto"/>
        <w:left w:val="none" w:sz="0" w:space="0" w:color="auto"/>
        <w:bottom w:val="none" w:sz="0" w:space="0" w:color="auto"/>
        <w:right w:val="none" w:sz="0" w:space="0" w:color="auto"/>
      </w:divBdr>
    </w:div>
    <w:div w:id="877813844">
      <w:bodyDiv w:val="1"/>
      <w:marLeft w:val="0"/>
      <w:marRight w:val="0"/>
      <w:marTop w:val="0"/>
      <w:marBottom w:val="0"/>
      <w:divBdr>
        <w:top w:val="none" w:sz="0" w:space="0" w:color="auto"/>
        <w:left w:val="none" w:sz="0" w:space="0" w:color="auto"/>
        <w:bottom w:val="none" w:sz="0" w:space="0" w:color="auto"/>
        <w:right w:val="none" w:sz="0" w:space="0" w:color="auto"/>
      </w:divBdr>
    </w:div>
    <w:div w:id="886603578">
      <w:bodyDiv w:val="1"/>
      <w:marLeft w:val="0"/>
      <w:marRight w:val="0"/>
      <w:marTop w:val="0"/>
      <w:marBottom w:val="0"/>
      <w:divBdr>
        <w:top w:val="none" w:sz="0" w:space="0" w:color="auto"/>
        <w:left w:val="none" w:sz="0" w:space="0" w:color="auto"/>
        <w:bottom w:val="none" w:sz="0" w:space="0" w:color="auto"/>
        <w:right w:val="none" w:sz="0" w:space="0" w:color="auto"/>
      </w:divBdr>
    </w:div>
    <w:div w:id="887033100">
      <w:bodyDiv w:val="1"/>
      <w:marLeft w:val="0"/>
      <w:marRight w:val="0"/>
      <w:marTop w:val="0"/>
      <w:marBottom w:val="0"/>
      <w:divBdr>
        <w:top w:val="none" w:sz="0" w:space="0" w:color="auto"/>
        <w:left w:val="none" w:sz="0" w:space="0" w:color="auto"/>
        <w:bottom w:val="none" w:sz="0" w:space="0" w:color="auto"/>
        <w:right w:val="none" w:sz="0" w:space="0" w:color="auto"/>
      </w:divBdr>
      <w:divsChild>
        <w:div w:id="1746149626">
          <w:marLeft w:val="0"/>
          <w:marRight w:val="0"/>
          <w:marTop w:val="0"/>
          <w:marBottom w:val="0"/>
          <w:divBdr>
            <w:top w:val="none" w:sz="0" w:space="0" w:color="auto"/>
            <w:left w:val="none" w:sz="0" w:space="0" w:color="auto"/>
            <w:bottom w:val="none" w:sz="0" w:space="0" w:color="auto"/>
            <w:right w:val="none" w:sz="0" w:space="0" w:color="auto"/>
          </w:divBdr>
          <w:divsChild>
            <w:div w:id="944069684">
              <w:marLeft w:val="0"/>
              <w:marRight w:val="0"/>
              <w:marTop w:val="0"/>
              <w:marBottom w:val="0"/>
              <w:divBdr>
                <w:top w:val="none" w:sz="0" w:space="0" w:color="auto"/>
                <w:left w:val="none" w:sz="0" w:space="0" w:color="auto"/>
                <w:bottom w:val="none" w:sz="0" w:space="0" w:color="auto"/>
                <w:right w:val="none" w:sz="0" w:space="0" w:color="auto"/>
              </w:divBdr>
              <w:divsChild>
                <w:div w:id="787965967">
                  <w:marLeft w:val="0"/>
                  <w:marRight w:val="0"/>
                  <w:marTop w:val="0"/>
                  <w:marBottom w:val="0"/>
                  <w:divBdr>
                    <w:top w:val="none" w:sz="0" w:space="0" w:color="auto"/>
                    <w:left w:val="none" w:sz="0" w:space="0" w:color="auto"/>
                    <w:bottom w:val="none" w:sz="0" w:space="0" w:color="auto"/>
                    <w:right w:val="none" w:sz="0" w:space="0" w:color="auto"/>
                  </w:divBdr>
                  <w:divsChild>
                    <w:div w:id="384111335">
                      <w:marLeft w:val="-120"/>
                      <w:marRight w:val="-120"/>
                      <w:marTop w:val="0"/>
                      <w:marBottom w:val="0"/>
                      <w:divBdr>
                        <w:top w:val="none" w:sz="0" w:space="0" w:color="auto"/>
                        <w:left w:val="none" w:sz="0" w:space="0" w:color="auto"/>
                        <w:bottom w:val="none" w:sz="0" w:space="0" w:color="auto"/>
                        <w:right w:val="none" w:sz="0" w:space="0" w:color="auto"/>
                      </w:divBdr>
                      <w:divsChild>
                        <w:div w:id="1301111442">
                          <w:marLeft w:val="0"/>
                          <w:marRight w:val="0"/>
                          <w:marTop w:val="0"/>
                          <w:marBottom w:val="0"/>
                          <w:divBdr>
                            <w:top w:val="none" w:sz="0" w:space="0" w:color="auto"/>
                            <w:left w:val="none" w:sz="0" w:space="0" w:color="auto"/>
                            <w:bottom w:val="none" w:sz="0" w:space="0" w:color="auto"/>
                            <w:right w:val="none" w:sz="0" w:space="0" w:color="auto"/>
                          </w:divBdr>
                          <w:divsChild>
                            <w:div w:id="693385952">
                              <w:marLeft w:val="-120"/>
                              <w:marRight w:val="-120"/>
                              <w:marTop w:val="0"/>
                              <w:marBottom w:val="0"/>
                              <w:divBdr>
                                <w:top w:val="none" w:sz="0" w:space="0" w:color="auto"/>
                                <w:left w:val="none" w:sz="0" w:space="0" w:color="auto"/>
                                <w:bottom w:val="none" w:sz="0" w:space="0" w:color="auto"/>
                                <w:right w:val="none" w:sz="0" w:space="0" w:color="auto"/>
                              </w:divBdr>
                              <w:divsChild>
                                <w:div w:id="296883279">
                                  <w:marLeft w:val="0"/>
                                  <w:marRight w:val="0"/>
                                  <w:marTop w:val="0"/>
                                  <w:marBottom w:val="0"/>
                                  <w:divBdr>
                                    <w:top w:val="none" w:sz="0" w:space="0" w:color="auto"/>
                                    <w:left w:val="none" w:sz="0" w:space="0" w:color="auto"/>
                                    <w:bottom w:val="none" w:sz="0" w:space="0" w:color="auto"/>
                                    <w:right w:val="none" w:sz="0" w:space="0" w:color="auto"/>
                                  </w:divBdr>
                                  <w:divsChild>
                                    <w:div w:id="1370108271">
                                      <w:marLeft w:val="0"/>
                                      <w:marRight w:val="0"/>
                                      <w:marTop w:val="0"/>
                                      <w:marBottom w:val="0"/>
                                      <w:divBdr>
                                        <w:top w:val="none" w:sz="0" w:space="0" w:color="auto"/>
                                        <w:left w:val="none" w:sz="0" w:space="0" w:color="auto"/>
                                        <w:bottom w:val="none" w:sz="0" w:space="0" w:color="auto"/>
                                        <w:right w:val="none" w:sz="0" w:space="0" w:color="auto"/>
                                      </w:divBdr>
                                      <w:divsChild>
                                        <w:div w:id="1695620097">
                                          <w:marLeft w:val="0"/>
                                          <w:marRight w:val="0"/>
                                          <w:marTop w:val="0"/>
                                          <w:marBottom w:val="0"/>
                                          <w:divBdr>
                                            <w:top w:val="none" w:sz="0" w:space="0" w:color="auto"/>
                                            <w:left w:val="none" w:sz="0" w:space="0" w:color="auto"/>
                                            <w:bottom w:val="none" w:sz="0" w:space="0" w:color="auto"/>
                                            <w:right w:val="none" w:sz="0" w:space="0" w:color="auto"/>
                                          </w:divBdr>
                                          <w:divsChild>
                                            <w:div w:id="11251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8347076">
      <w:bodyDiv w:val="1"/>
      <w:marLeft w:val="0"/>
      <w:marRight w:val="0"/>
      <w:marTop w:val="0"/>
      <w:marBottom w:val="0"/>
      <w:divBdr>
        <w:top w:val="none" w:sz="0" w:space="0" w:color="auto"/>
        <w:left w:val="none" w:sz="0" w:space="0" w:color="auto"/>
        <w:bottom w:val="none" w:sz="0" w:space="0" w:color="auto"/>
        <w:right w:val="none" w:sz="0" w:space="0" w:color="auto"/>
      </w:divBdr>
    </w:div>
    <w:div w:id="889732746">
      <w:bodyDiv w:val="1"/>
      <w:marLeft w:val="0"/>
      <w:marRight w:val="0"/>
      <w:marTop w:val="0"/>
      <w:marBottom w:val="0"/>
      <w:divBdr>
        <w:top w:val="none" w:sz="0" w:space="0" w:color="auto"/>
        <w:left w:val="none" w:sz="0" w:space="0" w:color="auto"/>
        <w:bottom w:val="none" w:sz="0" w:space="0" w:color="auto"/>
        <w:right w:val="none" w:sz="0" w:space="0" w:color="auto"/>
      </w:divBdr>
    </w:div>
    <w:div w:id="892692794">
      <w:bodyDiv w:val="1"/>
      <w:marLeft w:val="0"/>
      <w:marRight w:val="0"/>
      <w:marTop w:val="0"/>
      <w:marBottom w:val="0"/>
      <w:divBdr>
        <w:top w:val="none" w:sz="0" w:space="0" w:color="auto"/>
        <w:left w:val="none" w:sz="0" w:space="0" w:color="auto"/>
        <w:bottom w:val="none" w:sz="0" w:space="0" w:color="auto"/>
        <w:right w:val="none" w:sz="0" w:space="0" w:color="auto"/>
      </w:divBdr>
    </w:div>
    <w:div w:id="892888130">
      <w:bodyDiv w:val="1"/>
      <w:marLeft w:val="0"/>
      <w:marRight w:val="0"/>
      <w:marTop w:val="0"/>
      <w:marBottom w:val="0"/>
      <w:divBdr>
        <w:top w:val="none" w:sz="0" w:space="0" w:color="auto"/>
        <w:left w:val="none" w:sz="0" w:space="0" w:color="auto"/>
        <w:bottom w:val="none" w:sz="0" w:space="0" w:color="auto"/>
        <w:right w:val="none" w:sz="0" w:space="0" w:color="auto"/>
      </w:divBdr>
    </w:div>
    <w:div w:id="893662800">
      <w:bodyDiv w:val="1"/>
      <w:marLeft w:val="0"/>
      <w:marRight w:val="0"/>
      <w:marTop w:val="0"/>
      <w:marBottom w:val="0"/>
      <w:divBdr>
        <w:top w:val="none" w:sz="0" w:space="0" w:color="auto"/>
        <w:left w:val="none" w:sz="0" w:space="0" w:color="auto"/>
        <w:bottom w:val="none" w:sz="0" w:space="0" w:color="auto"/>
        <w:right w:val="none" w:sz="0" w:space="0" w:color="auto"/>
      </w:divBdr>
    </w:div>
    <w:div w:id="894588297">
      <w:bodyDiv w:val="1"/>
      <w:marLeft w:val="0"/>
      <w:marRight w:val="0"/>
      <w:marTop w:val="0"/>
      <w:marBottom w:val="0"/>
      <w:divBdr>
        <w:top w:val="none" w:sz="0" w:space="0" w:color="auto"/>
        <w:left w:val="none" w:sz="0" w:space="0" w:color="auto"/>
        <w:bottom w:val="none" w:sz="0" w:space="0" w:color="auto"/>
        <w:right w:val="none" w:sz="0" w:space="0" w:color="auto"/>
      </w:divBdr>
    </w:div>
    <w:div w:id="894702342">
      <w:bodyDiv w:val="1"/>
      <w:marLeft w:val="0"/>
      <w:marRight w:val="0"/>
      <w:marTop w:val="0"/>
      <w:marBottom w:val="0"/>
      <w:divBdr>
        <w:top w:val="none" w:sz="0" w:space="0" w:color="auto"/>
        <w:left w:val="none" w:sz="0" w:space="0" w:color="auto"/>
        <w:bottom w:val="none" w:sz="0" w:space="0" w:color="auto"/>
        <w:right w:val="none" w:sz="0" w:space="0" w:color="auto"/>
      </w:divBdr>
    </w:div>
    <w:div w:id="894901170">
      <w:bodyDiv w:val="1"/>
      <w:marLeft w:val="0"/>
      <w:marRight w:val="0"/>
      <w:marTop w:val="0"/>
      <w:marBottom w:val="0"/>
      <w:divBdr>
        <w:top w:val="none" w:sz="0" w:space="0" w:color="auto"/>
        <w:left w:val="none" w:sz="0" w:space="0" w:color="auto"/>
        <w:bottom w:val="none" w:sz="0" w:space="0" w:color="auto"/>
        <w:right w:val="none" w:sz="0" w:space="0" w:color="auto"/>
      </w:divBdr>
    </w:div>
    <w:div w:id="899053502">
      <w:bodyDiv w:val="1"/>
      <w:marLeft w:val="0"/>
      <w:marRight w:val="0"/>
      <w:marTop w:val="0"/>
      <w:marBottom w:val="0"/>
      <w:divBdr>
        <w:top w:val="none" w:sz="0" w:space="0" w:color="auto"/>
        <w:left w:val="none" w:sz="0" w:space="0" w:color="auto"/>
        <w:bottom w:val="none" w:sz="0" w:space="0" w:color="auto"/>
        <w:right w:val="none" w:sz="0" w:space="0" w:color="auto"/>
      </w:divBdr>
    </w:div>
    <w:div w:id="899906515">
      <w:bodyDiv w:val="1"/>
      <w:marLeft w:val="0"/>
      <w:marRight w:val="0"/>
      <w:marTop w:val="0"/>
      <w:marBottom w:val="0"/>
      <w:divBdr>
        <w:top w:val="none" w:sz="0" w:space="0" w:color="auto"/>
        <w:left w:val="none" w:sz="0" w:space="0" w:color="auto"/>
        <w:bottom w:val="none" w:sz="0" w:space="0" w:color="auto"/>
        <w:right w:val="none" w:sz="0" w:space="0" w:color="auto"/>
      </w:divBdr>
    </w:div>
    <w:div w:id="900336391">
      <w:bodyDiv w:val="1"/>
      <w:marLeft w:val="0"/>
      <w:marRight w:val="0"/>
      <w:marTop w:val="0"/>
      <w:marBottom w:val="0"/>
      <w:divBdr>
        <w:top w:val="none" w:sz="0" w:space="0" w:color="auto"/>
        <w:left w:val="none" w:sz="0" w:space="0" w:color="auto"/>
        <w:bottom w:val="none" w:sz="0" w:space="0" w:color="auto"/>
        <w:right w:val="none" w:sz="0" w:space="0" w:color="auto"/>
      </w:divBdr>
    </w:div>
    <w:div w:id="901714763">
      <w:bodyDiv w:val="1"/>
      <w:marLeft w:val="0"/>
      <w:marRight w:val="0"/>
      <w:marTop w:val="0"/>
      <w:marBottom w:val="0"/>
      <w:divBdr>
        <w:top w:val="none" w:sz="0" w:space="0" w:color="auto"/>
        <w:left w:val="none" w:sz="0" w:space="0" w:color="auto"/>
        <w:bottom w:val="none" w:sz="0" w:space="0" w:color="auto"/>
        <w:right w:val="none" w:sz="0" w:space="0" w:color="auto"/>
      </w:divBdr>
    </w:div>
    <w:div w:id="908148202">
      <w:bodyDiv w:val="1"/>
      <w:marLeft w:val="0"/>
      <w:marRight w:val="0"/>
      <w:marTop w:val="0"/>
      <w:marBottom w:val="0"/>
      <w:divBdr>
        <w:top w:val="none" w:sz="0" w:space="0" w:color="auto"/>
        <w:left w:val="none" w:sz="0" w:space="0" w:color="auto"/>
        <w:bottom w:val="none" w:sz="0" w:space="0" w:color="auto"/>
        <w:right w:val="none" w:sz="0" w:space="0" w:color="auto"/>
      </w:divBdr>
    </w:div>
    <w:div w:id="908274036">
      <w:bodyDiv w:val="1"/>
      <w:marLeft w:val="0"/>
      <w:marRight w:val="0"/>
      <w:marTop w:val="0"/>
      <w:marBottom w:val="0"/>
      <w:divBdr>
        <w:top w:val="none" w:sz="0" w:space="0" w:color="auto"/>
        <w:left w:val="none" w:sz="0" w:space="0" w:color="auto"/>
        <w:bottom w:val="none" w:sz="0" w:space="0" w:color="auto"/>
        <w:right w:val="none" w:sz="0" w:space="0" w:color="auto"/>
      </w:divBdr>
    </w:div>
    <w:div w:id="910115150">
      <w:bodyDiv w:val="1"/>
      <w:marLeft w:val="0"/>
      <w:marRight w:val="0"/>
      <w:marTop w:val="0"/>
      <w:marBottom w:val="0"/>
      <w:divBdr>
        <w:top w:val="none" w:sz="0" w:space="0" w:color="auto"/>
        <w:left w:val="none" w:sz="0" w:space="0" w:color="auto"/>
        <w:bottom w:val="none" w:sz="0" w:space="0" w:color="auto"/>
        <w:right w:val="none" w:sz="0" w:space="0" w:color="auto"/>
      </w:divBdr>
    </w:div>
    <w:div w:id="912812978">
      <w:bodyDiv w:val="1"/>
      <w:marLeft w:val="0"/>
      <w:marRight w:val="0"/>
      <w:marTop w:val="0"/>
      <w:marBottom w:val="0"/>
      <w:divBdr>
        <w:top w:val="none" w:sz="0" w:space="0" w:color="auto"/>
        <w:left w:val="none" w:sz="0" w:space="0" w:color="auto"/>
        <w:bottom w:val="none" w:sz="0" w:space="0" w:color="auto"/>
        <w:right w:val="none" w:sz="0" w:space="0" w:color="auto"/>
      </w:divBdr>
    </w:div>
    <w:div w:id="916091376">
      <w:bodyDiv w:val="1"/>
      <w:marLeft w:val="0"/>
      <w:marRight w:val="0"/>
      <w:marTop w:val="0"/>
      <w:marBottom w:val="0"/>
      <w:divBdr>
        <w:top w:val="none" w:sz="0" w:space="0" w:color="auto"/>
        <w:left w:val="none" w:sz="0" w:space="0" w:color="auto"/>
        <w:bottom w:val="none" w:sz="0" w:space="0" w:color="auto"/>
        <w:right w:val="none" w:sz="0" w:space="0" w:color="auto"/>
      </w:divBdr>
    </w:div>
    <w:div w:id="916744949">
      <w:bodyDiv w:val="1"/>
      <w:marLeft w:val="0"/>
      <w:marRight w:val="0"/>
      <w:marTop w:val="0"/>
      <w:marBottom w:val="0"/>
      <w:divBdr>
        <w:top w:val="none" w:sz="0" w:space="0" w:color="auto"/>
        <w:left w:val="none" w:sz="0" w:space="0" w:color="auto"/>
        <w:bottom w:val="none" w:sz="0" w:space="0" w:color="auto"/>
        <w:right w:val="none" w:sz="0" w:space="0" w:color="auto"/>
      </w:divBdr>
    </w:div>
    <w:div w:id="918368230">
      <w:bodyDiv w:val="1"/>
      <w:marLeft w:val="0"/>
      <w:marRight w:val="0"/>
      <w:marTop w:val="0"/>
      <w:marBottom w:val="0"/>
      <w:divBdr>
        <w:top w:val="none" w:sz="0" w:space="0" w:color="auto"/>
        <w:left w:val="none" w:sz="0" w:space="0" w:color="auto"/>
        <w:bottom w:val="none" w:sz="0" w:space="0" w:color="auto"/>
        <w:right w:val="none" w:sz="0" w:space="0" w:color="auto"/>
      </w:divBdr>
    </w:div>
    <w:div w:id="919825853">
      <w:bodyDiv w:val="1"/>
      <w:marLeft w:val="0"/>
      <w:marRight w:val="0"/>
      <w:marTop w:val="0"/>
      <w:marBottom w:val="0"/>
      <w:divBdr>
        <w:top w:val="none" w:sz="0" w:space="0" w:color="auto"/>
        <w:left w:val="none" w:sz="0" w:space="0" w:color="auto"/>
        <w:bottom w:val="none" w:sz="0" w:space="0" w:color="auto"/>
        <w:right w:val="none" w:sz="0" w:space="0" w:color="auto"/>
      </w:divBdr>
    </w:div>
    <w:div w:id="920717869">
      <w:bodyDiv w:val="1"/>
      <w:marLeft w:val="0"/>
      <w:marRight w:val="0"/>
      <w:marTop w:val="0"/>
      <w:marBottom w:val="0"/>
      <w:divBdr>
        <w:top w:val="none" w:sz="0" w:space="0" w:color="auto"/>
        <w:left w:val="none" w:sz="0" w:space="0" w:color="auto"/>
        <w:bottom w:val="none" w:sz="0" w:space="0" w:color="auto"/>
        <w:right w:val="none" w:sz="0" w:space="0" w:color="auto"/>
      </w:divBdr>
    </w:div>
    <w:div w:id="921185157">
      <w:bodyDiv w:val="1"/>
      <w:marLeft w:val="0"/>
      <w:marRight w:val="0"/>
      <w:marTop w:val="0"/>
      <w:marBottom w:val="0"/>
      <w:divBdr>
        <w:top w:val="none" w:sz="0" w:space="0" w:color="auto"/>
        <w:left w:val="none" w:sz="0" w:space="0" w:color="auto"/>
        <w:bottom w:val="none" w:sz="0" w:space="0" w:color="auto"/>
        <w:right w:val="none" w:sz="0" w:space="0" w:color="auto"/>
      </w:divBdr>
    </w:div>
    <w:div w:id="921452900">
      <w:bodyDiv w:val="1"/>
      <w:marLeft w:val="0"/>
      <w:marRight w:val="0"/>
      <w:marTop w:val="0"/>
      <w:marBottom w:val="0"/>
      <w:divBdr>
        <w:top w:val="none" w:sz="0" w:space="0" w:color="auto"/>
        <w:left w:val="none" w:sz="0" w:space="0" w:color="auto"/>
        <w:bottom w:val="none" w:sz="0" w:space="0" w:color="auto"/>
        <w:right w:val="none" w:sz="0" w:space="0" w:color="auto"/>
      </w:divBdr>
    </w:div>
    <w:div w:id="922027221">
      <w:bodyDiv w:val="1"/>
      <w:marLeft w:val="0"/>
      <w:marRight w:val="0"/>
      <w:marTop w:val="0"/>
      <w:marBottom w:val="0"/>
      <w:divBdr>
        <w:top w:val="none" w:sz="0" w:space="0" w:color="auto"/>
        <w:left w:val="none" w:sz="0" w:space="0" w:color="auto"/>
        <w:bottom w:val="none" w:sz="0" w:space="0" w:color="auto"/>
        <w:right w:val="none" w:sz="0" w:space="0" w:color="auto"/>
      </w:divBdr>
    </w:div>
    <w:div w:id="928194352">
      <w:bodyDiv w:val="1"/>
      <w:marLeft w:val="0"/>
      <w:marRight w:val="0"/>
      <w:marTop w:val="0"/>
      <w:marBottom w:val="0"/>
      <w:divBdr>
        <w:top w:val="none" w:sz="0" w:space="0" w:color="auto"/>
        <w:left w:val="none" w:sz="0" w:space="0" w:color="auto"/>
        <w:bottom w:val="none" w:sz="0" w:space="0" w:color="auto"/>
        <w:right w:val="none" w:sz="0" w:space="0" w:color="auto"/>
      </w:divBdr>
    </w:div>
    <w:div w:id="930939219">
      <w:bodyDiv w:val="1"/>
      <w:marLeft w:val="0"/>
      <w:marRight w:val="0"/>
      <w:marTop w:val="0"/>
      <w:marBottom w:val="0"/>
      <w:divBdr>
        <w:top w:val="none" w:sz="0" w:space="0" w:color="auto"/>
        <w:left w:val="none" w:sz="0" w:space="0" w:color="auto"/>
        <w:bottom w:val="none" w:sz="0" w:space="0" w:color="auto"/>
        <w:right w:val="none" w:sz="0" w:space="0" w:color="auto"/>
      </w:divBdr>
    </w:div>
    <w:div w:id="933055474">
      <w:bodyDiv w:val="1"/>
      <w:marLeft w:val="0"/>
      <w:marRight w:val="0"/>
      <w:marTop w:val="0"/>
      <w:marBottom w:val="0"/>
      <w:divBdr>
        <w:top w:val="none" w:sz="0" w:space="0" w:color="auto"/>
        <w:left w:val="none" w:sz="0" w:space="0" w:color="auto"/>
        <w:bottom w:val="none" w:sz="0" w:space="0" w:color="auto"/>
        <w:right w:val="none" w:sz="0" w:space="0" w:color="auto"/>
      </w:divBdr>
    </w:div>
    <w:div w:id="937906573">
      <w:bodyDiv w:val="1"/>
      <w:marLeft w:val="0"/>
      <w:marRight w:val="0"/>
      <w:marTop w:val="0"/>
      <w:marBottom w:val="0"/>
      <w:divBdr>
        <w:top w:val="none" w:sz="0" w:space="0" w:color="auto"/>
        <w:left w:val="none" w:sz="0" w:space="0" w:color="auto"/>
        <w:bottom w:val="none" w:sz="0" w:space="0" w:color="auto"/>
        <w:right w:val="none" w:sz="0" w:space="0" w:color="auto"/>
      </w:divBdr>
    </w:div>
    <w:div w:id="938172157">
      <w:bodyDiv w:val="1"/>
      <w:marLeft w:val="0"/>
      <w:marRight w:val="0"/>
      <w:marTop w:val="0"/>
      <w:marBottom w:val="0"/>
      <w:divBdr>
        <w:top w:val="none" w:sz="0" w:space="0" w:color="auto"/>
        <w:left w:val="none" w:sz="0" w:space="0" w:color="auto"/>
        <w:bottom w:val="none" w:sz="0" w:space="0" w:color="auto"/>
        <w:right w:val="none" w:sz="0" w:space="0" w:color="auto"/>
      </w:divBdr>
    </w:div>
    <w:div w:id="940262050">
      <w:bodyDiv w:val="1"/>
      <w:marLeft w:val="0"/>
      <w:marRight w:val="0"/>
      <w:marTop w:val="0"/>
      <w:marBottom w:val="0"/>
      <w:divBdr>
        <w:top w:val="none" w:sz="0" w:space="0" w:color="auto"/>
        <w:left w:val="none" w:sz="0" w:space="0" w:color="auto"/>
        <w:bottom w:val="none" w:sz="0" w:space="0" w:color="auto"/>
        <w:right w:val="none" w:sz="0" w:space="0" w:color="auto"/>
      </w:divBdr>
    </w:div>
    <w:div w:id="940383169">
      <w:bodyDiv w:val="1"/>
      <w:marLeft w:val="0"/>
      <w:marRight w:val="0"/>
      <w:marTop w:val="0"/>
      <w:marBottom w:val="0"/>
      <w:divBdr>
        <w:top w:val="none" w:sz="0" w:space="0" w:color="auto"/>
        <w:left w:val="none" w:sz="0" w:space="0" w:color="auto"/>
        <w:bottom w:val="none" w:sz="0" w:space="0" w:color="auto"/>
        <w:right w:val="none" w:sz="0" w:space="0" w:color="auto"/>
      </w:divBdr>
    </w:div>
    <w:div w:id="941182780">
      <w:bodyDiv w:val="1"/>
      <w:marLeft w:val="0"/>
      <w:marRight w:val="0"/>
      <w:marTop w:val="0"/>
      <w:marBottom w:val="0"/>
      <w:divBdr>
        <w:top w:val="none" w:sz="0" w:space="0" w:color="auto"/>
        <w:left w:val="none" w:sz="0" w:space="0" w:color="auto"/>
        <w:bottom w:val="none" w:sz="0" w:space="0" w:color="auto"/>
        <w:right w:val="none" w:sz="0" w:space="0" w:color="auto"/>
      </w:divBdr>
    </w:div>
    <w:div w:id="943342308">
      <w:bodyDiv w:val="1"/>
      <w:marLeft w:val="0"/>
      <w:marRight w:val="0"/>
      <w:marTop w:val="0"/>
      <w:marBottom w:val="0"/>
      <w:divBdr>
        <w:top w:val="none" w:sz="0" w:space="0" w:color="auto"/>
        <w:left w:val="none" w:sz="0" w:space="0" w:color="auto"/>
        <w:bottom w:val="none" w:sz="0" w:space="0" w:color="auto"/>
        <w:right w:val="none" w:sz="0" w:space="0" w:color="auto"/>
      </w:divBdr>
    </w:div>
    <w:div w:id="944654225">
      <w:bodyDiv w:val="1"/>
      <w:marLeft w:val="0"/>
      <w:marRight w:val="0"/>
      <w:marTop w:val="0"/>
      <w:marBottom w:val="0"/>
      <w:divBdr>
        <w:top w:val="none" w:sz="0" w:space="0" w:color="auto"/>
        <w:left w:val="none" w:sz="0" w:space="0" w:color="auto"/>
        <w:bottom w:val="none" w:sz="0" w:space="0" w:color="auto"/>
        <w:right w:val="none" w:sz="0" w:space="0" w:color="auto"/>
      </w:divBdr>
    </w:div>
    <w:div w:id="944701681">
      <w:bodyDiv w:val="1"/>
      <w:marLeft w:val="0"/>
      <w:marRight w:val="0"/>
      <w:marTop w:val="0"/>
      <w:marBottom w:val="0"/>
      <w:divBdr>
        <w:top w:val="none" w:sz="0" w:space="0" w:color="auto"/>
        <w:left w:val="none" w:sz="0" w:space="0" w:color="auto"/>
        <w:bottom w:val="none" w:sz="0" w:space="0" w:color="auto"/>
        <w:right w:val="none" w:sz="0" w:space="0" w:color="auto"/>
      </w:divBdr>
    </w:div>
    <w:div w:id="947395349">
      <w:bodyDiv w:val="1"/>
      <w:marLeft w:val="0"/>
      <w:marRight w:val="0"/>
      <w:marTop w:val="0"/>
      <w:marBottom w:val="0"/>
      <w:divBdr>
        <w:top w:val="none" w:sz="0" w:space="0" w:color="auto"/>
        <w:left w:val="none" w:sz="0" w:space="0" w:color="auto"/>
        <w:bottom w:val="none" w:sz="0" w:space="0" w:color="auto"/>
        <w:right w:val="none" w:sz="0" w:space="0" w:color="auto"/>
      </w:divBdr>
    </w:div>
    <w:div w:id="951208064">
      <w:bodyDiv w:val="1"/>
      <w:marLeft w:val="0"/>
      <w:marRight w:val="0"/>
      <w:marTop w:val="0"/>
      <w:marBottom w:val="0"/>
      <w:divBdr>
        <w:top w:val="none" w:sz="0" w:space="0" w:color="auto"/>
        <w:left w:val="none" w:sz="0" w:space="0" w:color="auto"/>
        <w:bottom w:val="none" w:sz="0" w:space="0" w:color="auto"/>
        <w:right w:val="none" w:sz="0" w:space="0" w:color="auto"/>
      </w:divBdr>
    </w:div>
    <w:div w:id="954597998">
      <w:bodyDiv w:val="1"/>
      <w:marLeft w:val="0"/>
      <w:marRight w:val="0"/>
      <w:marTop w:val="0"/>
      <w:marBottom w:val="0"/>
      <w:divBdr>
        <w:top w:val="none" w:sz="0" w:space="0" w:color="auto"/>
        <w:left w:val="none" w:sz="0" w:space="0" w:color="auto"/>
        <w:bottom w:val="none" w:sz="0" w:space="0" w:color="auto"/>
        <w:right w:val="none" w:sz="0" w:space="0" w:color="auto"/>
      </w:divBdr>
    </w:div>
    <w:div w:id="954796724">
      <w:bodyDiv w:val="1"/>
      <w:marLeft w:val="0"/>
      <w:marRight w:val="0"/>
      <w:marTop w:val="0"/>
      <w:marBottom w:val="0"/>
      <w:divBdr>
        <w:top w:val="none" w:sz="0" w:space="0" w:color="auto"/>
        <w:left w:val="none" w:sz="0" w:space="0" w:color="auto"/>
        <w:bottom w:val="none" w:sz="0" w:space="0" w:color="auto"/>
        <w:right w:val="none" w:sz="0" w:space="0" w:color="auto"/>
      </w:divBdr>
    </w:div>
    <w:div w:id="954870828">
      <w:bodyDiv w:val="1"/>
      <w:marLeft w:val="0"/>
      <w:marRight w:val="0"/>
      <w:marTop w:val="0"/>
      <w:marBottom w:val="0"/>
      <w:divBdr>
        <w:top w:val="none" w:sz="0" w:space="0" w:color="auto"/>
        <w:left w:val="none" w:sz="0" w:space="0" w:color="auto"/>
        <w:bottom w:val="none" w:sz="0" w:space="0" w:color="auto"/>
        <w:right w:val="none" w:sz="0" w:space="0" w:color="auto"/>
      </w:divBdr>
    </w:div>
    <w:div w:id="956259655">
      <w:bodyDiv w:val="1"/>
      <w:marLeft w:val="0"/>
      <w:marRight w:val="0"/>
      <w:marTop w:val="0"/>
      <w:marBottom w:val="0"/>
      <w:divBdr>
        <w:top w:val="none" w:sz="0" w:space="0" w:color="auto"/>
        <w:left w:val="none" w:sz="0" w:space="0" w:color="auto"/>
        <w:bottom w:val="none" w:sz="0" w:space="0" w:color="auto"/>
        <w:right w:val="none" w:sz="0" w:space="0" w:color="auto"/>
      </w:divBdr>
    </w:div>
    <w:div w:id="956988936">
      <w:bodyDiv w:val="1"/>
      <w:marLeft w:val="0"/>
      <w:marRight w:val="0"/>
      <w:marTop w:val="0"/>
      <w:marBottom w:val="0"/>
      <w:divBdr>
        <w:top w:val="none" w:sz="0" w:space="0" w:color="auto"/>
        <w:left w:val="none" w:sz="0" w:space="0" w:color="auto"/>
        <w:bottom w:val="none" w:sz="0" w:space="0" w:color="auto"/>
        <w:right w:val="none" w:sz="0" w:space="0" w:color="auto"/>
      </w:divBdr>
    </w:div>
    <w:div w:id="957954790">
      <w:bodyDiv w:val="1"/>
      <w:marLeft w:val="0"/>
      <w:marRight w:val="0"/>
      <w:marTop w:val="0"/>
      <w:marBottom w:val="0"/>
      <w:divBdr>
        <w:top w:val="none" w:sz="0" w:space="0" w:color="auto"/>
        <w:left w:val="none" w:sz="0" w:space="0" w:color="auto"/>
        <w:bottom w:val="none" w:sz="0" w:space="0" w:color="auto"/>
        <w:right w:val="none" w:sz="0" w:space="0" w:color="auto"/>
      </w:divBdr>
    </w:div>
    <w:div w:id="958101540">
      <w:bodyDiv w:val="1"/>
      <w:marLeft w:val="0"/>
      <w:marRight w:val="0"/>
      <w:marTop w:val="0"/>
      <w:marBottom w:val="0"/>
      <w:divBdr>
        <w:top w:val="none" w:sz="0" w:space="0" w:color="auto"/>
        <w:left w:val="none" w:sz="0" w:space="0" w:color="auto"/>
        <w:bottom w:val="none" w:sz="0" w:space="0" w:color="auto"/>
        <w:right w:val="none" w:sz="0" w:space="0" w:color="auto"/>
      </w:divBdr>
    </w:div>
    <w:div w:id="959916408">
      <w:bodyDiv w:val="1"/>
      <w:marLeft w:val="0"/>
      <w:marRight w:val="0"/>
      <w:marTop w:val="0"/>
      <w:marBottom w:val="0"/>
      <w:divBdr>
        <w:top w:val="none" w:sz="0" w:space="0" w:color="auto"/>
        <w:left w:val="none" w:sz="0" w:space="0" w:color="auto"/>
        <w:bottom w:val="none" w:sz="0" w:space="0" w:color="auto"/>
        <w:right w:val="none" w:sz="0" w:space="0" w:color="auto"/>
      </w:divBdr>
    </w:div>
    <w:div w:id="959992237">
      <w:bodyDiv w:val="1"/>
      <w:marLeft w:val="0"/>
      <w:marRight w:val="0"/>
      <w:marTop w:val="0"/>
      <w:marBottom w:val="0"/>
      <w:divBdr>
        <w:top w:val="none" w:sz="0" w:space="0" w:color="auto"/>
        <w:left w:val="none" w:sz="0" w:space="0" w:color="auto"/>
        <w:bottom w:val="none" w:sz="0" w:space="0" w:color="auto"/>
        <w:right w:val="none" w:sz="0" w:space="0" w:color="auto"/>
      </w:divBdr>
    </w:div>
    <w:div w:id="963079654">
      <w:bodyDiv w:val="1"/>
      <w:marLeft w:val="0"/>
      <w:marRight w:val="0"/>
      <w:marTop w:val="0"/>
      <w:marBottom w:val="0"/>
      <w:divBdr>
        <w:top w:val="none" w:sz="0" w:space="0" w:color="auto"/>
        <w:left w:val="none" w:sz="0" w:space="0" w:color="auto"/>
        <w:bottom w:val="none" w:sz="0" w:space="0" w:color="auto"/>
        <w:right w:val="none" w:sz="0" w:space="0" w:color="auto"/>
      </w:divBdr>
    </w:div>
    <w:div w:id="963730884">
      <w:bodyDiv w:val="1"/>
      <w:marLeft w:val="0"/>
      <w:marRight w:val="0"/>
      <w:marTop w:val="0"/>
      <w:marBottom w:val="0"/>
      <w:divBdr>
        <w:top w:val="none" w:sz="0" w:space="0" w:color="auto"/>
        <w:left w:val="none" w:sz="0" w:space="0" w:color="auto"/>
        <w:bottom w:val="none" w:sz="0" w:space="0" w:color="auto"/>
        <w:right w:val="none" w:sz="0" w:space="0" w:color="auto"/>
      </w:divBdr>
    </w:div>
    <w:div w:id="969824517">
      <w:bodyDiv w:val="1"/>
      <w:marLeft w:val="0"/>
      <w:marRight w:val="0"/>
      <w:marTop w:val="0"/>
      <w:marBottom w:val="0"/>
      <w:divBdr>
        <w:top w:val="none" w:sz="0" w:space="0" w:color="auto"/>
        <w:left w:val="none" w:sz="0" w:space="0" w:color="auto"/>
        <w:bottom w:val="none" w:sz="0" w:space="0" w:color="auto"/>
        <w:right w:val="none" w:sz="0" w:space="0" w:color="auto"/>
      </w:divBdr>
    </w:div>
    <w:div w:id="980696392">
      <w:bodyDiv w:val="1"/>
      <w:marLeft w:val="0"/>
      <w:marRight w:val="0"/>
      <w:marTop w:val="0"/>
      <w:marBottom w:val="0"/>
      <w:divBdr>
        <w:top w:val="none" w:sz="0" w:space="0" w:color="auto"/>
        <w:left w:val="none" w:sz="0" w:space="0" w:color="auto"/>
        <w:bottom w:val="none" w:sz="0" w:space="0" w:color="auto"/>
        <w:right w:val="none" w:sz="0" w:space="0" w:color="auto"/>
      </w:divBdr>
    </w:div>
    <w:div w:id="981151469">
      <w:bodyDiv w:val="1"/>
      <w:marLeft w:val="0"/>
      <w:marRight w:val="0"/>
      <w:marTop w:val="0"/>
      <w:marBottom w:val="0"/>
      <w:divBdr>
        <w:top w:val="none" w:sz="0" w:space="0" w:color="auto"/>
        <w:left w:val="none" w:sz="0" w:space="0" w:color="auto"/>
        <w:bottom w:val="none" w:sz="0" w:space="0" w:color="auto"/>
        <w:right w:val="none" w:sz="0" w:space="0" w:color="auto"/>
      </w:divBdr>
    </w:div>
    <w:div w:id="981814947">
      <w:bodyDiv w:val="1"/>
      <w:marLeft w:val="0"/>
      <w:marRight w:val="0"/>
      <w:marTop w:val="0"/>
      <w:marBottom w:val="0"/>
      <w:divBdr>
        <w:top w:val="none" w:sz="0" w:space="0" w:color="auto"/>
        <w:left w:val="none" w:sz="0" w:space="0" w:color="auto"/>
        <w:bottom w:val="none" w:sz="0" w:space="0" w:color="auto"/>
        <w:right w:val="none" w:sz="0" w:space="0" w:color="auto"/>
      </w:divBdr>
    </w:div>
    <w:div w:id="981926740">
      <w:bodyDiv w:val="1"/>
      <w:marLeft w:val="0"/>
      <w:marRight w:val="0"/>
      <w:marTop w:val="0"/>
      <w:marBottom w:val="0"/>
      <w:divBdr>
        <w:top w:val="none" w:sz="0" w:space="0" w:color="auto"/>
        <w:left w:val="none" w:sz="0" w:space="0" w:color="auto"/>
        <w:bottom w:val="none" w:sz="0" w:space="0" w:color="auto"/>
        <w:right w:val="none" w:sz="0" w:space="0" w:color="auto"/>
      </w:divBdr>
    </w:div>
    <w:div w:id="983044954">
      <w:bodyDiv w:val="1"/>
      <w:marLeft w:val="0"/>
      <w:marRight w:val="0"/>
      <w:marTop w:val="0"/>
      <w:marBottom w:val="0"/>
      <w:divBdr>
        <w:top w:val="none" w:sz="0" w:space="0" w:color="auto"/>
        <w:left w:val="none" w:sz="0" w:space="0" w:color="auto"/>
        <w:bottom w:val="none" w:sz="0" w:space="0" w:color="auto"/>
        <w:right w:val="none" w:sz="0" w:space="0" w:color="auto"/>
      </w:divBdr>
    </w:div>
    <w:div w:id="984819219">
      <w:bodyDiv w:val="1"/>
      <w:marLeft w:val="0"/>
      <w:marRight w:val="0"/>
      <w:marTop w:val="0"/>
      <w:marBottom w:val="0"/>
      <w:divBdr>
        <w:top w:val="none" w:sz="0" w:space="0" w:color="auto"/>
        <w:left w:val="none" w:sz="0" w:space="0" w:color="auto"/>
        <w:bottom w:val="none" w:sz="0" w:space="0" w:color="auto"/>
        <w:right w:val="none" w:sz="0" w:space="0" w:color="auto"/>
      </w:divBdr>
    </w:div>
    <w:div w:id="989794075">
      <w:bodyDiv w:val="1"/>
      <w:marLeft w:val="0"/>
      <w:marRight w:val="0"/>
      <w:marTop w:val="0"/>
      <w:marBottom w:val="0"/>
      <w:divBdr>
        <w:top w:val="none" w:sz="0" w:space="0" w:color="auto"/>
        <w:left w:val="none" w:sz="0" w:space="0" w:color="auto"/>
        <w:bottom w:val="none" w:sz="0" w:space="0" w:color="auto"/>
        <w:right w:val="none" w:sz="0" w:space="0" w:color="auto"/>
      </w:divBdr>
    </w:div>
    <w:div w:id="989941786">
      <w:bodyDiv w:val="1"/>
      <w:marLeft w:val="0"/>
      <w:marRight w:val="0"/>
      <w:marTop w:val="0"/>
      <w:marBottom w:val="0"/>
      <w:divBdr>
        <w:top w:val="none" w:sz="0" w:space="0" w:color="auto"/>
        <w:left w:val="none" w:sz="0" w:space="0" w:color="auto"/>
        <w:bottom w:val="none" w:sz="0" w:space="0" w:color="auto"/>
        <w:right w:val="none" w:sz="0" w:space="0" w:color="auto"/>
      </w:divBdr>
    </w:div>
    <w:div w:id="995064153">
      <w:bodyDiv w:val="1"/>
      <w:marLeft w:val="0"/>
      <w:marRight w:val="0"/>
      <w:marTop w:val="0"/>
      <w:marBottom w:val="0"/>
      <w:divBdr>
        <w:top w:val="none" w:sz="0" w:space="0" w:color="auto"/>
        <w:left w:val="none" w:sz="0" w:space="0" w:color="auto"/>
        <w:bottom w:val="none" w:sz="0" w:space="0" w:color="auto"/>
        <w:right w:val="none" w:sz="0" w:space="0" w:color="auto"/>
      </w:divBdr>
    </w:div>
    <w:div w:id="999115278">
      <w:bodyDiv w:val="1"/>
      <w:marLeft w:val="0"/>
      <w:marRight w:val="0"/>
      <w:marTop w:val="0"/>
      <w:marBottom w:val="0"/>
      <w:divBdr>
        <w:top w:val="none" w:sz="0" w:space="0" w:color="auto"/>
        <w:left w:val="none" w:sz="0" w:space="0" w:color="auto"/>
        <w:bottom w:val="none" w:sz="0" w:space="0" w:color="auto"/>
        <w:right w:val="none" w:sz="0" w:space="0" w:color="auto"/>
      </w:divBdr>
    </w:div>
    <w:div w:id="1000617514">
      <w:bodyDiv w:val="1"/>
      <w:marLeft w:val="0"/>
      <w:marRight w:val="0"/>
      <w:marTop w:val="0"/>
      <w:marBottom w:val="0"/>
      <w:divBdr>
        <w:top w:val="none" w:sz="0" w:space="0" w:color="auto"/>
        <w:left w:val="none" w:sz="0" w:space="0" w:color="auto"/>
        <w:bottom w:val="none" w:sz="0" w:space="0" w:color="auto"/>
        <w:right w:val="none" w:sz="0" w:space="0" w:color="auto"/>
      </w:divBdr>
    </w:div>
    <w:div w:id="1001851984">
      <w:bodyDiv w:val="1"/>
      <w:marLeft w:val="0"/>
      <w:marRight w:val="0"/>
      <w:marTop w:val="0"/>
      <w:marBottom w:val="0"/>
      <w:divBdr>
        <w:top w:val="none" w:sz="0" w:space="0" w:color="auto"/>
        <w:left w:val="none" w:sz="0" w:space="0" w:color="auto"/>
        <w:bottom w:val="none" w:sz="0" w:space="0" w:color="auto"/>
        <w:right w:val="none" w:sz="0" w:space="0" w:color="auto"/>
      </w:divBdr>
    </w:div>
    <w:div w:id="1002859063">
      <w:bodyDiv w:val="1"/>
      <w:marLeft w:val="0"/>
      <w:marRight w:val="0"/>
      <w:marTop w:val="0"/>
      <w:marBottom w:val="0"/>
      <w:divBdr>
        <w:top w:val="none" w:sz="0" w:space="0" w:color="auto"/>
        <w:left w:val="none" w:sz="0" w:space="0" w:color="auto"/>
        <w:bottom w:val="none" w:sz="0" w:space="0" w:color="auto"/>
        <w:right w:val="none" w:sz="0" w:space="0" w:color="auto"/>
      </w:divBdr>
    </w:div>
    <w:div w:id="1003583282">
      <w:bodyDiv w:val="1"/>
      <w:marLeft w:val="0"/>
      <w:marRight w:val="0"/>
      <w:marTop w:val="0"/>
      <w:marBottom w:val="0"/>
      <w:divBdr>
        <w:top w:val="none" w:sz="0" w:space="0" w:color="auto"/>
        <w:left w:val="none" w:sz="0" w:space="0" w:color="auto"/>
        <w:bottom w:val="none" w:sz="0" w:space="0" w:color="auto"/>
        <w:right w:val="none" w:sz="0" w:space="0" w:color="auto"/>
      </w:divBdr>
    </w:div>
    <w:div w:id="1004941649">
      <w:bodyDiv w:val="1"/>
      <w:marLeft w:val="0"/>
      <w:marRight w:val="0"/>
      <w:marTop w:val="0"/>
      <w:marBottom w:val="0"/>
      <w:divBdr>
        <w:top w:val="none" w:sz="0" w:space="0" w:color="auto"/>
        <w:left w:val="none" w:sz="0" w:space="0" w:color="auto"/>
        <w:bottom w:val="none" w:sz="0" w:space="0" w:color="auto"/>
        <w:right w:val="none" w:sz="0" w:space="0" w:color="auto"/>
      </w:divBdr>
    </w:div>
    <w:div w:id="1005130229">
      <w:bodyDiv w:val="1"/>
      <w:marLeft w:val="0"/>
      <w:marRight w:val="0"/>
      <w:marTop w:val="0"/>
      <w:marBottom w:val="0"/>
      <w:divBdr>
        <w:top w:val="none" w:sz="0" w:space="0" w:color="auto"/>
        <w:left w:val="none" w:sz="0" w:space="0" w:color="auto"/>
        <w:bottom w:val="none" w:sz="0" w:space="0" w:color="auto"/>
        <w:right w:val="none" w:sz="0" w:space="0" w:color="auto"/>
      </w:divBdr>
    </w:div>
    <w:div w:id="1008168664">
      <w:bodyDiv w:val="1"/>
      <w:marLeft w:val="0"/>
      <w:marRight w:val="0"/>
      <w:marTop w:val="0"/>
      <w:marBottom w:val="0"/>
      <w:divBdr>
        <w:top w:val="none" w:sz="0" w:space="0" w:color="auto"/>
        <w:left w:val="none" w:sz="0" w:space="0" w:color="auto"/>
        <w:bottom w:val="none" w:sz="0" w:space="0" w:color="auto"/>
        <w:right w:val="none" w:sz="0" w:space="0" w:color="auto"/>
      </w:divBdr>
      <w:divsChild>
        <w:div w:id="1615332317">
          <w:marLeft w:val="0"/>
          <w:marRight w:val="0"/>
          <w:marTop w:val="0"/>
          <w:marBottom w:val="0"/>
          <w:divBdr>
            <w:top w:val="none" w:sz="0" w:space="0" w:color="auto"/>
            <w:left w:val="none" w:sz="0" w:space="0" w:color="auto"/>
            <w:bottom w:val="none" w:sz="0" w:space="0" w:color="auto"/>
            <w:right w:val="none" w:sz="0" w:space="0" w:color="auto"/>
          </w:divBdr>
          <w:divsChild>
            <w:div w:id="991107590">
              <w:marLeft w:val="0"/>
              <w:marRight w:val="0"/>
              <w:marTop w:val="0"/>
              <w:marBottom w:val="0"/>
              <w:divBdr>
                <w:top w:val="none" w:sz="0" w:space="0" w:color="auto"/>
                <w:left w:val="none" w:sz="0" w:space="0" w:color="auto"/>
                <w:bottom w:val="none" w:sz="0" w:space="0" w:color="auto"/>
                <w:right w:val="none" w:sz="0" w:space="0" w:color="auto"/>
              </w:divBdr>
              <w:divsChild>
                <w:div w:id="244340417">
                  <w:marLeft w:val="0"/>
                  <w:marRight w:val="0"/>
                  <w:marTop w:val="0"/>
                  <w:marBottom w:val="0"/>
                  <w:divBdr>
                    <w:top w:val="none" w:sz="0" w:space="0" w:color="auto"/>
                    <w:left w:val="none" w:sz="0" w:space="0" w:color="auto"/>
                    <w:bottom w:val="none" w:sz="0" w:space="0" w:color="auto"/>
                    <w:right w:val="none" w:sz="0" w:space="0" w:color="auto"/>
                  </w:divBdr>
                  <w:divsChild>
                    <w:div w:id="1044872411">
                      <w:marLeft w:val="0"/>
                      <w:marRight w:val="0"/>
                      <w:marTop w:val="0"/>
                      <w:marBottom w:val="0"/>
                      <w:divBdr>
                        <w:top w:val="none" w:sz="0" w:space="0" w:color="auto"/>
                        <w:left w:val="none" w:sz="0" w:space="0" w:color="auto"/>
                        <w:bottom w:val="none" w:sz="0" w:space="0" w:color="auto"/>
                        <w:right w:val="none" w:sz="0" w:space="0" w:color="auto"/>
                      </w:divBdr>
                      <w:divsChild>
                        <w:div w:id="2033605920">
                          <w:marLeft w:val="0"/>
                          <w:marRight w:val="0"/>
                          <w:marTop w:val="0"/>
                          <w:marBottom w:val="0"/>
                          <w:divBdr>
                            <w:top w:val="none" w:sz="0" w:space="0" w:color="auto"/>
                            <w:left w:val="none" w:sz="0" w:space="0" w:color="auto"/>
                            <w:bottom w:val="none" w:sz="0" w:space="0" w:color="auto"/>
                            <w:right w:val="none" w:sz="0" w:space="0" w:color="auto"/>
                          </w:divBdr>
                          <w:divsChild>
                            <w:div w:id="1259173539">
                              <w:marLeft w:val="0"/>
                              <w:marRight w:val="0"/>
                              <w:marTop w:val="0"/>
                              <w:marBottom w:val="0"/>
                              <w:divBdr>
                                <w:top w:val="none" w:sz="0" w:space="0" w:color="auto"/>
                                <w:left w:val="none" w:sz="0" w:space="0" w:color="auto"/>
                                <w:bottom w:val="none" w:sz="0" w:space="0" w:color="auto"/>
                                <w:right w:val="none" w:sz="0" w:space="0" w:color="auto"/>
                              </w:divBdr>
                              <w:divsChild>
                                <w:div w:id="773403230">
                                  <w:marLeft w:val="0"/>
                                  <w:marRight w:val="0"/>
                                  <w:marTop w:val="0"/>
                                  <w:marBottom w:val="0"/>
                                  <w:divBdr>
                                    <w:top w:val="none" w:sz="0" w:space="0" w:color="auto"/>
                                    <w:left w:val="none" w:sz="0" w:space="0" w:color="auto"/>
                                    <w:bottom w:val="none" w:sz="0" w:space="0" w:color="auto"/>
                                    <w:right w:val="none" w:sz="0" w:space="0" w:color="auto"/>
                                  </w:divBdr>
                                  <w:divsChild>
                                    <w:div w:id="281569792">
                                      <w:marLeft w:val="0"/>
                                      <w:marRight w:val="0"/>
                                      <w:marTop w:val="0"/>
                                      <w:marBottom w:val="0"/>
                                      <w:divBdr>
                                        <w:top w:val="none" w:sz="0" w:space="0" w:color="auto"/>
                                        <w:left w:val="none" w:sz="0" w:space="0" w:color="auto"/>
                                        <w:bottom w:val="none" w:sz="0" w:space="0" w:color="auto"/>
                                        <w:right w:val="none" w:sz="0" w:space="0" w:color="auto"/>
                                      </w:divBdr>
                                      <w:divsChild>
                                        <w:div w:id="1368335686">
                                          <w:marLeft w:val="0"/>
                                          <w:marRight w:val="0"/>
                                          <w:marTop w:val="0"/>
                                          <w:marBottom w:val="0"/>
                                          <w:divBdr>
                                            <w:top w:val="none" w:sz="0" w:space="0" w:color="auto"/>
                                            <w:left w:val="none" w:sz="0" w:space="0" w:color="auto"/>
                                            <w:bottom w:val="none" w:sz="0" w:space="0" w:color="auto"/>
                                            <w:right w:val="none" w:sz="0" w:space="0" w:color="auto"/>
                                          </w:divBdr>
                                          <w:divsChild>
                                            <w:div w:id="17976307">
                                              <w:marLeft w:val="0"/>
                                              <w:marRight w:val="0"/>
                                              <w:marTop w:val="0"/>
                                              <w:marBottom w:val="495"/>
                                              <w:divBdr>
                                                <w:top w:val="none" w:sz="0" w:space="0" w:color="auto"/>
                                                <w:left w:val="none" w:sz="0" w:space="0" w:color="auto"/>
                                                <w:bottom w:val="none" w:sz="0" w:space="0" w:color="auto"/>
                                                <w:right w:val="none" w:sz="0" w:space="0" w:color="auto"/>
                                              </w:divBdr>
                                              <w:divsChild>
                                                <w:div w:id="1862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988179">
      <w:bodyDiv w:val="1"/>
      <w:marLeft w:val="0"/>
      <w:marRight w:val="0"/>
      <w:marTop w:val="0"/>
      <w:marBottom w:val="0"/>
      <w:divBdr>
        <w:top w:val="none" w:sz="0" w:space="0" w:color="auto"/>
        <w:left w:val="none" w:sz="0" w:space="0" w:color="auto"/>
        <w:bottom w:val="none" w:sz="0" w:space="0" w:color="auto"/>
        <w:right w:val="none" w:sz="0" w:space="0" w:color="auto"/>
      </w:divBdr>
    </w:div>
    <w:div w:id="1012418186">
      <w:bodyDiv w:val="1"/>
      <w:marLeft w:val="0"/>
      <w:marRight w:val="0"/>
      <w:marTop w:val="0"/>
      <w:marBottom w:val="0"/>
      <w:divBdr>
        <w:top w:val="none" w:sz="0" w:space="0" w:color="auto"/>
        <w:left w:val="none" w:sz="0" w:space="0" w:color="auto"/>
        <w:bottom w:val="none" w:sz="0" w:space="0" w:color="auto"/>
        <w:right w:val="none" w:sz="0" w:space="0" w:color="auto"/>
      </w:divBdr>
    </w:div>
    <w:div w:id="1013923991">
      <w:bodyDiv w:val="1"/>
      <w:marLeft w:val="0"/>
      <w:marRight w:val="0"/>
      <w:marTop w:val="0"/>
      <w:marBottom w:val="0"/>
      <w:divBdr>
        <w:top w:val="none" w:sz="0" w:space="0" w:color="auto"/>
        <w:left w:val="none" w:sz="0" w:space="0" w:color="auto"/>
        <w:bottom w:val="none" w:sz="0" w:space="0" w:color="auto"/>
        <w:right w:val="none" w:sz="0" w:space="0" w:color="auto"/>
      </w:divBdr>
    </w:div>
    <w:div w:id="1014722561">
      <w:bodyDiv w:val="1"/>
      <w:marLeft w:val="0"/>
      <w:marRight w:val="0"/>
      <w:marTop w:val="0"/>
      <w:marBottom w:val="0"/>
      <w:divBdr>
        <w:top w:val="none" w:sz="0" w:space="0" w:color="auto"/>
        <w:left w:val="none" w:sz="0" w:space="0" w:color="auto"/>
        <w:bottom w:val="none" w:sz="0" w:space="0" w:color="auto"/>
        <w:right w:val="none" w:sz="0" w:space="0" w:color="auto"/>
      </w:divBdr>
    </w:div>
    <w:div w:id="1015690399">
      <w:bodyDiv w:val="1"/>
      <w:marLeft w:val="0"/>
      <w:marRight w:val="0"/>
      <w:marTop w:val="0"/>
      <w:marBottom w:val="0"/>
      <w:divBdr>
        <w:top w:val="none" w:sz="0" w:space="0" w:color="auto"/>
        <w:left w:val="none" w:sz="0" w:space="0" w:color="auto"/>
        <w:bottom w:val="none" w:sz="0" w:space="0" w:color="auto"/>
        <w:right w:val="none" w:sz="0" w:space="0" w:color="auto"/>
      </w:divBdr>
    </w:div>
    <w:div w:id="1017459974">
      <w:bodyDiv w:val="1"/>
      <w:marLeft w:val="0"/>
      <w:marRight w:val="0"/>
      <w:marTop w:val="0"/>
      <w:marBottom w:val="0"/>
      <w:divBdr>
        <w:top w:val="none" w:sz="0" w:space="0" w:color="auto"/>
        <w:left w:val="none" w:sz="0" w:space="0" w:color="auto"/>
        <w:bottom w:val="none" w:sz="0" w:space="0" w:color="auto"/>
        <w:right w:val="none" w:sz="0" w:space="0" w:color="auto"/>
      </w:divBdr>
    </w:div>
    <w:div w:id="1021665676">
      <w:bodyDiv w:val="1"/>
      <w:marLeft w:val="0"/>
      <w:marRight w:val="0"/>
      <w:marTop w:val="0"/>
      <w:marBottom w:val="0"/>
      <w:divBdr>
        <w:top w:val="none" w:sz="0" w:space="0" w:color="auto"/>
        <w:left w:val="none" w:sz="0" w:space="0" w:color="auto"/>
        <w:bottom w:val="none" w:sz="0" w:space="0" w:color="auto"/>
        <w:right w:val="none" w:sz="0" w:space="0" w:color="auto"/>
      </w:divBdr>
    </w:div>
    <w:div w:id="1022704939">
      <w:bodyDiv w:val="1"/>
      <w:marLeft w:val="0"/>
      <w:marRight w:val="0"/>
      <w:marTop w:val="0"/>
      <w:marBottom w:val="0"/>
      <w:divBdr>
        <w:top w:val="none" w:sz="0" w:space="0" w:color="auto"/>
        <w:left w:val="none" w:sz="0" w:space="0" w:color="auto"/>
        <w:bottom w:val="none" w:sz="0" w:space="0" w:color="auto"/>
        <w:right w:val="none" w:sz="0" w:space="0" w:color="auto"/>
      </w:divBdr>
    </w:div>
    <w:div w:id="1023288295">
      <w:bodyDiv w:val="1"/>
      <w:marLeft w:val="0"/>
      <w:marRight w:val="0"/>
      <w:marTop w:val="0"/>
      <w:marBottom w:val="0"/>
      <w:divBdr>
        <w:top w:val="none" w:sz="0" w:space="0" w:color="auto"/>
        <w:left w:val="none" w:sz="0" w:space="0" w:color="auto"/>
        <w:bottom w:val="none" w:sz="0" w:space="0" w:color="auto"/>
        <w:right w:val="none" w:sz="0" w:space="0" w:color="auto"/>
      </w:divBdr>
    </w:div>
    <w:div w:id="1023744950">
      <w:bodyDiv w:val="1"/>
      <w:marLeft w:val="0"/>
      <w:marRight w:val="0"/>
      <w:marTop w:val="0"/>
      <w:marBottom w:val="0"/>
      <w:divBdr>
        <w:top w:val="none" w:sz="0" w:space="0" w:color="auto"/>
        <w:left w:val="none" w:sz="0" w:space="0" w:color="auto"/>
        <w:bottom w:val="none" w:sz="0" w:space="0" w:color="auto"/>
        <w:right w:val="none" w:sz="0" w:space="0" w:color="auto"/>
      </w:divBdr>
    </w:div>
    <w:div w:id="1024818789">
      <w:bodyDiv w:val="1"/>
      <w:marLeft w:val="0"/>
      <w:marRight w:val="0"/>
      <w:marTop w:val="0"/>
      <w:marBottom w:val="0"/>
      <w:divBdr>
        <w:top w:val="none" w:sz="0" w:space="0" w:color="auto"/>
        <w:left w:val="none" w:sz="0" w:space="0" w:color="auto"/>
        <w:bottom w:val="none" w:sz="0" w:space="0" w:color="auto"/>
        <w:right w:val="none" w:sz="0" w:space="0" w:color="auto"/>
      </w:divBdr>
    </w:div>
    <w:div w:id="1027877417">
      <w:bodyDiv w:val="1"/>
      <w:marLeft w:val="0"/>
      <w:marRight w:val="0"/>
      <w:marTop w:val="0"/>
      <w:marBottom w:val="0"/>
      <w:divBdr>
        <w:top w:val="none" w:sz="0" w:space="0" w:color="auto"/>
        <w:left w:val="none" w:sz="0" w:space="0" w:color="auto"/>
        <w:bottom w:val="none" w:sz="0" w:space="0" w:color="auto"/>
        <w:right w:val="none" w:sz="0" w:space="0" w:color="auto"/>
      </w:divBdr>
    </w:div>
    <w:div w:id="1028750600">
      <w:bodyDiv w:val="1"/>
      <w:marLeft w:val="0"/>
      <w:marRight w:val="0"/>
      <w:marTop w:val="0"/>
      <w:marBottom w:val="0"/>
      <w:divBdr>
        <w:top w:val="none" w:sz="0" w:space="0" w:color="auto"/>
        <w:left w:val="none" w:sz="0" w:space="0" w:color="auto"/>
        <w:bottom w:val="none" w:sz="0" w:space="0" w:color="auto"/>
        <w:right w:val="none" w:sz="0" w:space="0" w:color="auto"/>
      </w:divBdr>
    </w:div>
    <w:div w:id="1029143090">
      <w:bodyDiv w:val="1"/>
      <w:marLeft w:val="0"/>
      <w:marRight w:val="0"/>
      <w:marTop w:val="0"/>
      <w:marBottom w:val="0"/>
      <w:divBdr>
        <w:top w:val="none" w:sz="0" w:space="0" w:color="auto"/>
        <w:left w:val="none" w:sz="0" w:space="0" w:color="auto"/>
        <w:bottom w:val="none" w:sz="0" w:space="0" w:color="auto"/>
        <w:right w:val="none" w:sz="0" w:space="0" w:color="auto"/>
      </w:divBdr>
    </w:div>
    <w:div w:id="1031421342">
      <w:bodyDiv w:val="1"/>
      <w:marLeft w:val="0"/>
      <w:marRight w:val="0"/>
      <w:marTop w:val="0"/>
      <w:marBottom w:val="0"/>
      <w:divBdr>
        <w:top w:val="none" w:sz="0" w:space="0" w:color="auto"/>
        <w:left w:val="none" w:sz="0" w:space="0" w:color="auto"/>
        <w:bottom w:val="none" w:sz="0" w:space="0" w:color="auto"/>
        <w:right w:val="none" w:sz="0" w:space="0" w:color="auto"/>
      </w:divBdr>
    </w:div>
    <w:div w:id="1033076390">
      <w:bodyDiv w:val="1"/>
      <w:marLeft w:val="0"/>
      <w:marRight w:val="0"/>
      <w:marTop w:val="0"/>
      <w:marBottom w:val="0"/>
      <w:divBdr>
        <w:top w:val="none" w:sz="0" w:space="0" w:color="auto"/>
        <w:left w:val="none" w:sz="0" w:space="0" w:color="auto"/>
        <w:bottom w:val="none" w:sz="0" w:space="0" w:color="auto"/>
        <w:right w:val="none" w:sz="0" w:space="0" w:color="auto"/>
      </w:divBdr>
    </w:div>
    <w:div w:id="1034505080">
      <w:bodyDiv w:val="1"/>
      <w:marLeft w:val="0"/>
      <w:marRight w:val="0"/>
      <w:marTop w:val="0"/>
      <w:marBottom w:val="0"/>
      <w:divBdr>
        <w:top w:val="none" w:sz="0" w:space="0" w:color="auto"/>
        <w:left w:val="none" w:sz="0" w:space="0" w:color="auto"/>
        <w:bottom w:val="none" w:sz="0" w:space="0" w:color="auto"/>
        <w:right w:val="none" w:sz="0" w:space="0" w:color="auto"/>
      </w:divBdr>
    </w:div>
    <w:div w:id="1035885889">
      <w:bodyDiv w:val="1"/>
      <w:marLeft w:val="0"/>
      <w:marRight w:val="0"/>
      <w:marTop w:val="0"/>
      <w:marBottom w:val="0"/>
      <w:divBdr>
        <w:top w:val="none" w:sz="0" w:space="0" w:color="auto"/>
        <w:left w:val="none" w:sz="0" w:space="0" w:color="auto"/>
        <w:bottom w:val="none" w:sz="0" w:space="0" w:color="auto"/>
        <w:right w:val="none" w:sz="0" w:space="0" w:color="auto"/>
      </w:divBdr>
    </w:div>
    <w:div w:id="1038437489">
      <w:bodyDiv w:val="1"/>
      <w:marLeft w:val="0"/>
      <w:marRight w:val="0"/>
      <w:marTop w:val="0"/>
      <w:marBottom w:val="0"/>
      <w:divBdr>
        <w:top w:val="none" w:sz="0" w:space="0" w:color="auto"/>
        <w:left w:val="none" w:sz="0" w:space="0" w:color="auto"/>
        <w:bottom w:val="none" w:sz="0" w:space="0" w:color="auto"/>
        <w:right w:val="none" w:sz="0" w:space="0" w:color="auto"/>
      </w:divBdr>
    </w:div>
    <w:div w:id="1038965946">
      <w:bodyDiv w:val="1"/>
      <w:marLeft w:val="0"/>
      <w:marRight w:val="0"/>
      <w:marTop w:val="0"/>
      <w:marBottom w:val="0"/>
      <w:divBdr>
        <w:top w:val="none" w:sz="0" w:space="0" w:color="auto"/>
        <w:left w:val="none" w:sz="0" w:space="0" w:color="auto"/>
        <w:bottom w:val="none" w:sz="0" w:space="0" w:color="auto"/>
        <w:right w:val="none" w:sz="0" w:space="0" w:color="auto"/>
      </w:divBdr>
    </w:div>
    <w:div w:id="1042710184">
      <w:bodyDiv w:val="1"/>
      <w:marLeft w:val="0"/>
      <w:marRight w:val="0"/>
      <w:marTop w:val="0"/>
      <w:marBottom w:val="0"/>
      <w:divBdr>
        <w:top w:val="none" w:sz="0" w:space="0" w:color="auto"/>
        <w:left w:val="none" w:sz="0" w:space="0" w:color="auto"/>
        <w:bottom w:val="none" w:sz="0" w:space="0" w:color="auto"/>
        <w:right w:val="none" w:sz="0" w:space="0" w:color="auto"/>
      </w:divBdr>
    </w:div>
    <w:div w:id="1046374152">
      <w:bodyDiv w:val="1"/>
      <w:marLeft w:val="0"/>
      <w:marRight w:val="0"/>
      <w:marTop w:val="0"/>
      <w:marBottom w:val="0"/>
      <w:divBdr>
        <w:top w:val="none" w:sz="0" w:space="0" w:color="auto"/>
        <w:left w:val="none" w:sz="0" w:space="0" w:color="auto"/>
        <w:bottom w:val="none" w:sz="0" w:space="0" w:color="auto"/>
        <w:right w:val="none" w:sz="0" w:space="0" w:color="auto"/>
      </w:divBdr>
    </w:div>
    <w:div w:id="1050610702">
      <w:bodyDiv w:val="1"/>
      <w:marLeft w:val="0"/>
      <w:marRight w:val="0"/>
      <w:marTop w:val="0"/>
      <w:marBottom w:val="0"/>
      <w:divBdr>
        <w:top w:val="none" w:sz="0" w:space="0" w:color="auto"/>
        <w:left w:val="none" w:sz="0" w:space="0" w:color="auto"/>
        <w:bottom w:val="none" w:sz="0" w:space="0" w:color="auto"/>
        <w:right w:val="none" w:sz="0" w:space="0" w:color="auto"/>
      </w:divBdr>
    </w:div>
    <w:div w:id="1054088655">
      <w:bodyDiv w:val="1"/>
      <w:marLeft w:val="0"/>
      <w:marRight w:val="0"/>
      <w:marTop w:val="0"/>
      <w:marBottom w:val="0"/>
      <w:divBdr>
        <w:top w:val="none" w:sz="0" w:space="0" w:color="auto"/>
        <w:left w:val="none" w:sz="0" w:space="0" w:color="auto"/>
        <w:bottom w:val="none" w:sz="0" w:space="0" w:color="auto"/>
        <w:right w:val="none" w:sz="0" w:space="0" w:color="auto"/>
      </w:divBdr>
    </w:div>
    <w:div w:id="1057126701">
      <w:bodyDiv w:val="1"/>
      <w:marLeft w:val="0"/>
      <w:marRight w:val="0"/>
      <w:marTop w:val="0"/>
      <w:marBottom w:val="0"/>
      <w:divBdr>
        <w:top w:val="none" w:sz="0" w:space="0" w:color="auto"/>
        <w:left w:val="none" w:sz="0" w:space="0" w:color="auto"/>
        <w:bottom w:val="none" w:sz="0" w:space="0" w:color="auto"/>
        <w:right w:val="none" w:sz="0" w:space="0" w:color="auto"/>
      </w:divBdr>
    </w:div>
    <w:div w:id="1060593095">
      <w:bodyDiv w:val="1"/>
      <w:marLeft w:val="0"/>
      <w:marRight w:val="0"/>
      <w:marTop w:val="0"/>
      <w:marBottom w:val="0"/>
      <w:divBdr>
        <w:top w:val="none" w:sz="0" w:space="0" w:color="auto"/>
        <w:left w:val="none" w:sz="0" w:space="0" w:color="auto"/>
        <w:bottom w:val="none" w:sz="0" w:space="0" w:color="auto"/>
        <w:right w:val="none" w:sz="0" w:space="0" w:color="auto"/>
      </w:divBdr>
    </w:div>
    <w:div w:id="1067607595">
      <w:bodyDiv w:val="1"/>
      <w:marLeft w:val="0"/>
      <w:marRight w:val="0"/>
      <w:marTop w:val="0"/>
      <w:marBottom w:val="0"/>
      <w:divBdr>
        <w:top w:val="none" w:sz="0" w:space="0" w:color="auto"/>
        <w:left w:val="none" w:sz="0" w:space="0" w:color="auto"/>
        <w:bottom w:val="none" w:sz="0" w:space="0" w:color="auto"/>
        <w:right w:val="none" w:sz="0" w:space="0" w:color="auto"/>
      </w:divBdr>
    </w:div>
    <w:div w:id="1068697603">
      <w:bodyDiv w:val="1"/>
      <w:marLeft w:val="0"/>
      <w:marRight w:val="0"/>
      <w:marTop w:val="0"/>
      <w:marBottom w:val="0"/>
      <w:divBdr>
        <w:top w:val="none" w:sz="0" w:space="0" w:color="auto"/>
        <w:left w:val="none" w:sz="0" w:space="0" w:color="auto"/>
        <w:bottom w:val="none" w:sz="0" w:space="0" w:color="auto"/>
        <w:right w:val="none" w:sz="0" w:space="0" w:color="auto"/>
      </w:divBdr>
    </w:div>
    <w:div w:id="1076823749">
      <w:bodyDiv w:val="1"/>
      <w:marLeft w:val="0"/>
      <w:marRight w:val="0"/>
      <w:marTop w:val="0"/>
      <w:marBottom w:val="0"/>
      <w:divBdr>
        <w:top w:val="none" w:sz="0" w:space="0" w:color="auto"/>
        <w:left w:val="none" w:sz="0" w:space="0" w:color="auto"/>
        <w:bottom w:val="none" w:sz="0" w:space="0" w:color="auto"/>
        <w:right w:val="none" w:sz="0" w:space="0" w:color="auto"/>
      </w:divBdr>
    </w:div>
    <w:div w:id="1079209175">
      <w:bodyDiv w:val="1"/>
      <w:marLeft w:val="0"/>
      <w:marRight w:val="0"/>
      <w:marTop w:val="0"/>
      <w:marBottom w:val="0"/>
      <w:divBdr>
        <w:top w:val="none" w:sz="0" w:space="0" w:color="auto"/>
        <w:left w:val="none" w:sz="0" w:space="0" w:color="auto"/>
        <w:bottom w:val="none" w:sz="0" w:space="0" w:color="auto"/>
        <w:right w:val="none" w:sz="0" w:space="0" w:color="auto"/>
      </w:divBdr>
    </w:div>
    <w:div w:id="1080101532">
      <w:bodyDiv w:val="1"/>
      <w:marLeft w:val="0"/>
      <w:marRight w:val="0"/>
      <w:marTop w:val="0"/>
      <w:marBottom w:val="0"/>
      <w:divBdr>
        <w:top w:val="none" w:sz="0" w:space="0" w:color="auto"/>
        <w:left w:val="none" w:sz="0" w:space="0" w:color="auto"/>
        <w:bottom w:val="none" w:sz="0" w:space="0" w:color="auto"/>
        <w:right w:val="none" w:sz="0" w:space="0" w:color="auto"/>
      </w:divBdr>
    </w:div>
    <w:div w:id="1082605049">
      <w:bodyDiv w:val="1"/>
      <w:marLeft w:val="0"/>
      <w:marRight w:val="0"/>
      <w:marTop w:val="0"/>
      <w:marBottom w:val="0"/>
      <w:divBdr>
        <w:top w:val="none" w:sz="0" w:space="0" w:color="auto"/>
        <w:left w:val="none" w:sz="0" w:space="0" w:color="auto"/>
        <w:bottom w:val="none" w:sz="0" w:space="0" w:color="auto"/>
        <w:right w:val="none" w:sz="0" w:space="0" w:color="auto"/>
      </w:divBdr>
    </w:div>
    <w:div w:id="1084259446">
      <w:bodyDiv w:val="1"/>
      <w:marLeft w:val="0"/>
      <w:marRight w:val="0"/>
      <w:marTop w:val="0"/>
      <w:marBottom w:val="0"/>
      <w:divBdr>
        <w:top w:val="none" w:sz="0" w:space="0" w:color="auto"/>
        <w:left w:val="none" w:sz="0" w:space="0" w:color="auto"/>
        <w:bottom w:val="none" w:sz="0" w:space="0" w:color="auto"/>
        <w:right w:val="none" w:sz="0" w:space="0" w:color="auto"/>
      </w:divBdr>
    </w:div>
    <w:div w:id="1087963617">
      <w:bodyDiv w:val="1"/>
      <w:marLeft w:val="0"/>
      <w:marRight w:val="0"/>
      <w:marTop w:val="0"/>
      <w:marBottom w:val="0"/>
      <w:divBdr>
        <w:top w:val="none" w:sz="0" w:space="0" w:color="auto"/>
        <w:left w:val="none" w:sz="0" w:space="0" w:color="auto"/>
        <w:bottom w:val="none" w:sz="0" w:space="0" w:color="auto"/>
        <w:right w:val="none" w:sz="0" w:space="0" w:color="auto"/>
      </w:divBdr>
    </w:div>
    <w:div w:id="1089428959">
      <w:bodyDiv w:val="1"/>
      <w:marLeft w:val="0"/>
      <w:marRight w:val="0"/>
      <w:marTop w:val="0"/>
      <w:marBottom w:val="0"/>
      <w:divBdr>
        <w:top w:val="none" w:sz="0" w:space="0" w:color="auto"/>
        <w:left w:val="none" w:sz="0" w:space="0" w:color="auto"/>
        <w:bottom w:val="none" w:sz="0" w:space="0" w:color="auto"/>
        <w:right w:val="none" w:sz="0" w:space="0" w:color="auto"/>
      </w:divBdr>
    </w:div>
    <w:div w:id="1091927100">
      <w:bodyDiv w:val="1"/>
      <w:marLeft w:val="0"/>
      <w:marRight w:val="0"/>
      <w:marTop w:val="0"/>
      <w:marBottom w:val="0"/>
      <w:divBdr>
        <w:top w:val="none" w:sz="0" w:space="0" w:color="auto"/>
        <w:left w:val="none" w:sz="0" w:space="0" w:color="auto"/>
        <w:bottom w:val="none" w:sz="0" w:space="0" w:color="auto"/>
        <w:right w:val="none" w:sz="0" w:space="0" w:color="auto"/>
      </w:divBdr>
    </w:div>
    <w:div w:id="1091972854">
      <w:bodyDiv w:val="1"/>
      <w:marLeft w:val="0"/>
      <w:marRight w:val="0"/>
      <w:marTop w:val="0"/>
      <w:marBottom w:val="0"/>
      <w:divBdr>
        <w:top w:val="none" w:sz="0" w:space="0" w:color="auto"/>
        <w:left w:val="none" w:sz="0" w:space="0" w:color="auto"/>
        <w:bottom w:val="none" w:sz="0" w:space="0" w:color="auto"/>
        <w:right w:val="none" w:sz="0" w:space="0" w:color="auto"/>
      </w:divBdr>
    </w:div>
    <w:div w:id="1093814999">
      <w:bodyDiv w:val="1"/>
      <w:marLeft w:val="0"/>
      <w:marRight w:val="0"/>
      <w:marTop w:val="0"/>
      <w:marBottom w:val="0"/>
      <w:divBdr>
        <w:top w:val="none" w:sz="0" w:space="0" w:color="auto"/>
        <w:left w:val="none" w:sz="0" w:space="0" w:color="auto"/>
        <w:bottom w:val="none" w:sz="0" w:space="0" w:color="auto"/>
        <w:right w:val="none" w:sz="0" w:space="0" w:color="auto"/>
      </w:divBdr>
    </w:div>
    <w:div w:id="1095059546">
      <w:bodyDiv w:val="1"/>
      <w:marLeft w:val="0"/>
      <w:marRight w:val="0"/>
      <w:marTop w:val="0"/>
      <w:marBottom w:val="0"/>
      <w:divBdr>
        <w:top w:val="none" w:sz="0" w:space="0" w:color="auto"/>
        <w:left w:val="none" w:sz="0" w:space="0" w:color="auto"/>
        <w:bottom w:val="none" w:sz="0" w:space="0" w:color="auto"/>
        <w:right w:val="none" w:sz="0" w:space="0" w:color="auto"/>
      </w:divBdr>
    </w:div>
    <w:div w:id="1098210041">
      <w:bodyDiv w:val="1"/>
      <w:marLeft w:val="0"/>
      <w:marRight w:val="0"/>
      <w:marTop w:val="0"/>
      <w:marBottom w:val="0"/>
      <w:divBdr>
        <w:top w:val="none" w:sz="0" w:space="0" w:color="auto"/>
        <w:left w:val="none" w:sz="0" w:space="0" w:color="auto"/>
        <w:bottom w:val="none" w:sz="0" w:space="0" w:color="auto"/>
        <w:right w:val="none" w:sz="0" w:space="0" w:color="auto"/>
      </w:divBdr>
    </w:div>
    <w:div w:id="1098645708">
      <w:bodyDiv w:val="1"/>
      <w:marLeft w:val="0"/>
      <w:marRight w:val="0"/>
      <w:marTop w:val="0"/>
      <w:marBottom w:val="0"/>
      <w:divBdr>
        <w:top w:val="none" w:sz="0" w:space="0" w:color="auto"/>
        <w:left w:val="none" w:sz="0" w:space="0" w:color="auto"/>
        <w:bottom w:val="none" w:sz="0" w:space="0" w:color="auto"/>
        <w:right w:val="none" w:sz="0" w:space="0" w:color="auto"/>
      </w:divBdr>
    </w:div>
    <w:div w:id="1099641097">
      <w:bodyDiv w:val="1"/>
      <w:marLeft w:val="0"/>
      <w:marRight w:val="0"/>
      <w:marTop w:val="0"/>
      <w:marBottom w:val="0"/>
      <w:divBdr>
        <w:top w:val="none" w:sz="0" w:space="0" w:color="auto"/>
        <w:left w:val="none" w:sz="0" w:space="0" w:color="auto"/>
        <w:bottom w:val="none" w:sz="0" w:space="0" w:color="auto"/>
        <w:right w:val="none" w:sz="0" w:space="0" w:color="auto"/>
      </w:divBdr>
    </w:div>
    <w:div w:id="1099759633">
      <w:bodyDiv w:val="1"/>
      <w:marLeft w:val="0"/>
      <w:marRight w:val="0"/>
      <w:marTop w:val="0"/>
      <w:marBottom w:val="0"/>
      <w:divBdr>
        <w:top w:val="none" w:sz="0" w:space="0" w:color="auto"/>
        <w:left w:val="none" w:sz="0" w:space="0" w:color="auto"/>
        <w:bottom w:val="none" w:sz="0" w:space="0" w:color="auto"/>
        <w:right w:val="none" w:sz="0" w:space="0" w:color="auto"/>
      </w:divBdr>
    </w:div>
    <w:div w:id="1100298846">
      <w:bodyDiv w:val="1"/>
      <w:marLeft w:val="0"/>
      <w:marRight w:val="0"/>
      <w:marTop w:val="0"/>
      <w:marBottom w:val="0"/>
      <w:divBdr>
        <w:top w:val="none" w:sz="0" w:space="0" w:color="auto"/>
        <w:left w:val="none" w:sz="0" w:space="0" w:color="auto"/>
        <w:bottom w:val="none" w:sz="0" w:space="0" w:color="auto"/>
        <w:right w:val="none" w:sz="0" w:space="0" w:color="auto"/>
      </w:divBdr>
    </w:div>
    <w:div w:id="1100487628">
      <w:bodyDiv w:val="1"/>
      <w:marLeft w:val="0"/>
      <w:marRight w:val="0"/>
      <w:marTop w:val="0"/>
      <w:marBottom w:val="0"/>
      <w:divBdr>
        <w:top w:val="none" w:sz="0" w:space="0" w:color="auto"/>
        <w:left w:val="none" w:sz="0" w:space="0" w:color="auto"/>
        <w:bottom w:val="none" w:sz="0" w:space="0" w:color="auto"/>
        <w:right w:val="none" w:sz="0" w:space="0" w:color="auto"/>
      </w:divBdr>
    </w:div>
    <w:div w:id="1100490851">
      <w:bodyDiv w:val="1"/>
      <w:marLeft w:val="0"/>
      <w:marRight w:val="0"/>
      <w:marTop w:val="0"/>
      <w:marBottom w:val="0"/>
      <w:divBdr>
        <w:top w:val="none" w:sz="0" w:space="0" w:color="auto"/>
        <w:left w:val="none" w:sz="0" w:space="0" w:color="auto"/>
        <w:bottom w:val="none" w:sz="0" w:space="0" w:color="auto"/>
        <w:right w:val="none" w:sz="0" w:space="0" w:color="auto"/>
      </w:divBdr>
    </w:div>
    <w:div w:id="1101487223">
      <w:bodyDiv w:val="1"/>
      <w:marLeft w:val="0"/>
      <w:marRight w:val="0"/>
      <w:marTop w:val="0"/>
      <w:marBottom w:val="0"/>
      <w:divBdr>
        <w:top w:val="none" w:sz="0" w:space="0" w:color="auto"/>
        <w:left w:val="none" w:sz="0" w:space="0" w:color="auto"/>
        <w:bottom w:val="none" w:sz="0" w:space="0" w:color="auto"/>
        <w:right w:val="none" w:sz="0" w:space="0" w:color="auto"/>
      </w:divBdr>
    </w:div>
    <w:div w:id="1107240214">
      <w:bodyDiv w:val="1"/>
      <w:marLeft w:val="0"/>
      <w:marRight w:val="0"/>
      <w:marTop w:val="0"/>
      <w:marBottom w:val="0"/>
      <w:divBdr>
        <w:top w:val="none" w:sz="0" w:space="0" w:color="auto"/>
        <w:left w:val="none" w:sz="0" w:space="0" w:color="auto"/>
        <w:bottom w:val="none" w:sz="0" w:space="0" w:color="auto"/>
        <w:right w:val="none" w:sz="0" w:space="0" w:color="auto"/>
      </w:divBdr>
    </w:div>
    <w:div w:id="1111314617">
      <w:bodyDiv w:val="1"/>
      <w:marLeft w:val="0"/>
      <w:marRight w:val="0"/>
      <w:marTop w:val="0"/>
      <w:marBottom w:val="0"/>
      <w:divBdr>
        <w:top w:val="none" w:sz="0" w:space="0" w:color="auto"/>
        <w:left w:val="none" w:sz="0" w:space="0" w:color="auto"/>
        <w:bottom w:val="none" w:sz="0" w:space="0" w:color="auto"/>
        <w:right w:val="none" w:sz="0" w:space="0" w:color="auto"/>
      </w:divBdr>
    </w:div>
    <w:div w:id="1112433399">
      <w:bodyDiv w:val="1"/>
      <w:marLeft w:val="0"/>
      <w:marRight w:val="0"/>
      <w:marTop w:val="0"/>
      <w:marBottom w:val="0"/>
      <w:divBdr>
        <w:top w:val="none" w:sz="0" w:space="0" w:color="auto"/>
        <w:left w:val="none" w:sz="0" w:space="0" w:color="auto"/>
        <w:bottom w:val="none" w:sz="0" w:space="0" w:color="auto"/>
        <w:right w:val="none" w:sz="0" w:space="0" w:color="auto"/>
      </w:divBdr>
    </w:div>
    <w:div w:id="1117525645">
      <w:bodyDiv w:val="1"/>
      <w:marLeft w:val="0"/>
      <w:marRight w:val="0"/>
      <w:marTop w:val="0"/>
      <w:marBottom w:val="0"/>
      <w:divBdr>
        <w:top w:val="none" w:sz="0" w:space="0" w:color="auto"/>
        <w:left w:val="none" w:sz="0" w:space="0" w:color="auto"/>
        <w:bottom w:val="none" w:sz="0" w:space="0" w:color="auto"/>
        <w:right w:val="none" w:sz="0" w:space="0" w:color="auto"/>
      </w:divBdr>
    </w:div>
    <w:div w:id="1119684626">
      <w:bodyDiv w:val="1"/>
      <w:marLeft w:val="0"/>
      <w:marRight w:val="0"/>
      <w:marTop w:val="0"/>
      <w:marBottom w:val="0"/>
      <w:divBdr>
        <w:top w:val="none" w:sz="0" w:space="0" w:color="auto"/>
        <w:left w:val="none" w:sz="0" w:space="0" w:color="auto"/>
        <w:bottom w:val="none" w:sz="0" w:space="0" w:color="auto"/>
        <w:right w:val="none" w:sz="0" w:space="0" w:color="auto"/>
      </w:divBdr>
    </w:div>
    <w:div w:id="1123115056">
      <w:bodyDiv w:val="1"/>
      <w:marLeft w:val="0"/>
      <w:marRight w:val="0"/>
      <w:marTop w:val="0"/>
      <w:marBottom w:val="0"/>
      <w:divBdr>
        <w:top w:val="none" w:sz="0" w:space="0" w:color="auto"/>
        <w:left w:val="none" w:sz="0" w:space="0" w:color="auto"/>
        <w:bottom w:val="none" w:sz="0" w:space="0" w:color="auto"/>
        <w:right w:val="none" w:sz="0" w:space="0" w:color="auto"/>
      </w:divBdr>
    </w:div>
    <w:div w:id="1123964856">
      <w:bodyDiv w:val="1"/>
      <w:marLeft w:val="0"/>
      <w:marRight w:val="0"/>
      <w:marTop w:val="0"/>
      <w:marBottom w:val="0"/>
      <w:divBdr>
        <w:top w:val="none" w:sz="0" w:space="0" w:color="auto"/>
        <w:left w:val="none" w:sz="0" w:space="0" w:color="auto"/>
        <w:bottom w:val="none" w:sz="0" w:space="0" w:color="auto"/>
        <w:right w:val="none" w:sz="0" w:space="0" w:color="auto"/>
      </w:divBdr>
    </w:div>
    <w:div w:id="1126385901">
      <w:bodyDiv w:val="1"/>
      <w:marLeft w:val="0"/>
      <w:marRight w:val="0"/>
      <w:marTop w:val="0"/>
      <w:marBottom w:val="0"/>
      <w:divBdr>
        <w:top w:val="none" w:sz="0" w:space="0" w:color="auto"/>
        <w:left w:val="none" w:sz="0" w:space="0" w:color="auto"/>
        <w:bottom w:val="none" w:sz="0" w:space="0" w:color="auto"/>
        <w:right w:val="none" w:sz="0" w:space="0" w:color="auto"/>
      </w:divBdr>
    </w:div>
    <w:div w:id="1128935098">
      <w:bodyDiv w:val="1"/>
      <w:marLeft w:val="0"/>
      <w:marRight w:val="0"/>
      <w:marTop w:val="0"/>
      <w:marBottom w:val="0"/>
      <w:divBdr>
        <w:top w:val="none" w:sz="0" w:space="0" w:color="auto"/>
        <w:left w:val="none" w:sz="0" w:space="0" w:color="auto"/>
        <w:bottom w:val="none" w:sz="0" w:space="0" w:color="auto"/>
        <w:right w:val="none" w:sz="0" w:space="0" w:color="auto"/>
      </w:divBdr>
    </w:div>
    <w:div w:id="1131745146">
      <w:bodyDiv w:val="1"/>
      <w:marLeft w:val="0"/>
      <w:marRight w:val="0"/>
      <w:marTop w:val="0"/>
      <w:marBottom w:val="0"/>
      <w:divBdr>
        <w:top w:val="none" w:sz="0" w:space="0" w:color="auto"/>
        <w:left w:val="none" w:sz="0" w:space="0" w:color="auto"/>
        <w:bottom w:val="none" w:sz="0" w:space="0" w:color="auto"/>
        <w:right w:val="none" w:sz="0" w:space="0" w:color="auto"/>
      </w:divBdr>
    </w:div>
    <w:div w:id="1131749109">
      <w:bodyDiv w:val="1"/>
      <w:marLeft w:val="0"/>
      <w:marRight w:val="0"/>
      <w:marTop w:val="0"/>
      <w:marBottom w:val="0"/>
      <w:divBdr>
        <w:top w:val="none" w:sz="0" w:space="0" w:color="auto"/>
        <w:left w:val="none" w:sz="0" w:space="0" w:color="auto"/>
        <w:bottom w:val="none" w:sz="0" w:space="0" w:color="auto"/>
        <w:right w:val="none" w:sz="0" w:space="0" w:color="auto"/>
      </w:divBdr>
    </w:div>
    <w:div w:id="1134180896">
      <w:bodyDiv w:val="1"/>
      <w:marLeft w:val="0"/>
      <w:marRight w:val="0"/>
      <w:marTop w:val="0"/>
      <w:marBottom w:val="0"/>
      <w:divBdr>
        <w:top w:val="none" w:sz="0" w:space="0" w:color="auto"/>
        <w:left w:val="none" w:sz="0" w:space="0" w:color="auto"/>
        <w:bottom w:val="none" w:sz="0" w:space="0" w:color="auto"/>
        <w:right w:val="none" w:sz="0" w:space="0" w:color="auto"/>
      </w:divBdr>
    </w:div>
    <w:div w:id="1134255969">
      <w:bodyDiv w:val="1"/>
      <w:marLeft w:val="0"/>
      <w:marRight w:val="0"/>
      <w:marTop w:val="0"/>
      <w:marBottom w:val="0"/>
      <w:divBdr>
        <w:top w:val="none" w:sz="0" w:space="0" w:color="auto"/>
        <w:left w:val="none" w:sz="0" w:space="0" w:color="auto"/>
        <w:bottom w:val="none" w:sz="0" w:space="0" w:color="auto"/>
        <w:right w:val="none" w:sz="0" w:space="0" w:color="auto"/>
      </w:divBdr>
    </w:div>
    <w:div w:id="1143815932">
      <w:bodyDiv w:val="1"/>
      <w:marLeft w:val="0"/>
      <w:marRight w:val="0"/>
      <w:marTop w:val="0"/>
      <w:marBottom w:val="0"/>
      <w:divBdr>
        <w:top w:val="none" w:sz="0" w:space="0" w:color="auto"/>
        <w:left w:val="none" w:sz="0" w:space="0" w:color="auto"/>
        <w:bottom w:val="none" w:sz="0" w:space="0" w:color="auto"/>
        <w:right w:val="none" w:sz="0" w:space="0" w:color="auto"/>
      </w:divBdr>
    </w:div>
    <w:div w:id="1144469001">
      <w:bodyDiv w:val="1"/>
      <w:marLeft w:val="0"/>
      <w:marRight w:val="0"/>
      <w:marTop w:val="0"/>
      <w:marBottom w:val="0"/>
      <w:divBdr>
        <w:top w:val="none" w:sz="0" w:space="0" w:color="auto"/>
        <w:left w:val="none" w:sz="0" w:space="0" w:color="auto"/>
        <w:bottom w:val="none" w:sz="0" w:space="0" w:color="auto"/>
        <w:right w:val="none" w:sz="0" w:space="0" w:color="auto"/>
      </w:divBdr>
    </w:div>
    <w:div w:id="1145271567">
      <w:bodyDiv w:val="1"/>
      <w:marLeft w:val="0"/>
      <w:marRight w:val="0"/>
      <w:marTop w:val="0"/>
      <w:marBottom w:val="0"/>
      <w:divBdr>
        <w:top w:val="none" w:sz="0" w:space="0" w:color="auto"/>
        <w:left w:val="none" w:sz="0" w:space="0" w:color="auto"/>
        <w:bottom w:val="none" w:sz="0" w:space="0" w:color="auto"/>
        <w:right w:val="none" w:sz="0" w:space="0" w:color="auto"/>
      </w:divBdr>
    </w:div>
    <w:div w:id="1145317388">
      <w:marLeft w:val="0"/>
      <w:marRight w:val="0"/>
      <w:marTop w:val="0"/>
      <w:marBottom w:val="0"/>
      <w:divBdr>
        <w:top w:val="none" w:sz="0" w:space="0" w:color="auto"/>
        <w:left w:val="none" w:sz="0" w:space="0" w:color="auto"/>
        <w:bottom w:val="none" w:sz="0" w:space="0" w:color="auto"/>
        <w:right w:val="none" w:sz="0" w:space="0" w:color="auto"/>
      </w:divBdr>
    </w:div>
    <w:div w:id="1145317392">
      <w:marLeft w:val="0"/>
      <w:marRight w:val="0"/>
      <w:marTop w:val="0"/>
      <w:marBottom w:val="0"/>
      <w:divBdr>
        <w:top w:val="none" w:sz="0" w:space="0" w:color="auto"/>
        <w:left w:val="none" w:sz="0" w:space="0" w:color="auto"/>
        <w:bottom w:val="none" w:sz="0" w:space="0" w:color="auto"/>
        <w:right w:val="none" w:sz="0" w:space="0" w:color="auto"/>
      </w:divBdr>
      <w:divsChild>
        <w:div w:id="1145317391">
          <w:marLeft w:val="605"/>
          <w:marRight w:val="0"/>
          <w:marTop w:val="96"/>
          <w:marBottom w:val="0"/>
          <w:divBdr>
            <w:top w:val="none" w:sz="0" w:space="0" w:color="auto"/>
            <w:left w:val="none" w:sz="0" w:space="0" w:color="auto"/>
            <w:bottom w:val="none" w:sz="0" w:space="0" w:color="auto"/>
            <w:right w:val="none" w:sz="0" w:space="0" w:color="auto"/>
          </w:divBdr>
        </w:div>
        <w:div w:id="1145317400">
          <w:marLeft w:val="605"/>
          <w:marRight w:val="0"/>
          <w:marTop w:val="96"/>
          <w:marBottom w:val="0"/>
          <w:divBdr>
            <w:top w:val="none" w:sz="0" w:space="0" w:color="auto"/>
            <w:left w:val="none" w:sz="0" w:space="0" w:color="auto"/>
            <w:bottom w:val="none" w:sz="0" w:space="0" w:color="auto"/>
            <w:right w:val="none" w:sz="0" w:space="0" w:color="auto"/>
          </w:divBdr>
        </w:div>
      </w:divsChild>
    </w:div>
    <w:div w:id="1145317393">
      <w:marLeft w:val="0"/>
      <w:marRight w:val="0"/>
      <w:marTop w:val="0"/>
      <w:marBottom w:val="0"/>
      <w:divBdr>
        <w:top w:val="none" w:sz="0" w:space="0" w:color="auto"/>
        <w:left w:val="none" w:sz="0" w:space="0" w:color="auto"/>
        <w:bottom w:val="none" w:sz="0" w:space="0" w:color="auto"/>
        <w:right w:val="none" w:sz="0" w:space="0" w:color="auto"/>
      </w:divBdr>
    </w:div>
    <w:div w:id="1145317394">
      <w:marLeft w:val="0"/>
      <w:marRight w:val="0"/>
      <w:marTop w:val="0"/>
      <w:marBottom w:val="0"/>
      <w:divBdr>
        <w:top w:val="none" w:sz="0" w:space="0" w:color="auto"/>
        <w:left w:val="none" w:sz="0" w:space="0" w:color="auto"/>
        <w:bottom w:val="none" w:sz="0" w:space="0" w:color="auto"/>
        <w:right w:val="none" w:sz="0" w:space="0" w:color="auto"/>
      </w:divBdr>
    </w:div>
    <w:div w:id="1145317395">
      <w:marLeft w:val="0"/>
      <w:marRight w:val="0"/>
      <w:marTop w:val="0"/>
      <w:marBottom w:val="0"/>
      <w:divBdr>
        <w:top w:val="none" w:sz="0" w:space="0" w:color="auto"/>
        <w:left w:val="none" w:sz="0" w:space="0" w:color="auto"/>
        <w:bottom w:val="none" w:sz="0" w:space="0" w:color="auto"/>
        <w:right w:val="none" w:sz="0" w:space="0" w:color="auto"/>
      </w:divBdr>
    </w:div>
    <w:div w:id="1145317396">
      <w:marLeft w:val="0"/>
      <w:marRight w:val="0"/>
      <w:marTop w:val="0"/>
      <w:marBottom w:val="0"/>
      <w:divBdr>
        <w:top w:val="none" w:sz="0" w:space="0" w:color="auto"/>
        <w:left w:val="none" w:sz="0" w:space="0" w:color="auto"/>
        <w:bottom w:val="none" w:sz="0" w:space="0" w:color="auto"/>
        <w:right w:val="none" w:sz="0" w:space="0" w:color="auto"/>
      </w:divBdr>
      <w:divsChild>
        <w:div w:id="1145317389">
          <w:marLeft w:val="547"/>
          <w:marRight w:val="0"/>
          <w:marTop w:val="144"/>
          <w:marBottom w:val="0"/>
          <w:divBdr>
            <w:top w:val="none" w:sz="0" w:space="0" w:color="auto"/>
            <w:left w:val="none" w:sz="0" w:space="0" w:color="auto"/>
            <w:bottom w:val="none" w:sz="0" w:space="0" w:color="auto"/>
            <w:right w:val="none" w:sz="0" w:space="0" w:color="auto"/>
          </w:divBdr>
        </w:div>
        <w:div w:id="1145317398">
          <w:marLeft w:val="547"/>
          <w:marRight w:val="0"/>
          <w:marTop w:val="144"/>
          <w:marBottom w:val="0"/>
          <w:divBdr>
            <w:top w:val="none" w:sz="0" w:space="0" w:color="auto"/>
            <w:left w:val="none" w:sz="0" w:space="0" w:color="auto"/>
            <w:bottom w:val="none" w:sz="0" w:space="0" w:color="auto"/>
            <w:right w:val="none" w:sz="0" w:space="0" w:color="auto"/>
          </w:divBdr>
        </w:div>
        <w:div w:id="1145317399">
          <w:marLeft w:val="547"/>
          <w:marRight w:val="0"/>
          <w:marTop w:val="144"/>
          <w:marBottom w:val="0"/>
          <w:divBdr>
            <w:top w:val="none" w:sz="0" w:space="0" w:color="auto"/>
            <w:left w:val="none" w:sz="0" w:space="0" w:color="auto"/>
            <w:bottom w:val="none" w:sz="0" w:space="0" w:color="auto"/>
            <w:right w:val="none" w:sz="0" w:space="0" w:color="auto"/>
          </w:divBdr>
        </w:div>
      </w:divsChild>
    </w:div>
    <w:div w:id="1145317401">
      <w:marLeft w:val="0"/>
      <w:marRight w:val="0"/>
      <w:marTop w:val="0"/>
      <w:marBottom w:val="0"/>
      <w:divBdr>
        <w:top w:val="none" w:sz="0" w:space="0" w:color="auto"/>
        <w:left w:val="none" w:sz="0" w:space="0" w:color="auto"/>
        <w:bottom w:val="none" w:sz="0" w:space="0" w:color="auto"/>
        <w:right w:val="none" w:sz="0" w:space="0" w:color="auto"/>
      </w:divBdr>
    </w:div>
    <w:div w:id="1145317402">
      <w:marLeft w:val="0"/>
      <w:marRight w:val="0"/>
      <w:marTop w:val="0"/>
      <w:marBottom w:val="0"/>
      <w:divBdr>
        <w:top w:val="none" w:sz="0" w:space="0" w:color="auto"/>
        <w:left w:val="none" w:sz="0" w:space="0" w:color="auto"/>
        <w:bottom w:val="none" w:sz="0" w:space="0" w:color="auto"/>
        <w:right w:val="none" w:sz="0" w:space="0" w:color="auto"/>
      </w:divBdr>
      <w:divsChild>
        <w:div w:id="1145317390">
          <w:marLeft w:val="547"/>
          <w:marRight w:val="0"/>
          <w:marTop w:val="134"/>
          <w:marBottom w:val="0"/>
          <w:divBdr>
            <w:top w:val="none" w:sz="0" w:space="0" w:color="auto"/>
            <w:left w:val="none" w:sz="0" w:space="0" w:color="auto"/>
            <w:bottom w:val="none" w:sz="0" w:space="0" w:color="auto"/>
            <w:right w:val="none" w:sz="0" w:space="0" w:color="auto"/>
          </w:divBdr>
        </w:div>
        <w:div w:id="1145317397">
          <w:marLeft w:val="547"/>
          <w:marRight w:val="0"/>
          <w:marTop w:val="134"/>
          <w:marBottom w:val="0"/>
          <w:divBdr>
            <w:top w:val="none" w:sz="0" w:space="0" w:color="auto"/>
            <w:left w:val="none" w:sz="0" w:space="0" w:color="auto"/>
            <w:bottom w:val="none" w:sz="0" w:space="0" w:color="auto"/>
            <w:right w:val="none" w:sz="0" w:space="0" w:color="auto"/>
          </w:divBdr>
        </w:div>
      </w:divsChild>
    </w:div>
    <w:div w:id="1145317403">
      <w:marLeft w:val="0"/>
      <w:marRight w:val="0"/>
      <w:marTop w:val="0"/>
      <w:marBottom w:val="0"/>
      <w:divBdr>
        <w:top w:val="none" w:sz="0" w:space="0" w:color="auto"/>
        <w:left w:val="none" w:sz="0" w:space="0" w:color="auto"/>
        <w:bottom w:val="none" w:sz="0" w:space="0" w:color="auto"/>
        <w:right w:val="none" w:sz="0" w:space="0" w:color="auto"/>
      </w:divBdr>
    </w:div>
    <w:div w:id="1152798602">
      <w:bodyDiv w:val="1"/>
      <w:marLeft w:val="0"/>
      <w:marRight w:val="0"/>
      <w:marTop w:val="0"/>
      <w:marBottom w:val="0"/>
      <w:divBdr>
        <w:top w:val="none" w:sz="0" w:space="0" w:color="auto"/>
        <w:left w:val="none" w:sz="0" w:space="0" w:color="auto"/>
        <w:bottom w:val="none" w:sz="0" w:space="0" w:color="auto"/>
        <w:right w:val="none" w:sz="0" w:space="0" w:color="auto"/>
      </w:divBdr>
    </w:div>
    <w:div w:id="1154420537">
      <w:bodyDiv w:val="1"/>
      <w:marLeft w:val="0"/>
      <w:marRight w:val="0"/>
      <w:marTop w:val="0"/>
      <w:marBottom w:val="0"/>
      <w:divBdr>
        <w:top w:val="none" w:sz="0" w:space="0" w:color="auto"/>
        <w:left w:val="none" w:sz="0" w:space="0" w:color="auto"/>
        <w:bottom w:val="none" w:sz="0" w:space="0" w:color="auto"/>
        <w:right w:val="none" w:sz="0" w:space="0" w:color="auto"/>
      </w:divBdr>
    </w:div>
    <w:div w:id="1155924184">
      <w:bodyDiv w:val="1"/>
      <w:marLeft w:val="0"/>
      <w:marRight w:val="0"/>
      <w:marTop w:val="0"/>
      <w:marBottom w:val="0"/>
      <w:divBdr>
        <w:top w:val="none" w:sz="0" w:space="0" w:color="auto"/>
        <w:left w:val="none" w:sz="0" w:space="0" w:color="auto"/>
        <w:bottom w:val="none" w:sz="0" w:space="0" w:color="auto"/>
        <w:right w:val="none" w:sz="0" w:space="0" w:color="auto"/>
      </w:divBdr>
    </w:div>
    <w:div w:id="1156334155">
      <w:bodyDiv w:val="1"/>
      <w:marLeft w:val="0"/>
      <w:marRight w:val="0"/>
      <w:marTop w:val="0"/>
      <w:marBottom w:val="0"/>
      <w:divBdr>
        <w:top w:val="none" w:sz="0" w:space="0" w:color="auto"/>
        <w:left w:val="none" w:sz="0" w:space="0" w:color="auto"/>
        <w:bottom w:val="none" w:sz="0" w:space="0" w:color="auto"/>
        <w:right w:val="none" w:sz="0" w:space="0" w:color="auto"/>
      </w:divBdr>
    </w:div>
    <w:div w:id="1164396472">
      <w:bodyDiv w:val="1"/>
      <w:marLeft w:val="0"/>
      <w:marRight w:val="0"/>
      <w:marTop w:val="0"/>
      <w:marBottom w:val="0"/>
      <w:divBdr>
        <w:top w:val="none" w:sz="0" w:space="0" w:color="auto"/>
        <w:left w:val="none" w:sz="0" w:space="0" w:color="auto"/>
        <w:bottom w:val="none" w:sz="0" w:space="0" w:color="auto"/>
        <w:right w:val="none" w:sz="0" w:space="0" w:color="auto"/>
      </w:divBdr>
    </w:div>
    <w:div w:id="1170172643">
      <w:bodyDiv w:val="1"/>
      <w:marLeft w:val="0"/>
      <w:marRight w:val="0"/>
      <w:marTop w:val="0"/>
      <w:marBottom w:val="0"/>
      <w:divBdr>
        <w:top w:val="none" w:sz="0" w:space="0" w:color="auto"/>
        <w:left w:val="none" w:sz="0" w:space="0" w:color="auto"/>
        <w:bottom w:val="none" w:sz="0" w:space="0" w:color="auto"/>
        <w:right w:val="none" w:sz="0" w:space="0" w:color="auto"/>
      </w:divBdr>
    </w:div>
    <w:div w:id="1171020754">
      <w:bodyDiv w:val="1"/>
      <w:marLeft w:val="0"/>
      <w:marRight w:val="0"/>
      <w:marTop w:val="0"/>
      <w:marBottom w:val="0"/>
      <w:divBdr>
        <w:top w:val="none" w:sz="0" w:space="0" w:color="auto"/>
        <w:left w:val="none" w:sz="0" w:space="0" w:color="auto"/>
        <w:bottom w:val="none" w:sz="0" w:space="0" w:color="auto"/>
        <w:right w:val="none" w:sz="0" w:space="0" w:color="auto"/>
      </w:divBdr>
    </w:div>
    <w:div w:id="1173490705">
      <w:bodyDiv w:val="1"/>
      <w:marLeft w:val="0"/>
      <w:marRight w:val="0"/>
      <w:marTop w:val="0"/>
      <w:marBottom w:val="0"/>
      <w:divBdr>
        <w:top w:val="none" w:sz="0" w:space="0" w:color="auto"/>
        <w:left w:val="none" w:sz="0" w:space="0" w:color="auto"/>
        <w:bottom w:val="none" w:sz="0" w:space="0" w:color="auto"/>
        <w:right w:val="none" w:sz="0" w:space="0" w:color="auto"/>
      </w:divBdr>
    </w:div>
    <w:div w:id="1173567209">
      <w:bodyDiv w:val="1"/>
      <w:marLeft w:val="0"/>
      <w:marRight w:val="0"/>
      <w:marTop w:val="0"/>
      <w:marBottom w:val="0"/>
      <w:divBdr>
        <w:top w:val="none" w:sz="0" w:space="0" w:color="auto"/>
        <w:left w:val="none" w:sz="0" w:space="0" w:color="auto"/>
        <w:bottom w:val="none" w:sz="0" w:space="0" w:color="auto"/>
        <w:right w:val="none" w:sz="0" w:space="0" w:color="auto"/>
      </w:divBdr>
    </w:div>
    <w:div w:id="1174538857">
      <w:bodyDiv w:val="1"/>
      <w:marLeft w:val="0"/>
      <w:marRight w:val="0"/>
      <w:marTop w:val="0"/>
      <w:marBottom w:val="0"/>
      <w:divBdr>
        <w:top w:val="none" w:sz="0" w:space="0" w:color="auto"/>
        <w:left w:val="none" w:sz="0" w:space="0" w:color="auto"/>
        <w:bottom w:val="none" w:sz="0" w:space="0" w:color="auto"/>
        <w:right w:val="none" w:sz="0" w:space="0" w:color="auto"/>
      </w:divBdr>
    </w:div>
    <w:div w:id="1174568948">
      <w:bodyDiv w:val="1"/>
      <w:marLeft w:val="0"/>
      <w:marRight w:val="0"/>
      <w:marTop w:val="0"/>
      <w:marBottom w:val="0"/>
      <w:divBdr>
        <w:top w:val="none" w:sz="0" w:space="0" w:color="auto"/>
        <w:left w:val="none" w:sz="0" w:space="0" w:color="auto"/>
        <w:bottom w:val="none" w:sz="0" w:space="0" w:color="auto"/>
        <w:right w:val="none" w:sz="0" w:space="0" w:color="auto"/>
      </w:divBdr>
    </w:div>
    <w:div w:id="1176916454">
      <w:bodyDiv w:val="1"/>
      <w:marLeft w:val="0"/>
      <w:marRight w:val="0"/>
      <w:marTop w:val="0"/>
      <w:marBottom w:val="0"/>
      <w:divBdr>
        <w:top w:val="none" w:sz="0" w:space="0" w:color="auto"/>
        <w:left w:val="none" w:sz="0" w:space="0" w:color="auto"/>
        <w:bottom w:val="none" w:sz="0" w:space="0" w:color="auto"/>
        <w:right w:val="none" w:sz="0" w:space="0" w:color="auto"/>
      </w:divBdr>
    </w:div>
    <w:div w:id="1177383458">
      <w:bodyDiv w:val="1"/>
      <w:marLeft w:val="0"/>
      <w:marRight w:val="0"/>
      <w:marTop w:val="0"/>
      <w:marBottom w:val="0"/>
      <w:divBdr>
        <w:top w:val="none" w:sz="0" w:space="0" w:color="auto"/>
        <w:left w:val="none" w:sz="0" w:space="0" w:color="auto"/>
        <w:bottom w:val="none" w:sz="0" w:space="0" w:color="auto"/>
        <w:right w:val="none" w:sz="0" w:space="0" w:color="auto"/>
      </w:divBdr>
    </w:div>
    <w:div w:id="1177573090">
      <w:bodyDiv w:val="1"/>
      <w:marLeft w:val="0"/>
      <w:marRight w:val="0"/>
      <w:marTop w:val="0"/>
      <w:marBottom w:val="0"/>
      <w:divBdr>
        <w:top w:val="none" w:sz="0" w:space="0" w:color="auto"/>
        <w:left w:val="none" w:sz="0" w:space="0" w:color="auto"/>
        <w:bottom w:val="none" w:sz="0" w:space="0" w:color="auto"/>
        <w:right w:val="none" w:sz="0" w:space="0" w:color="auto"/>
      </w:divBdr>
    </w:div>
    <w:div w:id="1178151192">
      <w:bodyDiv w:val="1"/>
      <w:marLeft w:val="0"/>
      <w:marRight w:val="0"/>
      <w:marTop w:val="0"/>
      <w:marBottom w:val="0"/>
      <w:divBdr>
        <w:top w:val="none" w:sz="0" w:space="0" w:color="auto"/>
        <w:left w:val="none" w:sz="0" w:space="0" w:color="auto"/>
        <w:bottom w:val="none" w:sz="0" w:space="0" w:color="auto"/>
        <w:right w:val="none" w:sz="0" w:space="0" w:color="auto"/>
      </w:divBdr>
    </w:div>
    <w:div w:id="1182470995">
      <w:bodyDiv w:val="1"/>
      <w:marLeft w:val="0"/>
      <w:marRight w:val="0"/>
      <w:marTop w:val="0"/>
      <w:marBottom w:val="0"/>
      <w:divBdr>
        <w:top w:val="none" w:sz="0" w:space="0" w:color="auto"/>
        <w:left w:val="none" w:sz="0" w:space="0" w:color="auto"/>
        <w:bottom w:val="none" w:sz="0" w:space="0" w:color="auto"/>
        <w:right w:val="none" w:sz="0" w:space="0" w:color="auto"/>
      </w:divBdr>
    </w:div>
    <w:div w:id="1183086012">
      <w:bodyDiv w:val="1"/>
      <w:marLeft w:val="0"/>
      <w:marRight w:val="0"/>
      <w:marTop w:val="0"/>
      <w:marBottom w:val="0"/>
      <w:divBdr>
        <w:top w:val="none" w:sz="0" w:space="0" w:color="auto"/>
        <w:left w:val="none" w:sz="0" w:space="0" w:color="auto"/>
        <w:bottom w:val="none" w:sz="0" w:space="0" w:color="auto"/>
        <w:right w:val="none" w:sz="0" w:space="0" w:color="auto"/>
      </w:divBdr>
    </w:div>
    <w:div w:id="1183130719">
      <w:bodyDiv w:val="1"/>
      <w:marLeft w:val="0"/>
      <w:marRight w:val="0"/>
      <w:marTop w:val="0"/>
      <w:marBottom w:val="0"/>
      <w:divBdr>
        <w:top w:val="none" w:sz="0" w:space="0" w:color="auto"/>
        <w:left w:val="none" w:sz="0" w:space="0" w:color="auto"/>
        <w:bottom w:val="none" w:sz="0" w:space="0" w:color="auto"/>
        <w:right w:val="none" w:sz="0" w:space="0" w:color="auto"/>
      </w:divBdr>
    </w:div>
    <w:div w:id="1184635908">
      <w:bodyDiv w:val="1"/>
      <w:marLeft w:val="0"/>
      <w:marRight w:val="0"/>
      <w:marTop w:val="0"/>
      <w:marBottom w:val="0"/>
      <w:divBdr>
        <w:top w:val="none" w:sz="0" w:space="0" w:color="auto"/>
        <w:left w:val="none" w:sz="0" w:space="0" w:color="auto"/>
        <w:bottom w:val="none" w:sz="0" w:space="0" w:color="auto"/>
        <w:right w:val="none" w:sz="0" w:space="0" w:color="auto"/>
      </w:divBdr>
    </w:div>
    <w:div w:id="1185633733">
      <w:bodyDiv w:val="1"/>
      <w:marLeft w:val="0"/>
      <w:marRight w:val="0"/>
      <w:marTop w:val="0"/>
      <w:marBottom w:val="0"/>
      <w:divBdr>
        <w:top w:val="none" w:sz="0" w:space="0" w:color="auto"/>
        <w:left w:val="none" w:sz="0" w:space="0" w:color="auto"/>
        <w:bottom w:val="none" w:sz="0" w:space="0" w:color="auto"/>
        <w:right w:val="none" w:sz="0" w:space="0" w:color="auto"/>
      </w:divBdr>
    </w:div>
    <w:div w:id="1187670205">
      <w:bodyDiv w:val="1"/>
      <w:marLeft w:val="0"/>
      <w:marRight w:val="0"/>
      <w:marTop w:val="0"/>
      <w:marBottom w:val="0"/>
      <w:divBdr>
        <w:top w:val="none" w:sz="0" w:space="0" w:color="auto"/>
        <w:left w:val="none" w:sz="0" w:space="0" w:color="auto"/>
        <w:bottom w:val="none" w:sz="0" w:space="0" w:color="auto"/>
        <w:right w:val="none" w:sz="0" w:space="0" w:color="auto"/>
      </w:divBdr>
    </w:div>
    <w:div w:id="1194810090">
      <w:bodyDiv w:val="1"/>
      <w:marLeft w:val="0"/>
      <w:marRight w:val="0"/>
      <w:marTop w:val="0"/>
      <w:marBottom w:val="0"/>
      <w:divBdr>
        <w:top w:val="none" w:sz="0" w:space="0" w:color="auto"/>
        <w:left w:val="none" w:sz="0" w:space="0" w:color="auto"/>
        <w:bottom w:val="none" w:sz="0" w:space="0" w:color="auto"/>
        <w:right w:val="none" w:sz="0" w:space="0" w:color="auto"/>
      </w:divBdr>
    </w:div>
    <w:div w:id="1198617490">
      <w:bodyDiv w:val="1"/>
      <w:marLeft w:val="0"/>
      <w:marRight w:val="0"/>
      <w:marTop w:val="0"/>
      <w:marBottom w:val="0"/>
      <w:divBdr>
        <w:top w:val="none" w:sz="0" w:space="0" w:color="auto"/>
        <w:left w:val="none" w:sz="0" w:space="0" w:color="auto"/>
        <w:bottom w:val="none" w:sz="0" w:space="0" w:color="auto"/>
        <w:right w:val="none" w:sz="0" w:space="0" w:color="auto"/>
      </w:divBdr>
    </w:div>
    <w:div w:id="1198852342">
      <w:bodyDiv w:val="1"/>
      <w:marLeft w:val="0"/>
      <w:marRight w:val="0"/>
      <w:marTop w:val="0"/>
      <w:marBottom w:val="0"/>
      <w:divBdr>
        <w:top w:val="none" w:sz="0" w:space="0" w:color="auto"/>
        <w:left w:val="none" w:sz="0" w:space="0" w:color="auto"/>
        <w:bottom w:val="none" w:sz="0" w:space="0" w:color="auto"/>
        <w:right w:val="none" w:sz="0" w:space="0" w:color="auto"/>
      </w:divBdr>
    </w:div>
    <w:div w:id="1200508413">
      <w:bodyDiv w:val="1"/>
      <w:marLeft w:val="0"/>
      <w:marRight w:val="0"/>
      <w:marTop w:val="0"/>
      <w:marBottom w:val="0"/>
      <w:divBdr>
        <w:top w:val="none" w:sz="0" w:space="0" w:color="auto"/>
        <w:left w:val="none" w:sz="0" w:space="0" w:color="auto"/>
        <w:bottom w:val="none" w:sz="0" w:space="0" w:color="auto"/>
        <w:right w:val="none" w:sz="0" w:space="0" w:color="auto"/>
      </w:divBdr>
    </w:div>
    <w:div w:id="1201628419">
      <w:bodyDiv w:val="1"/>
      <w:marLeft w:val="0"/>
      <w:marRight w:val="0"/>
      <w:marTop w:val="0"/>
      <w:marBottom w:val="0"/>
      <w:divBdr>
        <w:top w:val="none" w:sz="0" w:space="0" w:color="auto"/>
        <w:left w:val="none" w:sz="0" w:space="0" w:color="auto"/>
        <w:bottom w:val="none" w:sz="0" w:space="0" w:color="auto"/>
        <w:right w:val="none" w:sz="0" w:space="0" w:color="auto"/>
      </w:divBdr>
    </w:div>
    <w:div w:id="1204636426">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05680563">
      <w:bodyDiv w:val="1"/>
      <w:marLeft w:val="0"/>
      <w:marRight w:val="0"/>
      <w:marTop w:val="0"/>
      <w:marBottom w:val="0"/>
      <w:divBdr>
        <w:top w:val="none" w:sz="0" w:space="0" w:color="auto"/>
        <w:left w:val="none" w:sz="0" w:space="0" w:color="auto"/>
        <w:bottom w:val="none" w:sz="0" w:space="0" w:color="auto"/>
        <w:right w:val="none" w:sz="0" w:space="0" w:color="auto"/>
      </w:divBdr>
    </w:div>
    <w:div w:id="1211263759">
      <w:bodyDiv w:val="1"/>
      <w:marLeft w:val="0"/>
      <w:marRight w:val="0"/>
      <w:marTop w:val="0"/>
      <w:marBottom w:val="0"/>
      <w:divBdr>
        <w:top w:val="none" w:sz="0" w:space="0" w:color="auto"/>
        <w:left w:val="none" w:sz="0" w:space="0" w:color="auto"/>
        <w:bottom w:val="none" w:sz="0" w:space="0" w:color="auto"/>
        <w:right w:val="none" w:sz="0" w:space="0" w:color="auto"/>
      </w:divBdr>
    </w:div>
    <w:div w:id="1214200407">
      <w:bodyDiv w:val="1"/>
      <w:marLeft w:val="0"/>
      <w:marRight w:val="0"/>
      <w:marTop w:val="0"/>
      <w:marBottom w:val="0"/>
      <w:divBdr>
        <w:top w:val="none" w:sz="0" w:space="0" w:color="auto"/>
        <w:left w:val="none" w:sz="0" w:space="0" w:color="auto"/>
        <w:bottom w:val="none" w:sz="0" w:space="0" w:color="auto"/>
        <w:right w:val="none" w:sz="0" w:space="0" w:color="auto"/>
      </w:divBdr>
    </w:div>
    <w:div w:id="1216356114">
      <w:bodyDiv w:val="1"/>
      <w:marLeft w:val="0"/>
      <w:marRight w:val="0"/>
      <w:marTop w:val="0"/>
      <w:marBottom w:val="0"/>
      <w:divBdr>
        <w:top w:val="none" w:sz="0" w:space="0" w:color="auto"/>
        <w:left w:val="none" w:sz="0" w:space="0" w:color="auto"/>
        <w:bottom w:val="none" w:sz="0" w:space="0" w:color="auto"/>
        <w:right w:val="none" w:sz="0" w:space="0" w:color="auto"/>
      </w:divBdr>
    </w:div>
    <w:div w:id="1216969356">
      <w:bodyDiv w:val="1"/>
      <w:marLeft w:val="0"/>
      <w:marRight w:val="0"/>
      <w:marTop w:val="0"/>
      <w:marBottom w:val="0"/>
      <w:divBdr>
        <w:top w:val="none" w:sz="0" w:space="0" w:color="auto"/>
        <w:left w:val="none" w:sz="0" w:space="0" w:color="auto"/>
        <w:bottom w:val="none" w:sz="0" w:space="0" w:color="auto"/>
        <w:right w:val="none" w:sz="0" w:space="0" w:color="auto"/>
      </w:divBdr>
    </w:div>
    <w:div w:id="1217164832">
      <w:bodyDiv w:val="1"/>
      <w:marLeft w:val="0"/>
      <w:marRight w:val="0"/>
      <w:marTop w:val="0"/>
      <w:marBottom w:val="0"/>
      <w:divBdr>
        <w:top w:val="none" w:sz="0" w:space="0" w:color="auto"/>
        <w:left w:val="none" w:sz="0" w:space="0" w:color="auto"/>
        <w:bottom w:val="none" w:sz="0" w:space="0" w:color="auto"/>
        <w:right w:val="none" w:sz="0" w:space="0" w:color="auto"/>
      </w:divBdr>
    </w:div>
    <w:div w:id="1218859787">
      <w:bodyDiv w:val="1"/>
      <w:marLeft w:val="0"/>
      <w:marRight w:val="0"/>
      <w:marTop w:val="0"/>
      <w:marBottom w:val="0"/>
      <w:divBdr>
        <w:top w:val="none" w:sz="0" w:space="0" w:color="auto"/>
        <w:left w:val="none" w:sz="0" w:space="0" w:color="auto"/>
        <w:bottom w:val="none" w:sz="0" w:space="0" w:color="auto"/>
        <w:right w:val="none" w:sz="0" w:space="0" w:color="auto"/>
      </w:divBdr>
    </w:div>
    <w:div w:id="1226838793">
      <w:bodyDiv w:val="1"/>
      <w:marLeft w:val="0"/>
      <w:marRight w:val="0"/>
      <w:marTop w:val="0"/>
      <w:marBottom w:val="0"/>
      <w:divBdr>
        <w:top w:val="none" w:sz="0" w:space="0" w:color="auto"/>
        <w:left w:val="none" w:sz="0" w:space="0" w:color="auto"/>
        <w:bottom w:val="none" w:sz="0" w:space="0" w:color="auto"/>
        <w:right w:val="none" w:sz="0" w:space="0" w:color="auto"/>
      </w:divBdr>
    </w:div>
    <w:div w:id="1230383656">
      <w:bodyDiv w:val="1"/>
      <w:marLeft w:val="0"/>
      <w:marRight w:val="0"/>
      <w:marTop w:val="0"/>
      <w:marBottom w:val="0"/>
      <w:divBdr>
        <w:top w:val="none" w:sz="0" w:space="0" w:color="auto"/>
        <w:left w:val="none" w:sz="0" w:space="0" w:color="auto"/>
        <w:bottom w:val="none" w:sz="0" w:space="0" w:color="auto"/>
        <w:right w:val="none" w:sz="0" w:space="0" w:color="auto"/>
      </w:divBdr>
    </w:div>
    <w:div w:id="1234314681">
      <w:bodyDiv w:val="1"/>
      <w:marLeft w:val="0"/>
      <w:marRight w:val="0"/>
      <w:marTop w:val="0"/>
      <w:marBottom w:val="0"/>
      <w:divBdr>
        <w:top w:val="none" w:sz="0" w:space="0" w:color="auto"/>
        <w:left w:val="none" w:sz="0" w:space="0" w:color="auto"/>
        <w:bottom w:val="none" w:sz="0" w:space="0" w:color="auto"/>
        <w:right w:val="none" w:sz="0" w:space="0" w:color="auto"/>
      </w:divBdr>
    </w:div>
    <w:div w:id="1246301583">
      <w:bodyDiv w:val="1"/>
      <w:marLeft w:val="0"/>
      <w:marRight w:val="0"/>
      <w:marTop w:val="0"/>
      <w:marBottom w:val="0"/>
      <w:divBdr>
        <w:top w:val="none" w:sz="0" w:space="0" w:color="auto"/>
        <w:left w:val="none" w:sz="0" w:space="0" w:color="auto"/>
        <w:bottom w:val="none" w:sz="0" w:space="0" w:color="auto"/>
        <w:right w:val="none" w:sz="0" w:space="0" w:color="auto"/>
      </w:divBdr>
    </w:div>
    <w:div w:id="1248997017">
      <w:bodyDiv w:val="1"/>
      <w:marLeft w:val="0"/>
      <w:marRight w:val="0"/>
      <w:marTop w:val="0"/>
      <w:marBottom w:val="0"/>
      <w:divBdr>
        <w:top w:val="none" w:sz="0" w:space="0" w:color="auto"/>
        <w:left w:val="none" w:sz="0" w:space="0" w:color="auto"/>
        <w:bottom w:val="none" w:sz="0" w:space="0" w:color="auto"/>
        <w:right w:val="none" w:sz="0" w:space="0" w:color="auto"/>
      </w:divBdr>
    </w:div>
    <w:div w:id="1254046671">
      <w:bodyDiv w:val="1"/>
      <w:marLeft w:val="0"/>
      <w:marRight w:val="0"/>
      <w:marTop w:val="0"/>
      <w:marBottom w:val="0"/>
      <w:divBdr>
        <w:top w:val="none" w:sz="0" w:space="0" w:color="auto"/>
        <w:left w:val="none" w:sz="0" w:space="0" w:color="auto"/>
        <w:bottom w:val="none" w:sz="0" w:space="0" w:color="auto"/>
        <w:right w:val="none" w:sz="0" w:space="0" w:color="auto"/>
      </w:divBdr>
    </w:div>
    <w:div w:id="1257061592">
      <w:bodyDiv w:val="1"/>
      <w:marLeft w:val="0"/>
      <w:marRight w:val="0"/>
      <w:marTop w:val="0"/>
      <w:marBottom w:val="0"/>
      <w:divBdr>
        <w:top w:val="none" w:sz="0" w:space="0" w:color="auto"/>
        <w:left w:val="none" w:sz="0" w:space="0" w:color="auto"/>
        <w:bottom w:val="none" w:sz="0" w:space="0" w:color="auto"/>
        <w:right w:val="none" w:sz="0" w:space="0" w:color="auto"/>
      </w:divBdr>
    </w:div>
    <w:div w:id="1258320947">
      <w:bodyDiv w:val="1"/>
      <w:marLeft w:val="0"/>
      <w:marRight w:val="0"/>
      <w:marTop w:val="0"/>
      <w:marBottom w:val="0"/>
      <w:divBdr>
        <w:top w:val="none" w:sz="0" w:space="0" w:color="auto"/>
        <w:left w:val="none" w:sz="0" w:space="0" w:color="auto"/>
        <w:bottom w:val="none" w:sz="0" w:space="0" w:color="auto"/>
        <w:right w:val="none" w:sz="0" w:space="0" w:color="auto"/>
      </w:divBdr>
    </w:div>
    <w:div w:id="1259602658">
      <w:bodyDiv w:val="1"/>
      <w:marLeft w:val="0"/>
      <w:marRight w:val="0"/>
      <w:marTop w:val="0"/>
      <w:marBottom w:val="0"/>
      <w:divBdr>
        <w:top w:val="none" w:sz="0" w:space="0" w:color="auto"/>
        <w:left w:val="none" w:sz="0" w:space="0" w:color="auto"/>
        <w:bottom w:val="none" w:sz="0" w:space="0" w:color="auto"/>
        <w:right w:val="none" w:sz="0" w:space="0" w:color="auto"/>
      </w:divBdr>
    </w:div>
    <w:div w:id="1260722521">
      <w:bodyDiv w:val="1"/>
      <w:marLeft w:val="0"/>
      <w:marRight w:val="0"/>
      <w:marTop w:val="0"/>
      <w:marBottom w:val="0"/>
      <w:divBdr>
        <w:top w:val="none" w:sz="0" w:space="0" w:color="auto"/>
        <w:left w:val="none" w:sz="0" w:space="0" w:color="auto"/>
        <w:bottom w:val="none" w:sz="0" w:space="0" w:color="auto"/>
        <w:right w:val="none" w:sz="0" w:space="0" w:color="auto"/>
      </w:divBdr>
    </w:div>
    <w:div w:id="1261526763">
      <w:bodyDiv w:val="1"/>
      <w:marLeft w:val="0"/>
      <w:marRight w:val="0"/>
      <w:marTop w:val="0"/>
      <w:marBottom w:val="0"/>
      <w:divBdr>
        <w:top w:val="none" w:sz="0" w:space="0" w:color="auto"/>
        <w:left w:val="none" w:sz="0" w:space="0" w:color="auto"/>
        <w:bottom w:val="none" w:sz="0" w:space="0" w:color="auto"/>
        <w:right w:val="none" w:sz="0" w:space="0" w:color="auto"/>
      </w:divBdr>
    </w:div>
    <w:div w:id="1265067322">
      <w:bodyDiv w:val="1"/>
      <w:marLeft w:val="0"/>
      <w:marRight w:val="0"/>
      <w:marTop w:val="0"/>
      <w:marBottom w:val="0"/>
      <w:divBdr>
        <w:top w:val="none" w:sz="0" w:space="0" w:color="auto"/>
        <w:left w:val="none" w:sz="0" w:space="0" w:color="auto"/>
        <w:bottom w:val="none" w:sz="0" w:space="0" w:color="auto"/>
        <w:right w:val="none" w:sz="0" w:space="0" w:color="auto"/>
      </w:divBdr>
    </w:div>
    <w:div w:id="1265961572">
      <w:bodyDiv w:val="1"/>
      <w:marLeft w:val="0"/>
      <w:marRight w:val="0"/>
      <w:marTop w:val="0"/>
      <w:marBottom w:val="0"/>
      <w:divBdr>
        <w:top w:val="none" w:sz="0" w:space="0" w:color="auto"/>
        <w:left w:val="none" w:sz="0" w:space="0" w:color="auto"/>
        <w:bottom w:val="none" w:sz="0" w:space="0" w:color="auto"/>
        <w:right w:val="none" w:sz="0" w:space="0" w:color="auto"/>
      </w:divBdr>
    </w:div>
    <w:div w:id="1266421757">
      <w:bodyDiv w:val="1"/>
      <w:marLeft w:val="0"/>
      <w:marRight w:val="0"/>
      <w:marTop w:val="0"/>
      <w:marBottom w:val="0"/>
      <w:divBdr>
        <w:top w:val="none" w:sz="0" w:space="0" w:color="auto"/>
        <w:left w:val="none" w:sz="0" w:space="0" w:color="auto"/>
        <w:bottom w:val="none" w:sz="0" w:space="0" w:color="auto"/>
        <w:right w:val="none" w:sz="0" w:space="0" w:color="auto"/>
      </w:divBdr>
    </w:div>
    <w:div w:id="1268734228">
      <w:bodyDiv w:val="1"/>
      <w:marLeft w:val="0"/>
      <w:marRight w:val="0"/>
      <w:marTop w:val="0"/>
      <w:marBottom w:val="0"/>
      <w:divBdr>
        <w:top w:val="none" w:sz="0" w:space="0" w:color="auto"/>
        <w:left w:val="none" w:sz="0" w:space="0" w:color="auto"/>
        <w:bottom w:val="none" w:sz="0" w:space="0" w:color="auto"/>
        <w:right w:val="none" w:sz="0" w:space="0" w:color="auto"/>
      </w:divBdr>
    </w:div>
    <w:div w:id="1268778231">
      <w:bodyDiv w:val="1"/>
      <w:marLeft w:val="0"/>
      <w:marRight w:val="0"/>
      <w:marTop w:val="0"/>
      <w:marBottom w:val="0"/>
      <w:divBdr>
        <w:top w:val="none" w:sz="0" w:space="0" w:color="auto"/>
        <w:left w:val="none" w:sz="0" w:space="0" w:color="auto"/>
        <w:bottom w:val="none" w:sz="0" w:space="0" w:color="auto"/>
        <w:right w:val="none" w:sz="0" w:space="0" w:color="auto"/>
      </w:divBdr>
    </w:div>
    <w:div w:id="1269047596">
      <w:bodyDiv w:val="1"/>
      <w:marLeft w:val="0"/>
      <w:marRight w:val="0"/>
      <w:marTop w:val="0"/>
      <w:marBottom w:val="0"/>
      <w:divBdr>
        <w:top w:val="none" w:sz="0" w:space="0" w:color="auto"/>
        <w:left w:val="none" w:sz="0" w:space="0" w:color="auto"/>
        <w:bottom w:val="none" w:sz="0" w:space="0" w:color="auto"/>
        <w:right w:val="none" w:sz="0" w:space="0" w:color="auto"/>
      </w:divBdr>
    </w:div>
    <w:div w:id="1272057270">
      <w:bodyDiv w:val="1"/>
      <w:marLeft w:val="0"/>
      <w:marRight w:val="0"/>
      <w:marTop w:val="0"/>
      <w:marBottom w:val="0"/>
      <w:divBdr>
        <w:top w:val="none" w:sz="0" w:space="0" w:color="auto"/>
        <w:left w:val="none" w:sz="0" w:space="0" w:color="auto"/>
        <w:bottom w:val="none" w:sz="0" w:space="0" w:color="auto"/>
        <w:right w:val="none" w:sz="0" w:space="0" w:color="auto"/>
      </w:divBdr>
    </w:div>
    <w:div w:id="1272321136">
      <w:bodyDiv w:val="1"/>
      <w:marLeft w:val="0"/>
      <w:marRight w:val="0"/>
      <w:marTop w:val="0"/>
      <w:marBottom w:val="0"/>
      <w:divBdr>
        <w:top w:val="none" w:sz="0" w:space="0" w:color="auto"/>
        <w:left w:val="none" w:sz="0" w:space="0" w:color="auto"/>
        <w:bottom w:val="none" w:sz="0" w:space="0" w:color="auto"/>
        <w:right w:val="none" w:sz="0" w:space="0" w:color="auto"/>
      </w:divBdr>
    </w:div>
    <w:div w:id="1272785148">
      <w:bodyDiv w:val="1"/>
      <w:marLeft w:val="0"/>
      <w:marRight w:val="0"/>
      <w:marTop w:val="0"/>
      <w:marBottom w:val="0"/>
      <w:divBdr>
        <w:top w:val="none" w:sz="0" w:space="0" w:color="auto"/>
        <w:left w:val="none" w:sz="0" w:space="0" w:color="auto"/>
        <w:bottom w:val="none" w:sz="0" w:space="0" w:color="auto"/>
        <w:right w:val="none" w:sz="0" w:space="0" w:color="auto"/>
      </w:divBdr>
    </w:div>
    <w:div w:id="1273244046">
      <w:bodyDiv w:val="1"/>
      <w:marLeft w:val="0"/>
      <w:marRight w:val="0"/>
      <w:marTop w:val="0"/>
      <w:marBottom w:val="0"/>
      <w:divBdr>
        <w:top w:val="none" w:sz="0" w:space="0" w:color="auto"/>
        <w:left w:val="none" w:sz="0" w:space="0" w:color="auto"/>
        <w:bottom w:val="none" w:sz="0" w:space="0" w:color="auto"/>
        <w:right w:val="none" w:sz="0" w:space="0" w:color="auto"/>
      </w:divBdr>
    </w:div>
    <w:div w:id="1273780124">
      <w:bodyDiv w:val="1"/>
      <w:marLeft w:val="0"/>
      <w:marRight w:val="0"/>
      <w:marTop w:val="0"/>
      <w:marBottom w:val="0"/>
      <w:divBdr>
        <w:top w:val="none" w:sz="0" w:space="0" w:color="auto"/>
        <w:left w:val="none" w:sz="0" w:space="0" w:color="auto"/>
        <w:bottom w:val="none" w:sz="0" w:space="0" w:color="auto"/>
        <w:right w:val="none" w:sz="0" w:space="0" w:color="auto"/>
      </w:divBdr>
    </w:div>
    <w:div w:id="1274898868">
      <w:bodyDiv w:val="1"/>
      <w:marLeft w:val="0"/>
      <w:marRight w:val="0"/>
      <w:marTop w:val="0"/>
      <w:marBottom w:val="0"/>
      <w:divBdr>
        <w:top w:val="none" w:sz="0" w:space="0" w:color="auto"/>
        <w:left w:val="none" w:sz="0" w:space="0" w:color="auto"/>
        <w:bottom w:val="none" w:sz="0" w:space="0" w:color="auto"/>
        <w:right w:val="none" w:sz="0" w:space="0" w:color="auto"/>
      </w:divBdr>
    </w:div>
    <w:div w:id="1279798366">
      <w:bodyDiv w:val="1"/>
      <w:marLeft w:val="0"/>
      <w:marRight w:val="0"/>
      <w:marTop w:val="0"/>
      <w:marBottom w:val="0"/>
      <w:divBdr>
        <w:top w:val="none" w:sz="0" w:space="0" w:color="auto"/>
        <w:left w:val="none" w:sz="0" w:space="0" w:color="auto"/>
        <w:bottom w:val="none" w:sz="0" w:space="0" w:color="auto"/>
        <w:right w:val="none" w:sz="0" w:space="0" w:color="auto"/>
      </w:divBdr>
    </w:div>
    <w:div w:id="1286427433">
      <w:bodyDiv w:val="1"/>
      <w:marLeft w:val="0"/>
      <w:marRight w:val="0"/>
      <w:marTop w:val="0"/>
      <w:marBottom w:val="0"/>
      <w:divBdr>
        <w:top w:val="none" w:sz="0" w:space="0" w:color="auto"/>
        <w:left w:val="none" w:sz="0" w:space="0" w:color="auto"/>
        <w:bottom w:val="none" w:sz="0" w:space="0" w:color="auto"/>
        <w:right w:val="none" w:sz="0" w:space="0" w:color="auto"/>
      </w:divBdr>
    </w:div>
    <w:div w:id="1288199415">
      <w:bodyDiv w:val="1"/>
      <w:marLeft w:val="0"/>
      <w:marRight w:val="0"/>
      <w:marTop w:val="0"/>
      <w:marBottom w:val="0"/>
      <w:divBdr>
        <w:top w:val="none" w:sz="0" w:space="0" w:color="auto"/>
        <w:left w:val="none" w:sz="0" w:space="0" w:color="auto"/>
        <w:bottom w:val="none" w:sz="0" w:space="0" w:color="auto"/>
        <w:right w:val="none" w:sz="0" w:space="0" w:color="auto"/>
      </w:divBdr>
    </w:div>
    <w:div w:id="1291203892">
      <w:bodyDiv w:val="1"/>
      <w:marLeft w:val="0"/>
      <w:marRight w:val="0"/>
      <w:marTop w:val="0"/>
      <w:marBottom w:val="0"/>
      <w:divBdr>
        <w:top w:val="none" w:sz="0" w:space="0" w:color="auto"/>
        <w:left w:val="none" w:sz="0" w:space="0" w:color="auto"/>
        <w:bottom w:val="none" w:sz="0" w:space="0" w:color="auto"/>
        <w:right w:val="none" w:sz="0" w:space="0" w:color="auto"/>
      </w:divBdr>
    </w:div>
    <w:div w:id="1295333479">
      <w:bodyDiv w:val="1"/>
      <w:marLeft w:val="0"/>
      <w:marRight w:val="0"/>
      <w:marTop w:val="0"/>
      <w:marBottom w:val="0"/>
      <w:divBdr>
        <w:top w:val="none" w:sz="0" w:space="0" w:color="auto"/>
        <w:left w:val="none" w:sz="0" w:space="0" w:color="auto"/>
        <w:bottom w:val="none" w:sz="0" w:space="0" w:color="auto"/>
        <w:right w:val="none" w:sz="0" w:space="0" w:color="auto"/>
      </w:divBdr>
    </w:div>
    <w:div w:id="1295719066">
      <w:bodyDiv w:val="1"/>
      <w:marLeft w:val="0"/>
      <w:marRight w:val="0"/>
      <w:marTop w:val="0"/>
      <w:marBottom w:val="0"/>
      <w:divBdr>
        <w:top w:val="none" w:sz="0" w:space="0" w:color="auto"/>
        <w:left w:val="none" w:sz="0" w:space="0" w:color="auto"/>
        <w:bottom w:val="none" w:sz="0" w:space="0" w:color="auto"/>
        <w:right w:val="none" w:sz="0" w:space="0" w:color="auto"/>
      </w:divBdr>
    </w:div>
    <w:div w:id="1296839823">
      <w:bodyDiv w:val="1"/>
      <w:marLeft w:val="0"/>
      <w:marRight w:val="0"/>
      <w:marTop w:val="0"/>
      <w:marBottom w:val="0"/>
      <w:divBdr>
        <w:top w:val="none" w:sz="0" w:space="0" w:color="auto"/>
        <w:left w:val="none" w:sz="0" w:space="0" w:color="auto"/>
        <w:bottom w:val="none" w:sz="0" w:space="0" w:color="auto"/>
        <w:right w:val="none" w:sz="0" w:space="0" w:color="auto"/>
      </w:divBdr>
    </w:div>
    <w:div w:id="1297377183">
      <w:bodyDiv w:val="1"/>
      <w:marLeft w:val="0"/>
      <w:marRight w:val="0"/>
      <w:marTop w:val="0"/>
      <w:marBottom w:val="0"/>
      <w:divBdr>
        <w:top w:val="none" w:sz="0" w:space="0" w:color="auto"/>
        <w:left w:val="none" w:sz="0" w:space="0" w:color="auto"/>
        <w:bottom w:val="none" w:sz="0" w:space="0" w:color="auto"/>
        <w:right w:val="none" w:sz="0" w:space="0" w:color="auto"/>
      </w:divBdr>
    </w:div>
    <w:div w:id="1297643494">
      <w:bodyDiv w:val="1"/>
      <w:marLeft w:val="0"/>
      <w:marRight w:val="0"/>
      <w:marTop w:val="0"/>
      <w:marBottom w:val="0"/>
      <w:divBdr>
        <w:top w:val="none" w:sz="0" w:space="0" w:color="auto"/>
        <w:left w:val="none" w:sz="0" w:space="0" w:color="auto"/>
        <w:bottom w:val="none" w:sz="0" w:space="0" w:color="auto"/>
        <w:right w:val="none" w:sz="0" w:space="0" w:color="auto"/>
      </w:divBdr>
    </w:div>
    <w:div w:id="1300454738">
      <w:bodyDiv w:val="1"/>
      <w:marLeft w:val="0"/>
      <w:marRight w:val="0"/>
      <w:marTop w:val="0"/>
      <w:marBottom w:val="0"/>
      <w:divBdr>
        <w:top w:val="none" w:sz="0" w:space="0" w:color="auto"/>
        <w:left w:val="none" w:sz="0" w:space="0" w:color="auto"/>
        <w:bottom w:val="none" w:sz="0" w:space="0" w:color="auto"/>
        <w:right w:val="none" w:sz="0" w:space="0" w:color="auto"/>
      </w:divBdr>
    </w:div>
    <w:div w:id="1301616019">
      <w:bodyDiv w:val="1"/>
      <w:marLeft w:val="0"/>
      <w:marRight w:val="0"/>
      <w:marTop w:val="0"/>
      <w:marBottom w:val="0"/>
      <w:divBdr>
        <w:top w:val="none" w:sz="0" w:space="0" w:color="auto"/>
        <w:left w:val="none" w:sz="0" w:space="0" w:color="auto"/>
        <w:bottom w:val="none" w:sz="0" w:space="0" w:color="auto"/>
        <w:right w:val="none" w:sz="0" w:space="0" w:color="auto"/>
      </w:divBdr>
    </w:div>
    <w:div w:id="1302728473">
      <w:bodyDiv w:val="1"/>
      <w:marLeft w:val="0"/>
      <w:marRight w:val="0"/>
      <w:marTop w:val="0"/>
      <w:marBottom w:val="0"/>
      <w:divBdr>
        <w:top w:val="none" w:sz="0" w:space="0" w:color="auto"/>
        <w:left w:val="none" w:sz="0" w:space="0" w:color="auto"/>
        <w:bottom w:val="none" w:sz="0" w:space="0" w:color="auto"/>
        <w:right w:val="none" w:sz="0" w:space="0" w:color="auto"/>
      </w:divBdr>
    </w:div>
    <w:div w:id="1306668514">
      <w:bodyDiv w:val="1"/>
      <w:marLeft w:val="0"/>
      <w:marRight w:val="0"/>
      <w:marTop w:val="0"/>
      <w:marBottom w:val="0"/>
      <w:divBdr>
        <w:top w:val="none" w:sz="0" w:space="0" w:color="auto"/>
        <w:left w:val="none" w:sz="0" w:space="0" w:color="auto"/>
        <w:bottom w:val="none" w:sz="0" w:space="0" w:color="auto"/>
        <w:right w:val="none" w:sz="0" w:space="0" w:color="auto"/>
      </w:divBdr>
    </w:div>
    <w:div w:id="1306811323">
      <w:bodyDiv w:val="1"/>
      <w:marLeft w:val="0"/>
      <w:marRight w:val="0"/>
      <w:marTop w:val="0"/>
      <w:marBottom w:val="0"/>
      <w:divBdr>
        <w:top w:val="none" w:sz="0" w:space="0" w:color="auto"/>
        <w:left w:val="none" w:sz="0" w:space="0" w:color="auto"/>
        <w:bottom w:val="none" w:sz="0" w:space="0" w:color="auto"/>
        <w:right w:val="none" w:sz="0" w:space="0" w:color="auto"/>
      </w:divBdr>
    </w:div>
    <w:div w:id="1307276724">
      <w:bodyDiv w:val="1"/>
      <w:marLeft w:val="0"/>
      <w:marRight w:val="0"/>
      <w:marTop w:val="0"/>
      <w:marBottom w:val="0"/>
      <w:divBdr>
        <w:top w:val="none" w:sz="0" w:space="0" w:color="auto"/>
        <w:left w:val="none" w:sz="0" w:space="0" w:color="auto"/>
        <w:bottom w:val="none" w:sz="0" w:space="0" w:color="auto"/>
        <w:right w:val="none" w:sz="0" w:space="0" w:color="auto"/>
      </w:divBdr>
    </w:div>
    <w:div w:id="1310330576">
      <w:bodyDiv w:val="1"/>
      <w:marLeft w:val="0"/>
      <w:marRight w:val="0"/>
      <w:marTop w:val="0"/>
      <w:marBottom w:val="0"/>
      <w:divBdr>
        <w:top w:val="none" w:sz="0" w:space="0" w:color="auto"/>
        <w:left w:val="none" w:sz="0" w:space="0" w:color="auto"/>
        <w:bottom w:val="none" w:sz="0" w:space="0" w:color="auto"/>
        <w:right w:val="none" w:sz="0" w:space="0" w:color="auto"/>
      </w:divBdr>
    </w:div>
    <w:div w:id="1311667369">
      <w:bodyDiv w:val="1"/>
      <w:marLeft w:val="0"/>
      <w:marRight w:val="0"/>
      <w:marTop w:val="0"/>
      <w:marBottom w:val="0"/>
      <w:divBdr>
        <w:top w:val="none" w:sz="0" w:space="0" w:color="auto"/>
        <w:left w:val="none" w:sz="0" w:space="0" w:color="auto"/>
        <w:bottom w:val="none" w:sz="0" w:space="0" w:color="auto"/>
        <w:right w:val="none" w:sz="0" w:space="0" w:color="auto"/>
      </w:divBdr>
    </w:div>
    <w:div w:id="1313098587">
      <w:bodyDiv w:val="1"/>
      <w:marLeft w:val="0"/>
      <w:marRight w:val="0"/>
      <w:marTop w:val="0"/>
      <w:marBottom w:val="0"/>
      <w:divBdr>
        <w:top w:val="none" w:sz="0" w:space="0" w:color="auto"/>
        <w:left w:val="none" w:sz="0" w:space="0" w:color="auto"/>
        <w:bottom w:val="none" w:sz="0" w:space="0" w:color="auto"/>
        <w:right w:val="none" w:sz="0" w:space="0" w:color="auto"/>
      </w:divBdr>
    </w:div>
    <w:div w:id="1314794053">
      <w:bodyDiv w:val="1"/>
      <w:marLeft w:val="0"/>
      <w:marRight w:val="0"/>
      <w:marTop w:val="0"/>
      <w:marBottom w:val="0"/>
      <w:divBdr>
        <w:top w:val="none" w:sz="0" w:space="0" w:color="auto"/>
        <w:left w:val="none" w:sz="0" w:space="0" w:color="auto"/>
        <w:bottom w:val="none" w:sz="0" w:space="0" w:color="auto"/>
        <w:right w:val="none" w:sz="0" w:space="0" w:color="auto"/>
      </w:divBdr>
    </w:div>
    <w:div w:id="1316497841">
      <w:bodyDiv w:val="1"/>
      <w:marLeft w:val="0"/>
      <w:marRight w:val="0"/>
      <w:marTop w:val="0"/>
      <w:marBottom w:val="0"/>
      <w:divBdr>
        <w:top w:val="none" w:sz="0" w:space="0" w:color="auto"/>
        <w:left w:val="none" w:sz="0" w:space="0" w:color="auto"/>
        <w:bottom w:val="none" w:sz="0" w:space="0" w:color="auto"/>
        <w:right w:val="none" w:sz="0" w:space="0" w:color="auto"/>
      </w:divBdr>
    </w:div>
    <w:div w:id="1319378106">
      <w:bodyDiv w:val="1"/>
      <w:marLeft w:val="0"/>
      <w:marRight w:val="0"/>
      <w:marTop w:val="0"/>
      <w:marBottom w:val="0"/>
      <w:divBdr>
        <w:top w:val="none" w:sz="0" w:space="0" w:color="auto"/>
        <w:left w:val="none" w:sz="0" w:space="0" w:color="auto"/>
        <w:bottom w:val="none" w:sz="0" w:space="0" w:color="auto"/>
        <w:right w:val="none" w:sz="0" w:space="0" w:color="auto"/>
      </w:divBdr>
    </w:div>
    <w:div w:id="1320887950">
      <w:bodyDiv w:val="1"/>
      <w:marLeft w:val="0"/>
      <w:marRight w:val="0"/>
      <w:marTop w:val="0"/>
      <w:marBottom w:val="0"/>
      <w:divBdr>
        <w:top w:val="none" w:sz="0" w:space="0" w:color="auto"/>
        <w:left w:val="none" w:sz="0" w:space="0" w:color="auto"/>
        <w:bottom w:val="none" w:sz="0" w:space="0" w:color="auto"/>
        <w:right w:val="none" w:sz="0" w:space="0" w:color="auto"/>
      </w:divBdr>
    </w:div>
    <w:div w:id="1325165289">
      <w:bodyDiv w:val="1"/>
      <w:marLeft w:val="0"/>
      <w:marRight w:val="0"/>
      <w:marTop w:val="0"/>
      <w:marBottom w:val="0"/>
      <w:divBdr>
        <w:top w:val="none" w:sz="0" w:space="0" w:color="auto"/>
        <w:left w:val="none" w:sz="0" w:space="0" w:color="auto"/>
        <w:bottom w:val="none" w:sz="0" w:space="0" w:color="auto"/>
        <w:right w:val="none" w:sz="0" w:space="0" w:color="auto"/>
      </w:divBdr>
    </w:div>
    <w:div w:id="1331179727">
      <w:bodyDiv w:val="1"/>
      <w:marLeft w:val="0"/>
      <w:marRight w:val="0"/>
      <w:marTop w:val="0"/>
      <w:marBottom w:val="0"/>
      <w:divBdr>
        <w:top w:val="none" w:sz="0" w:space="0" w:color="auto"/>
        <w:left w:val="none" w:sz="0" w:space="0" w:color="auto"/>
        <w:bottom w:val="none" w:sz="0" w:space="0" w:color="auto"/>
        <w:right w:val="none" w:sz="0" w:space="0" w:color="auto"/>
      </w:divBdr>
    </w:div>
    <w:div w:id="1332295094">
      <w:bodyDiv w:val="1"/>
      <w:marLeft w:val="0"/>
      <w:marRight w:val="0"/>
      <w:marTop w:val="0"/>
      <w:marBottom w:val="0"/>
      <w:divBdr>
        <w:top w:val="none" w:sz="0" w:space="0" w:color="auto"/>
        <w:left w:val="none" w:sz="0" w:space="0" w:color="auto"/>
        <w:bottom w:val="none" w:sz="0" w:space="0" w:color="auto"/>
        <w:right w:val="none" w:sz="0" w:space="0" w:color="auto"/>
      </w:divBdr>
    </w:div>
    <w:div w:id="1332875451">
      <w:bodyDiv w:val="1"/>
      <w:marLeft w:val="0"/>
      <w:marRight w:val="0"/>
      <w:marTop w:val="0"/>
      <w:marBottom w:val="0"/>
      <w:divBdr>
        <w:top w:val="none" w:sz="0" w:space="0" w:color="auto"/>
        <w:left w:val="none" w:sz="0" w:space="0" w:color="auto"/>
        <w:bottom w:val="none" w:sz="0" w:space="0" w:color="auto"/>
        <w:right w:val="none" w:sz="0" w:space="0" w:color="auto"/>
      </w:divBdr>
    </w:div>
    <w:div w:id="1333948650">
      <w:bodyDiv w:val="1"/>
      <w:marLeft w:val="0"/>
      <w:marRight w:val="0"/>
      <w:marTop w:val="0"/>
      <w:marBottom w:val="0"/>
      <w:divBdr>
        <w:top w:val="none" w:sz="0" w:space="0" w:color="auto"/>
        <w:left w:val="none" w:sz="0" w:space="0" w:color="auto"/>
        <w:bottom w:val="none" w:sz="0" w:space="0" w:color="auto"/>
        <w:right w:val="none" w:sz="0" w:space="0" w:color="auto"/>
      </w:divBdr>
    </w:div>
    <w:div w:id="1335571457">
      <w:bodyDiv w:val="1"/>
      <w:marLeft w:val="0"/>
      <w:marRight w:val="0"/>
      <w:marTop w:val="0"/>
      <w:marBottom w:val="0"/>
      <w:divBdr>
        <w:top w:val="none" w:sz="0" w:space="0" w:color="auto"/>
        <w:left w:val="none" w:sz="0" w:space="0" w:color="auto"/>
        <w:bottom w:val="none" w:sz="0" w:space="0" w:color="auto"/>
        <w:right w:val="none" w:sz="0" w:space="0" w:color="auto"/>
      </w:divBdr>
    </w:div>
    <w:div w:id="1341616971">
      <w:bodyDiv w:val="1"/>
      <w:marLeft w:val="0"/>
      <w:marRight w:val="0"/>
      <w:marTop w:val="0"/>
      <w:marBottom w:val="0"/>
      <w:divBdr>
        <w:top w:val="none" w:sz="0" w:space="0" w:color="auto"/>
        <w:left w:val="none" w:sz="0" w:space="0" w:color="auto"/>
        <w:bottom w:val="none" w:sz="0" w:space="0" w:color="auto"/>
        <w:right w:val="none" w:sz="0" w:space="0" w:color="auto"/>
      </w:divBdr>
    </w:div>
    <w:div w:id="1342009047">
      <w:bodyDiv w:val="1"/>
      <w:marLeft w:val="0"/>
      <w:marRight w:val="0"/>
      <w:marTop w:val="0"/>
      <w:marBottom w:val="0"/>
      <w:divBdr>
        <w:top w:val="none" w:sz="0" w:space="0" w:color="auto"/>
        <w:left w:val="none" w:sz="0" w:space="0" w:color="auto"/>
        <w:bottom w:val="none" w:sz="0" w:space="0" w:color="auto"/>
        <w:right w:val="none" w:sz="0" w:space="0" w:color="auto"/>
      </w:divBdr>
    </w:div>
    <w:div w:id="1347707763">
      <w:bodyDiv w:val="1"/>
      <w:marLeft w:val="0"/>
      <w:marRight w:val="0"/>
      <w:marTop w:val="0"/>
      <w:marBottom w:val="0"/>
      <w:divBdr>
        <w:top w:val="none" w:sz="0" w:space="0" w:color="auto"/>
        <w:left w:val="none" w:sz="0" w:space="0" w:color="auto"/>
        <w:bottom w:val="none" w:sz="0" w:space="0" w:color="auto"/>
        <w:right w:val="none" w:sz="0" w:space="0" w:color="auto"/>
      </w:divBdr>
    </w:div>
    <w:div w:id="1349522900">
      <w:bodyDiv w:val="1"/>
      <w:marLeft w:val="0"/>
      <w:marRight w:val="0"/>
      <w:marTop w:val="0"/>
      <w:marBottom w:val="0"/>
      <w:divBdr>
        <w:top w:val="none" w:sz="0" w:space="0" w:color="auto"/>
        <w:left w:val="none" w:sz="0" w:space="0" w:color="auto"/>
        <w:bottom w:val="none" w:sz="0" w:space="0" w:color="auto"/>
        <w:right w:val="none" w:sz="0" w:space="0" w:color="auto"/>
      </w:divBdr>
    </w:div>
    <w:div w:id="1355576039">
      <w:bodyDiv w:val="1"/>
      <w:marLeft w:val="0"/>
      <w:marRight w:val="0"/>
      <w:marTop w:val="0"/>
      <w:marBottom w:val="0"/>
      <w:divBdr>
        <w:top w:val="none" w:sz="0" w:space="0" w:color="auto"/>
        <w:left w:val="none" w:sz="0" w:space="0" w:color="auto"/>
        <w:bottom w:val="none" w:sz="0" w:space="0" w:color="auto"/>
        <w:right w:val="none" w:sz="0" w:space="0" w:color="auto"/>
      </w:divBdr>
    </w:div>
    <w:div w:id="1358198260">
      <w:bodyDiv w:val="1"/>
      <w:marLeft w:val="0"/>
      <w:marRight w:val="0"/>
      <w:marTop w:val="0"/>
      <w:marBottom w:val="0"/>
      <w:divBdr>
        <w:top w:val="none" w:sz="0" w:space="0" w:color="auto"/>
        <w:left w:val="none" w:sz="0" w:space="0" w:color="auto"/>
        <w:bottom w:val="none" w:sz="0" w:space="0" w:color="auto"/>
        <w:right w:val="none" w:sz="0" w:space="0" w:color="auto"/>
      </w:divBdr>
    </w:div>
    <w:div w:id="1358501711">
      <w:bodyDiv w:val="1"/>
      <w:marLeft w:val="0"/>
      <w:marRight w:val="0"/>
      <w:marTop w:val="0"/>
      <w:marBottom w:val="0"/>
      <w:divBdr>
        <w:top w:val="none" w:sz="0" w:space="0" w:color="auto"/>
        <w:left w:val="none" w:sz="0" w:space="0" w:color="auto"/>
        <w:bottom w:val="none" w:sz="0" w:space="0" w:color="auto"/>
        <w:right w:val="none" w:sz="0" w:space="0" w:color="auto"/>
      </w:divBdr>
    </w:div>
    <w:div w:id="1358579863">
      <w:bodyDiv w:val="1"/>
      <w:marLeft w:val="0"/>
      <w:marRight w:val="0"/>
      <w:marTop w:val="0"/>
      <w:marBottom w:val="0"/>
      <w:divBdr>
        <w:top w:val="none" w:sz="0" w:space="0" w:color="auto"/>
        <w:left w:val="none" w:sz="0" w:space="0" w:color="auto"/>
        <w:bottom w:val="none" w:sz="0" w:space="0" w:color="auto"/>
        <w:right w:val="none" w:sz="0" w:space="0" w:color="auto"/>
      </w:divBdr>
    </w:div>
    <w:div w:id="1359358952">
      <w:bodyDiv w:val="1"/>
      <w:marLeft w:val="0"/>
      <w:marRight w:val="0"/>
      <w:marTop w:val="0"/>
      <w:marBottom w:val="0"/>
      <w:divBdr>
        <w:top w:val="none" w:sz="0" w:space="0" w:color="auto"/>
        <w:left w:val="none" w:sz="0" w:space="0" w:color="auto"/>
        <w:bottom w:val="none" w:sz="0" w:space="0" w:color="auto"/>
        <w:right w:val="none" w:sz="0" w:space="0" w:color="auto"/>
      </w:divBdr>
    </w:div>
    <w:div w:id="1366952032">
      <w:bodyDiv w:val="1"/>
      <w:marLeft w:val="0"/>
      <w:marRight w:val="0"/>
      <w:marTop w:val="0"/>
      <w:marBottom w:val="0"/>
      <w:divBdr>
        <w:top w:val="none" w:sz="0" w:space="0" w:color="auto"/>
        <w:left w:val="none" w:sz="0" w:space="0" w:color="auto"/>
        <w:bottom w:val="none" w:sz="0" w:space="0" w:color="auto"/>
        <w:right w:val="none" w:sz="0" w:space="0" w:color="auto"/>
      </w:divBdr>
    </w:div>
    <w:div w:id="1367292177">
      <w:bodyDiv w:val="1"/>
      <w:marLeft w:val="0"/>
      <w:marRight w:val="0"/>
      <w:marTop w:val="0"/>
      <w:marBottom w:val="0"/>
      <w:divBdr>
        <w:top w:val="none" w:sz="0" w:space="0" w:color="auto"/>
        <w:left w:val="none" w:sz="0" w:space="0" w:color="auto"/>
        <w:bottom w:val="none" w:sz="0" w:space="0" w:color="auto"/>
        <w:right w:val="none" w:sz="0" w:space="0" w:color="auto"/>
      </w:divBdr>
    </w:div>
    <w:div w:id="1367633634">
      <w:bodyDiv w:val="1"/>
      <w:marLeft w:val="0"/>
      <w:marRight w:val="0"/>
      <w:marTop w:val="0"/>
      <w:marBottom w:val="0"/>
      <w:divBdr>
        <w:top w:val="none" w:sz="0" w:space="0" w:color="auto"/>
        <w:left w:val="none" w:sz="0" w:space="0" w:color="auto"/>
        <w:bottom w:val="none" w:sz="0" w:space="0" w:color="auto"/>
        <w:right w:val="none" w:sz="0" w:space="0" w:color="auto"/>
      </w:divBdr>
    </w:div>
    <w:div w:id="1375349493">
      <w:bodyDiv w:val="1"/>
      <w:marLeft w:val="0"/>
      <w:marRight w:val="0"/>
      <w:marTop w:val="0"/>
      <w:marBottom w:val="0"/>
      <w:divBdr>
        <w:top w:val="none" w:sz="0" w:space="0" w:color="auto"/>
        <w:left w:val="none" w:sz="0" w:space="0" w:color="auto"/>
        <w:bottom w:val="none" w:sz="0" w:space="0" w:color="auto"/>
        <w:right w:val="none" w:sz="0" w:space="0" w:color="auto"/>
      </w:divBdr>
    </w:div>
    <w:div w:id="1376277060">
      <w:bodyDiv w:val="1"/>
      <w:marLeft w:val="0"/>
      <w:marRight w:val="0"/>
      <w:marTop w:val="0"/>
      <w:marBottom w:val="0"/>
      <w:divBdr>
        <w:top w:val="none" w:sz="0" w:space="0" w:color="auto"/>
        <w:left w:val="none" w:sz="0" w:space="0" w:color="auto"/>
        <w:bottom w:val="none" w:sz="0" w:space="0" w:color="auto"/>
        <w:right w:val="none" w:sz="0" w:space="0" w:color="auto"/>
      </w:divBdr>
    </w:div>
    <w:div w:id="1376853410">
      <w:bodyDiv w:val="1"/>
      <w:marLeft w:val="0"/>
      <w:marRight w:val="0"/>
      <w:marTop w:val="0"/>
      <w:marBottom w:val="0"/>
      <w:divBdr>
        <w:top w:val="none" w:sz="0" w:space="0" w:color="auto"/>
        <w:left w:val="none" w:sz="0" w:space="0" w:color="auto"/>
        <w:bottom w:val="none" w:sz="0" w:space="0" w:color="auto"/>
        <w:right w:val="none" w:sz="0" w:space="0" w:color="auto"/>
      </w:divBdr>
    </w:div>
    <w:div w:id="1380930819">
      <w:bodyDiv w:val="1"/>
      <w:marLeft w:val="0"/>
      <w:marRight w:val="0"/>
      <w:marTop w:val="0"/>
      <w:marBottom w:val="0"/>
      <w:divBdr>
        <w:top w:val="none" w:sz="0" w:space="0" w:color="auto"/>
        <w:left w:val="none" w:sz="0" w:space="0" w:color="auto"/>
        <w:bottom w:val="none" w:sz="0" w:space="0" w:color="auto"/>
        <w:right w:val="none" w:sz="0" w:space="0" w:color="auto"/>
      </w:divBdr>
    </w:div>
    <w:div w:id="1382558975">
      <w:bodyDiv w:val="1"/>
      <w:marLeft w:val="0"/>
      <w:marRight w:val="0"/>
      <w:marTop w:val="0"/>
      <w:marBottom w:val="0"/>
      <w:divBdr>
        <w:top w:val="none" w:sz="0" w:space="0" w:color="auto"/>
        <w:left w:val="none" w:sz="0" w:space="0" w:color="auto"/>
        <w:bottom w:val="none" w:sz="0" w:space="0" w:color="auto"/>
        <w:right w:val="none" w:sz="0" w:space="0" w:color="auto"/>
      </w:divBdr>
    </w:div>
    <w:div w:id="1382679907">
      <w:bodyDiv w:val="1"/>
      <w:marLeft w:val="0"/>
      <w:marRight w:val="0"/>
      <w:marTop w:val="0"/>
      <w:marBottom w:val="0"/>
      <w:divBdr>
        <w:top w:val="none" w:sz="0" w:space="0" w:color="auto"/>
        <w:left w:val="none" w:sz="0" w:space="0" w:color="auto"/>
        <w:bottom w:val="none" w:sz="0" w:space="0" w:color="auto"/>
        <w:right w:val="none" w:sz="0" w:space="0" w:color="auto"/>
      </w:divBdr>
    </w:div>
    <w:div w:id="1388606442">
      <w:bodyDiv w:val="1"/>
      <w:marLeft w:val="0"/>
      <w:marRight w:val="0"/>
      <w:marTop w:val="0"/>
      <w:marBottom w:val="0"/>
      <w:divBdr>
        <w:top w:val="none" w:sz="0" w:space="0" w:color="auto"/>
        <w:left w:val="none" w:sz="0" w:space="0" w:color="auto"/>
        <w:bottom w:val="none" w:sz="0" w:space="0" w:color="auto"/>
        <w:right w:val="none" w:sz="0" w:space="0" w:color="auto"/>
      </w:divBdr>
    </w:div>
    <w:div w:id="1388844661">
      <w:bodyDiv w:val="1"/>
      <w:marLeft w:val="0"/>
      <w:marRight w:val="0"/>
      <w:marTop w:val="0"/>
      <w:marBottom w:val="0"/>
      <w:divBdr>
        <w:top w:val="none" w:sz="0" w:space="0" w:color="auto"/>
        <w:left w:val="none" w:sz="0" w:space="0" w:color="auto"/>
        <w:bottom w:val="none" w:sz="0" w:space="0" w:color="auto"/>
        <w:right w:val="none" w:sz="0" w:space="0" w:color="auto"/>
      </w:divBdr>
    </w:div>
    <w:div w:id="1389572731">
      <w:bodyDiv w:val="1"/>
      <w:marLeft w:val="0"/>
      <w:marRight w:val="0"/>
      <w:marTop w:val="0"/>
      <w:marBottom w:val="0"/>
      <w:divBdr>
        <w:top w:val="none" w:sz="0" w:space="0" w:color="auto"/>
        <w:left w:val="none" w:sz="0" w:space="0" w:color="auto"/>
        <w:bottom w:val="none" w:sz="0" w:space="0" w:color="auto"/>
        <w:right w:val="none" w:sz="0" w:space="0" w:color="auto"/>
      </w:divBdr>
    </w:div>
    <w:div w:id="1390349632">
      <w:bodyDiv w:val="1"/>
      <w:marLeft w:val="0"/>
      <w:marRight w:val="0"/>
      <w:marTop w:val="0"/>
      <w:marBottom w:val="0"/>
      <w:divBdr>
        <w:top w:val="none" w:sz="0" w:space="0" w:color="auto"/>
        <w:left w:val="none" w:sz="0" w:space="0" w:color="auto"/>
        <w:bottom w:val="none" w:sz="0" w:space="0" w:color="auto"/>
        <w:right w:val="none" w:sz="0" w:space="0" w:color="auto"/>
      </w:divBdr>
    </w:div>
    <w:div w:id="1390499158">
      <w:bodyDiv w:val="1"/>
      <w:marLeft w:val="0"/>
      <w:marRight w:val="0"/>
      <w:marTop w:val="0"/>
      <w:marBottom w:val="0"/>
      <w:divBdr>
        <w:top w:val="none" w:sz="0" w:space="0" w:color="auto"/>
        <w:left w:val="none" w:sz="0" w:space="0" w:color="auto"/>
        <w:bottom w:val="none" w:sz="0" w:space="0" w:color="auto"/>
        <w:right w:val="none" w:sz="0" w:space="0" w:color="auto"/>
      </w:divBdr>
    </w:div>
    <w:div w:id="1399403542">
      <w:bodyDiv w:val="1"/>
      <w:marLeft w:val="0"/>
      <w:marRight w:val="0"/>
      <w:marTop w:val="0"/>
      <w:marBottom w:val="0"/>
      <w:divBdr>
        <w:top w:val="none" w:sz="0" w:space="0" w:color="auto"/>
        <w:left w:val="none" w:sz="0" w:space="0" w:color="auto"/>
        <w:bottom w:val="none" w:sz="0" w:space="0" w:color="auto"/>
        <w:right w:val="none" w:sz="0" w:space="0" w:color="auto"/>
      </w:divBdr>
    </w:div>
    <w:div w:id="1402558319">
      <w:bodyDiv w:val="1"/>
      <w:marLeft w:val="0"/>
      <w:marRight w:val="0"/>
      <w:marTop w:val="0"/>
      <w:marBottom w:val="0"/>
      <w:divBdr>
        <w:top w:val="none" w:sz="0" w:space="0" w:color="auto"/>
        <w:left w:val="none" w:sz="0" w:space="0" w:color="auto"/>
        <w:bottom w:val="none" w:sz="0" w:space="0" w:color="auto"/>
        <w:right w:val="none" w:sz="0" w:space="0" w:color="auto"/>
      </w:divBdr>
    </w:div>
    <w:div w:id="1402869933">
      <w:bodyDiv w:val="1"/>
      <w:marLeft w:val="0"/>
      <w:marRight w:val="0"/>
      <w:marTop w:val="0"/>
      <w:marBottom w:val="0"/>
      <w:divBdr>
        <w:top w:val="none" w:sz="0" w:space="0" w:color="auto"/>
        <w:left w:val="none" w:sz="0" w:space="0" w:color="auto"/>
        <w:bottom w:val="none" w:sz="0" w:space="0" w:color="auto"/>
        <w:right w:val="none" w:sz="0" w:space="0" w:color="auto"/>
      </w:divBdr>
    </w:div>
    <w:div w:id="1403021928">
      <w:bodyDiv w:val="1"/>
      <w:marLeft w:val="0"/>
      <w:marRight w:val="0"/>
      <w:marTop w:val="0"/>
      <w:marBottom w:val="0"/>
      <w:divBdr>
        <w:top w:val="none" w:sz="0" w:space="0" w:color="auto"/>
        <w:left w:val="none" w:sz="0" w:space="0" w:color="auto"/>
        <w:bottom w:val="none" w:sz="0" w:space="0" w:color="auto"/>
        <w:right w:val="none" w:sz="0" w:space="0" w:color="auto"/>
      </w:divBdr>
    </w:div>
    <w:div w:id="1403092004">
      <w:bodyDiv w:val="1"/>
      <w:marLeft w:val="0"/>
      <w:marRight w:val="0"/>
      <w:marTop w:val="0"/>
      <w:marBottom w:val="0"/>
      <w:divBdr>
        <w:top w:val="none" w:sz="0" w:space="0" w:color="auto"/>
        <w:left w:val="none" w:sz="0" w:space="0" w:color="auto"/>
        <w:bottom w:val="none" w:sz="0" w:space="0" w:color="auto"/>
        <w:right w:val="none" w:sz="0" w:space="0" w:color="auto"/>
      </w:divBdr>
    </w:div>
    <w:div w:id="1403866819">
      <w:bodyDiv w:val="1"/>
      <w:marLeft w:val="0"/>
      <w:marRight w:val="0"/>
      <w:marTop w:val="0"/>
      <w:marBottom w:val="0"/>
      <w:divBdr>
        <w:top w:val="none" w:sz="0" w:space="0" w:color="auto"/>
        <w:left w:val="none" w:sz="0" w:space="0" w:color="auto"/>
        <w:bottom w:val="none" w:sz="0" w:space="0" w:color="auto"/>
        <w:right w:val="none" w:sz="0" w:space="0" w:color="auto"/>
      </w:divBdr>
    </w:div>
    <w:div w:id="1404984602">
      <w:bodyDiv w:val="1"/>
      <w:marLeft w:val="0"/>
      <w:marRight w:val="0"/>
      <w:marTop w:val="0"/>
      <w:marBottom w:val="0"/>
      <w:divBdr>
        <w:top w:val="none" w:sz="0" w:space="0" w:color="auto"/>
        <w:left w:val="none" w:sz="0" w:space="0" w:color="auto"/>
        <w:bottom w:val="none" w:sz="0" w:space="0" w:color="auto"/>
        <w:right w:val="none" w:sz="0" w:space="0" w:color="auto"/>
      </w:divBdr>
    </w:div>
    <w:div w:id="1405301691">
      <w:bodyDiv w:val="1"/>
      <w:marLeft w:val="0"/>
      <w:marRight w:val="0"/>
      <w:marTop w:val="0"/>
      <w:marBottom w:val="0"/>
      <w:divBdr>
        <w:top w:val="none" w:sz="0" w:space="0" w:color="auto"/>
        <w:left w:val="none" w:sz="0" w:space="0" w:color="auto"/>
        <w:bottom w:val="none" w:sz="0" w:space="0" w:color="auto"/>
        <w:right w:val="none" w:sz="0" w:space="0" w:color="auto"/>
      </w:divBdr>
    </w:div>
    <w:div w:id="1405878880">
      <w:bodyDiv w:val="1"/>
      <w:marLeft w:val="0"/>
      <w:marRight w:val="0"/>
      <w:marTop w:val="0"/>
      <w:marBottom w:val="0"/>
      <w:divBdr>
        <w:top w:val="none" w:sz="0" w:space="0" w:color="auto"/>
        <w:left w:val="none" w:sz="0" w:space="0" w:color="auto"/>
        <w:bottom w:val="none" w:sz="0" w:space="0" w:color="auto"/>
        <w:right w:val="none" w:sz="0" w:space="0" w:color="auto"/>
      </w:divBdr>
    </w:div>
    <w:div w:id="1406755441">
      <w:bodyDiv w:val="1"/>
      <w:marLeft w:val="0"/>
      <w:marRight w:val="0"/>
      <w:marTop w:val="0"/>
      <w:marBottom w:val="0"/>
      <w:divBdr>
        <w:top w:val="none" w:sz="0" w:space="0" w:color="auto"/>
        <w:left w:val="none" w:sz="0" w:space="0" w:color="auto"/>
        <w:bottom w:val="none" w:sz="0" w:space="0" w:color="auto"/>
        <w:right w:val="none" w:sz="0" w:space="0" w:color="auto"/>
      </w:divBdr>
    </w:div>
    <w:div w:id="1408264673">
      <w:bodyDiv w:val="1"/>
      <w:marLeft w:val="0"/>
      <w:marRight w:val="0"/>
      <w:marTop w:val="0"/>
      <w:marBottom w:val="0"/>
      <w:divBdr>
        <w:top w:val="none" w:sz="0" w:space="0" w:color="auto"/>
        <w:left w:val="none" w:sz="0" w:space="0" w:color="auto"/>
        <w:bottom w:val="none" w:sz="0" w:space="0" w:color="auto"/>
        <w:right w:val="none" w:sz="0" w:space="0" w:color="auto"/>
      </w:divBdr>
    </w:div>
    <w:div w:id="1408650034">
      <w:bodyDiv w:val="1"/>
      <w:marLeft w:val="0"/>
      <w:marRight w:val="0"/>
      <w:marTop w:val="0"/>
      <w:marBottom w:val="0"/>
      <w:divBdr>
        <w:top w:val="none" w:sz="0" w:space="0" w:color="auto"/>
        <w:left w:val="none" w:sz="0" w:space="0" w:color="auto"/>
        <w:bottom w:val="none" w:sz="0" w:space="0" w:color="auto"/>
        <w:right w:val="none" w:sz="0" w:space="0" w:color="auto"/>
      </w:divBdr>
    </w:div>
    <w:div w:id="1410035865">
      <w:bodyDiv w:val="1"/>
      <w:marLeft w:val="0"/>
      <w:marRight w:val="0"/>
      <w:marTop w:val="0"/>
      <w:marBottom w:val="0"/>
      <w:divBdr>
        <w:top w:val="none" w:sz="0" w:space="0" w:color="auto"/>
        <w:left w:val="none" w:sz="0" w:space="0" w:color="auto"/>
        <w:bottom w:val="none" w:sz="0" w:space="0" w:color="auto"/>
        <w:right w:val="none" w:sz="0" w:space="0" w:color="auto"/>
      </w:divBdr>
    </w:div>
    <w:div w:id="1410734355">
      <w:bodyDiv w:val="1"/>
      <w:marLeft w:val="0"/>
      <w:marRight w:val="0"/>
      <w:marTop w:val="0"/>
      <w:marBottom w:val="0"/>
      <w:divBdr>
        <w:top w:val="none" w:sz="0" w:space="0" w:color="auto"/>
        <w:left w:val="none" w:sz="0" w:space="0" w:color="auto"/>
        <w:bottom w:val="none" w:sz="0" w:space="0" w:color="auto"/>
        <w:right w:val="none" w:sz="0" w:space="0" w:color="auto"/>
      </w:divBdr>
    </w:div>
    <w:div w:id="1410808892">
      <w:bodyDiv w:val="1"/>
      <w:marLeft w:val="0"/>
      <w:marRight w:val="0"/>
      <w:marTop w:val="0"/>
      <w:marBottom w:val="0"/>
      <w:divBdr>
        <w:top w:val="none" w:sz="0" w:space="0" w:color="auto"/>
        <w:left w:val="none" w:sz="0" w:space="0" w:color="auto"/>
        <w:bottom w:val="none" w:sz="0" w:space="0" w:color="auto"/>
        <w:right w:val="none" w:sz="0" w:space="0" w:color="auto"/>
      </w:divBdr>
    </w:div>
    <w:div w:id="1412508933">
      <w:bodyDiv w:val="1"/>
      <w:marLeft w:val="0"/>
      <w:marRight w:val="0"/>
      <w:marTop w:val="0"/>
      <w:marBottom w:val="0"/>
      <w:divBdr>
        <w:top w:val="none" w:sz="0" w:space="0" w:color="auto"/>
        <w:left w:val="none" w:sz="0" w:space="0" w:color="auto"/>
        <w:bottom w:val="none" w:sz="0" w:space="0" w:color="auto"/>
        <w:right w:val="none" w:sz="0" w:space="0" w:color="auto"/>
      </w:divBdr>
    </w:div>
    <w:div w:id="1412659535">
      <w:bodyDiv w:val="1"/>
      <w:marLeft w:val="0"/>
      <w:marRight w:val="0"/>
      <w:marTop w:val="0"/>
      <w:marBottom w:val="0"/>
      <w:divBdr>
        <w:top w:val="none" w:sz="0" w:space="0" w:color="auto"/>
        <w:left w:val="none" w:sz="0" w:space="0" w:color="auto"/>
        <w:bottom w:val="none" w:sz="0" w:space="0" w:color="auto"/>
        <w:right w:val="none" w:sz="0" w:space="0" w:color="auto"/>
      </w:divBdr>
    </w:div>
    <w:div w:id="1415856488">
      <w:bodyDiv w:val="1"/>
      <w:marLeft w:val="0"/>
      <w:marRight w:val="0"/>
      <w:marTop w:val="0"/>
      <w:marBottom w:val="0"/>
      <w:divBdr>
        <w:top w:val="none" w:sz="0" w:space="0" w:color="auto"/>
        <w:left w:val="none" w:sz="0" w:space="0" w:color="auto"/>
        <w:bottom w:val="none" w:sz="0" w:space="0" w:color="auto"/>
        <w:right w:val="none" w:sz="0" w:space="0" w:color="auto"/>
      </w:divBdr>
    </w:div>
    <w:div w:id="1417825400">
      <w:bodyDiv w:val="1"/>
      <w:marLeft w:val="0"/>
      <w:marRight w:val="0"/>
      <w:marTop w:val="0"/>
      <w:marBottom w:val="0"/>
      <w:divBdr>
        <w:top w:val="none" w:sz="0" w:space="0" w:color="auto"/>
        <w:left w:val="none" w:sz="0" w:space="0" w:color="auto"/>
        <w:bottom w:val="none" w:sz="0" w:space="0" w:color="auto"/>
        <w:right w:val="none" w:sz="0" w:space="0" w:color="auto"/>
      </w:divBdr>
    </w:div>
    <w:div w:id="1422721114">
      <w:bodyDiv w:val="1"/>
      <w:marLeft w:val="0"/>
      <w:marRight w:val="0"/>
      <w:marTop w:val="0"/>
      <w:marBottom w:val="0"/>
      <w:divBdr>
        <w:top w:val="none" w:sz="0" w:space="0" w:color="auto"/>
        <w:left w:val="none" w:sz="0" w:space="0" w:color="auto"/>
        <w:bottom w:val="none" w:sz="0" w:space="0" w:color="auto"/>
        <w:right w:val="none" w:sz="0" w:space="0" w:color="auto"/>
      </w:divBdr>
    </w:div>
    <w:div w:id="1427002551">
      <w:bodyDiv w:val="1"/>
      <w:marLeft w:val="0"/>
      <w:marRight w:val="0"/>
      <w:marTop w:val="0"/>
      <w:marBottom w:val="0"/>
      <w:divBdr>
        <w:top w:val="none" w:sz="0" w:space="0" w:color="auto"/>
        <w:left w:val="none" w:sz="0" w:space="0" w:color="auto"/>
        <w:bottom w:val="none" w:sz="0" w:space="0" w:color="auto"/>
        <w:right w:val="none" w:sz="0" w:space="0" w:color="auto"/>
      </w:divBdr>
    </w:div>
    <w:div w:id="1427533581">
      <w:bodyDiv w:val="1"/>
      <w:marLeft w:val="0"/>
      <w:marRight w:val="0"/>
      <w:marTop w:val="0"/>
      <w:marBottom w:val="0"/>
      <w:divBdr>
        <w:top w:val="none" w:sz="0" w:space="0" w:color="auto"/>
        <w:left w:val="none" w:sz="0" w:space="0" w:color="auto"/>
        <w:bottom w:val="none" w:sz="0" w:space="0" w:color="auto"/>
        <w:right w:val="none" w:sz="0" w:space="0" w:color="auto"/>
      </w:divBdr>
    </w:div>
    <w:div w:id="1436484315">
      <w:bodyDiv w:val="1"/>
      <w:marLeft w:val="0"/>
      <w:marRight w:val="0"/>
      <w:marTop w:val="0"/>
      <w:marBottom w:val="0"/>
      <w:divBdr>
        <w:top w:val="none" w:sz="0" w:space="0" w:color="auto"/>
        <w:left w:val="none" w:sz="0" w:space="0" w:color="auto"/>
        <w:bottom w:val="none" w:sz="0" w:space="0" w:color="auto"/>
        <w:right w:val="none" w:sz="0" w:space="0" w:color="auto"/>
      </w:divBdr>
    </w:div>
    <w:div w:id="1438018478">
      <w:bodyDiv w:val="1"/>
      <w:marLeft w:val="0"/>
      <w:marRight w:val="0"/>
      <w:marTop w:val="0"/>
      <w:marBottom w:val="0"/>
      <w:divBdr>
        <w:top w:val="none" w:sz="0" w:space="0" w:color="auto"/>
        <w:left w:val="none" w:sz="0" w:space="0" w:color="auto"/>
        <w:bottom w:val="none" w:sz="0" w:space="0" w:color="auto"/>
        <w:right w:val="none" w:sz="0" w:space="0" w:color="auto"/>
      </w:divBdr>
    </w:div>
    <w:div w:id="1445811266">
      <w:bodyDiv w:val="1"/>
      <w:marLeft w:val="0"/>
      <w:marRight w:val="0"/>
      <w:marTop w:val="0"/>
      <w:marBottom w:val="0"/>
      <w:divBdr>
        <w:top w:val="none" w:sz="0" w:space="0" w:color="auto"/>
        <w:left w:val="none" w:sz="0" w:space="0" w:color="auto"/>
        <w:bottom w:val="none" w:sz="0" w:space="0" w:color="auto"/>
        <w:right w:val="none" w:sz="0" w:space="0" w:color="auto"/>
      </w:divBdr>
    </w:div>
    <w:div w:id="1447000952">
      <w:bodyDiv w:val="1"/>
      <w:marLeft w:val="0"/>
      <w:marRight w:val="0"/>
      <w:marTop w:val="0"/>
      <w:marBottom w:val="0"/>
      <w:divBdr>
        <w:top w:val="none" w:sz="0" w:space="0" w:color="auto"/>
        <w:left w:val="none" w:sz="0" w:space="0" w:color="auto"/>
        <w:bottom w:val="none" w:sz="0" w:space="0" w:color="auto"/>
        <w:right w:val="none" w:sz="0" w:space="0" w:color="auto"/>
      </w:divBdr>
    </w:div>
    <w:div w:id="1448886080">
      <w:bodyDiv w:val="1"/>
      <w:marLeft w:val="0"/>
      <w:marRight w:val="0"/>
      <w:marTop w:val="0"/>
      <w:marBottom w:val="0"/>
      <w:divBdr>
        <w:top w:val="none" w:sz="0" w:space="0" w:color="auto"/>
        <w:left w:val="none" w:sz="0" w:space="0" w:color="auto"/>
        <w:bottom w:val="none" w:sz="0" w:space="0" w:color="auto"/>
        <w:right w:val="none" w:sz="0" w:space="0" w:color="auto"/>
      </w:divBdr>
    </w:div>
    <w:div w:id="1449465494">
      <w:bodyDiv w:val="1"/>
      <w:marLeft w:val="0"/>
      <w:marRight w:val="0"/>
      <w:marTop w:val="0"/>
      <w:marBottom w:val="0"/>
      <w:divBdr>
        <w:top w:val="none" w:sz="0" w:space="0" w:color="auto"/>
        <w:left w:val="none" w:sz="0" w:space="0" w:color="auto"/>
        <w:bottom w:val="none" w:sz="0" w:space="0" w:color="auto"/>
        <w:right w:val="none" w:sz="0" w:space="0" w:color="auto"/>
      </w:divBdr>
    </w:div>
    <w:div w:id="1452095041">
      <w:bodyDiv w:val="1"/>
      <w:marLeft w:val="0"/>
      <w:marRight w:val="0"/>
      <w:marTop w:val="0"/>
      <w:marBottom w:val="0"/>
      <w:divBdr>
        <w:top w:val="none" w:sz="0" w:space="0" w:color="auto"/>
        <w:left w:val="none" w:sz="0" w:space="0" w:color="auto"/>
        <w:bottom w:val="none" w:sz="0" w:space="0" w:color="auto"/>
        <w:right w:val="none" w:sz="0" w:space="0" w:color="auto"/>
      </w:divBdr>
    </w:div>
    <w:div w:id="1453943743">
      <w:bodyDiv w:val="1"/>
      <w:marLeft w:val="0"/>
      <w:marRight w:val="0"/>
      <w:marTop w:val="0"/>
      <w:marBottom w:val="0"/>
      <w:divBdr>
        <w:top w:val="none" w:sz="0" w:space="0" w:color="auto"/>
        <w:left w:val="none" w:sz="0" w:space="0" w:color="auto"/>
        <w:bottom w:val="none" w:sz="0" w:space="0" w:color="auto"/>
        <w:right w:val="none" w:sz="0" w:space="0" w:color="auto"/>
      </w:divBdr>
    </w:div>
    <w:div w:id="1454978318">
      <w:bodyDiv w:val="1"/>
      <w:marLeft w:val="0"/>
      <w:marRight w:val="0"/>
      <w:marTop w:val="0"/>
      <w:marBottom w:val="0"/>
      <w:divBdr>
        <w:top w:val="none" w:sz="0" w:space="0" w:color="auto"/>
        <w:left w:val="none" w:sz="0" w:space="0" w:color="auto"/>
        <w:bottom w:val="none" w:sz="0" w:space="0" w:color="auto"/>
        <w:right w:val="none" w:sz="0" w:space="0" w:color="auto"/>
      </w:divBdr>
    </w:div>
    <w:div w:id="1456631251">
      <w:bodyDiv w:val="1"/>
      <w:marLeft w:val="0"/>
      <w:marRight w:val="0"/>
      <w:marTop w:val="0"/>
      <w:marBottom w:val="0"/>
      <w:divBdr>
        <w:top w:val="none" w:sz="0" w:space="0" w:color="auto"/>
        <w:left w:val="none" w:sz="0" w:space="0" w:color="auto"/>
        <w:bottom w:val="none" w:sz="0" w:space="0" w:color="auto"/>
        <w:right w:val="none" w:sz="0" w:space="0" w:color="auto"/>
      </w:divBdr>
    </w:div>
    <w:div w:id="1458059336">
      <w:bodyDiv w:val="1"/>
      <w:marLeft w:val="0"/>
      <w:marRight w:val="0"/>
      <w:marTop w:val="0"/>
      <w:marBottom w:val="0"/>
      <w:divBdr>
        <w:top w:val="none" w:sz="0" w:space="0" w:color="auto"/>
        <w:left w:val="none" w:sz="0" w:space="0" w:color="auto"/>
        <w:bottom w:val="none" w:sz="0" w:space="0" w:color="auto"/>
        <w:right w:val="none" w:sz="0" w:space="0" w:color="auto"/>
      </w:divBdr>
    </w:div>
    <w:div w:id="1458643678">
      <w:bodyDiv w:val="1"/>
      <w:marLeft w:val="0"/>
      <w:marRight w:val="0"/>
      <w:marTop w:val="0"/>
      <w:marBottom w:val="0"/>
      <w:divBdr>
        <w:top w:val="none" w:sz="0" w:space="0" w:color="auto"/>
        <w:left w:val="none" w:sz="0" w:space="0" w:color="auto"/>
        <w:bottom w:val="none" w:sz="0" w:space="0" w:color="auto"/>
        <w:right w:val="none" w:sz="0" w:space="0" w:color="auto"/>
      </w:divBdr>
    </w:div>
    <w:div w:id="1462073172">
      <w:bodyDiv w:val="1"/>
      <w:marLeft w:val="0"/>
      <w:marRight w:val="0"/>
      <w:marTop w:val="0"/>
      <w:marBottom w:val="0"/>
      <w:divBdr>
        <w:top w:val="none" w:sz="0" w:space="0" w:color="auto"/>
        <w:left w:val="none" w:sz="0" w:space="0" w:color="auto"/>
        <w:bottom w:val="none" w:sz="0" w:space="0" w:color="auto"/>
        <w:right w:val="none" w:sz="0" w:space="0" w:color="auto"/>
      </w:divBdr>
    </w:div>
    <w:div w:id="1462652954">
      <w:bodyDiv w:val="1"/>
      <w:marLeft w:val="0"/>
      <w:marRight w:val="0"/>
      <w:marTop w:val="0"/>
      <w:marBottom w:val="0"/>
      <w:divBdr>
        <w:top w:val="none" w:sz="0" w:space="0" w:color="auto"/>
        <w:left w:val="none" w:sz="0" w:space="0" w:color="auto"/>
        <w:bottom w:val="none" w:sz="0" w:space="0" w:color="auto"/>
        <w:right w:val="none" w:sz="0" w:space="0" w:color="auto"/>
      </w:divBdr>
    </w:div>
    <w:div w:id="1463157189">
      <w:bodyDiv w:val="1"/>
      <w:marLeft w:val="0"/>
      <w:marRight w:val="0"/>
      <w:marTop w:val="0"/>
      <w:marBottom w:val="0"/>
      <w:divBdr>
        <w:top w:val="none" w:sz="0" w:space="0" w:color="auto"/>
        <w:left w:val="none" w:sz="0" w:space="0" w:color="auto"/>
        <w:bottom w:val="none" w:sz="0" w:space="0" w:color="auto"/>
        <w:right w:val="none" w:sz="0" w:space="0" w:color="auto"/>
      </w:divBdr>
    </w:div>
    <w:div w:id="1466502568">
      <w:bodyDiv w:val="1"/>
      <w:marLeft w:val="0"/>
      <w:marRight w:val="0"/>
      <w:marTop w:val="0"/>
      <w:marBottom w:val="0"/>
      <w:divBdr>
        <w:top w:val="none" w:sz="0" w:space="0" w:color="auto"/>
        <w:left w:val="none" w:sz="0" w:space="0" w:color="auto"/>
        <w:bottom w:val="none" w:sz="0" w:space="0" w:color="auto"/>
        <w:right w:val="none" w:sz="0" w:space="0" w:color="auto"/>
      </w:divBdr>
    </w:div>
    <w:div w:id="1472361838">
      <w:bodyDiv w:val="1"/>
      <w:marLeft w:val="0"/>
      <w:marRight w:val="0"/>
      <w:marTop w:val="0"/>
      <w:marBottom w:val="0"/>
      <w:divBdr>
        <w:top w:val="none" w:sz="0" w:space="0" w:color="auto"/>
        <w:left w:val="none" w:sz="0" w:space="0" w:color="auto"/>
        <w:bottom w:val="none" w:sz="0" w:space="0" w:color="auto"/>
        <w:right w:val="none" w:sz="0" w:space="0" w:color="auto"/>
      </w:divBdr>
    </w:div>
    <w:div w:id="1480415408">
      <w:bodyDiv w:val="1"/>
      <w:marLeft w:val="0"/>
      <w:marRight w:val="0"/>
      <w:marTop w:val="0"/>
      <w:marBottom w:val="0"/>
      <w:divBdr>
        <w:top w:val="none" w:sz="0" w:space="0" w:color="auto"/>
        <w:left w:val="none" w:sz="0" w:space="0" w:color="auto"/>
        <w:bottom w:val="none" w:sz="0" w:space="0" w:color="auto"/>
        <w:right w:val="none" w:sz="0" w:space="0" w:color="auto"/>
      </w:divBdr>
    </w:div>
    <w:div w:id="1488206104">
      <w:bodyDiv w:val="1"/>
      <w:marLeft w:val="0"/>
      <w:marRight w:val="0"/>
      <w:marTop w:val="0"/>
      <w:marBottom w:val="0"/>
      <w:divBdr>
        <w:top w:val="none" w:sz="0" w:space="0" w:color="auto"/>
        <w:left w:val="none" w:sz="0" w:space="0" w:color="auto"/>
        <w:bottom w:val="none" w:sz="0" w:space="0" w:color="auto"/>
        <w:right w:val="none" w:sz="0" w:space="0" w:color="auto"/>
      </w:divBdr>
    </w:div>
    <w:div w:id="1489439304">
      <w:bodyDiv w:val="1"/>
      <w:marLeft w:val="0"/>
      <w:marRight w:val="0"/>
      <w:marTop w:val="0"/>
      <w:marBottom w:val="0"/>
      <w:divBdr>
        <w:top w:val="none" w:sz="0" w:space="0" w:color="auto"/>
        <w:left w:val="none" w:sz="0" w:space="0" w:color="auto"/>
        <w:bottom w:val="none" w:sz="0" w:space="0" w:color="auto"/>
        <w:right w:val="none" w:sz="0" w:space="0" w:color="auto"/>
      </w:divBdr>
    </w:div>
    <w:div w:id="1491091968">
      <w:bodyDiv w:val="1"/>
      <w:marLeft w:val="0"/>
      <w:marRight w:val="0"/>
      <w:marTop w:val="0"/>
      <w:marBottom w:val="0"/>
      <w:divBdr>
        <w:top w:val="none" w:sz="0" w:space="0" w:color="auto"/>
        <w:left w:val="none" w:sz="0" w:space="0" w:color="auto"/>
        <w:bottom w:val="none" w:sz="0" w:space="0" w:color="auto"/>
        <w:right w:val="none" w:sz="0" w:space="0" w:color="auto"/>
      </w:divBdr>
    </w:div>
    <w:div w:id="1493526191">
      <w:bodyDiv w:val="1"/>
      <w:marLeft w:val="0"/>
      <w:marRight w:val="0"/>
      <w:marTop w:val="0"/>
      <w:marBottom w:val="0"/>
      <w:divBdr>
        <w:top w:val="none" w:sz="0" w:space="0" w:color="auto"/>
        <w:left w:val="none" w:sz="0" w:space="0" w:color="auto"/>
        <w:bottom w:val="none" w:sz="0" w:space="0" w:color="auto"/>
        <w:right w:val="none" w:sz="0" w:space="0" w:color="auto"/>
      </w:divBdr>
    </w:div>
    <w:div w:id="1496144567">
      <w:bodyDiv w:val="1"/>
      <w:marLeft w:val="0"/>
      <w:marRight w:val="0"/>
      <w:marTop w:val="0"/>
      <w:marBottom w:val="0"/>
      <w:divBdr>
        <w:top w:val="none" w:sz="0" w:space="0" w:color="auto"/>
        <w:left w:val="none" w:sz="0" w:space="0" w:color="auto"/>
        <w:bottom w:val="none" w:sz="0" w:space="0" w:color="auto"/>
        <w:right w:val="none" w:sz="0" w:space="0" w:color="auto"/>
      </w:divBdr>
    </w:div>
    <w:div w:id="1503079495">
      <w:bodyDiv w:val="1"/>
      <w:marLeft w:val="0"/>
      <w:marRight w:val="0"/>
      <w:marTop w:val="0"/>
      <w:marBottom w:val="0"/>
      <w:divBdr>
        <w:top w:val="none" w:sz="0" w:space="0" w:color="auto"/>
        <w:left w:val="none" w:sz="0" w:space="0" w:color="auto"/>
        <w:bottom w:val="none" w:sz="0" w:space="0" w:color="auto"/>
        <w:right w:val="none" w:sz="0" w:space="0" w:color="auto"/>
      </w:divBdr>
    </w:div>
    <w:div w:id="1507864250">
      <w:bodyDiv w:val="1"/>
      <w:marLeft w:val="0"/>
      <w:marRight w:val="0"/>
      <w:marTop w:val="0"/>
      <w:marBottom w:val="0"/>
      <w:divBdr>
        <w:top w:val="none" w:sz="0" w:space="0" w:color="auto"/>
        <w:left w:val="none" w:sz="0" w:space="0" w:color="auto"/>
        <w:bottom w:val="none" w:sz="0" w:space="0" w:color="auto"/>
        <w:right w:val="none" w:sz="0" w:space="0" w:color="auto"/>
      </w:divBdr>
    </w:div>
    <w:div w:id="1509709122">
      <w:bodyDiv w:val="1"/>
      <w:marLeft w:val="0"/>
      <w:marRight w:val="0"/>
      <w:marTop w:val="0"/>
      <w:marBottom w:val="0"/>
      <w:divBdr>
        <w:top w:val="none" w:sz="0" w:space="0" w:color="auto"/>
        <w:left w:val="none" w:sz="0" w:space="0" w:color="auto"/>
        <w:bottom w:val="none" w:sz="0" w:space="0" w:color="auto"/>
        <w:right w:val="none" w:sz="0" w:space="0" w:color="auto"/>
      </w:divBdr>
    </w:div>
    <w:div w:id="1509826427">
      <w:bodyDiv w:val="1"/>
      <w:marLeft w:val="0"/>
      <w:marRight w:val="0"/>
      <w:marTop w:val="0"/>
      <w:marBottom w:val="0"/>
      <w:divBdr>
        <w:top w:val="none" w:sz="0" w:space="0" w:color="auto"/>
        <w:left w:val="none" w:sz="0" w:space="0" w:color="auto"/>
        <w:bottom w:val="none" w:sz="0" w:space="0" w:color="auto"/>
        <w:right w:val="none" w:sz="0" w:space="0" w:color="auto"/>
      </w:divBdr>
    </w:div>
    <w:div w:id="1509907960">
      <w:bodyDiv w:val="1"/>
      <w:marLeft w:val="0"/>
      <w:marRight w:val="0"/>
      <w:marTop w:val="0"/>
      <w:marBottom w:val="0"/>
      <w:divBdr>
        <w:top w:val="none" w:sz="0" w:space="0" w:color="auto"/>
        <w:left w:val="none" w:sz="0" w:space="0" w:color="auto"/>
        <w:bottom w:val="none" w:sz="0" w:space="0" w:color="auto"/>
        <w:right w:val="none" w:sz="0" w:space="0" w:color="auto"/>
      </w:divBdr>
    </w:div>
    <w:div w:id="1512182699">
      <w:bodyDiv w:val="1"/>
      <w:marLeft w:val="0"/>
      <w:marRight w:val="0"/>
      <w:marTop w:val="0"/>
      <w:marBottom w:val="0"/>
      <w:divBdr>
        <w:top w:val="none" w:sz="0" w:space="0" w:color="auto"/>
        <w:left w:val="none" w:sz="0" w:space="0" w:color="auto"/>
        <w:bottom w:val="none" w:sz="0" w:space="0" w:color="auto"/>
        <w:right w:val="none" w:sz="0" w:space="0" w:color="auto"/>
      </w:divBdr>
    </w:div>
    <w:div w:id="1514224276">
      <w:bodyDiv w:val="1"/>
      <w:marLeft w:val="0"/>
      <w:marRight w:val="0"/>
      <w:marTop w:val="0"/>
      <w:marBottom w:val="0"/>
      <w:divBdr>
        <w:top w:val="none" w:sz="0" w:space="0" w:color="auto"/>
        <w:left w:val="none" w:sz="0" w:space="0" w:color="auto"/>
        <w:bottom w:val="none" w:sz="0" w:space="0" w:color="auto"/>
        <w:right w:val="none" w:sz="0" w:space="0" w:color="auto"/>
      </w:divBdr>
    </w:div>
    <w:div w:id="1519345524">
      <w:bodyDiv w:val="1"/>
      <w:marLeft w:val="0"/>
      <w:marRight w:val="0"/>
      <w:marTop w:val="0"/>
      <w:marBottom w:val="0"/>
      <w:divBdr>
        <w:top w:val="none" w:sz="0" w:space="0" w:color="auto"/>
        <w:left w:val="none" w:sz="0" w:space="0" w:color="auto"/>
        <w:bottom w:val="none" w:sz="0" w:space="0" w:color="auto"/>
        <w:right w:val="none" w:sz="0" w:space="0" w:color="auto"/>
      </w:divBdr>
    </w:div>
    <w:div w:id="1520463618">
      <w:bodyDiv w:val="1"/>
      <w:marLeft w:val="0"/>
      <w:marRight w:val="0"/>
      <w:marTop w:val="0"/>
      <w:marBottom w:val="0"/>
      <w:divBdr>
        <w:top w:val="none" w:sz="0" w:space="0" w:color="auto"/>
        <w:left w:val="none" w:sz="0" w:space="0" w:color="auto"/>
        <w:bottom w:val="none" w:sz="0" w:space="0" w:color="auto"/>
        <w:right w:val="none" w:sz="0" w:space="0" w:color="auto"/>
      </w:divBdr>
    </w:div>
    <w:div w:id="1520509337">
      <w:bodyDiv w:val="1"/>
      <w:marLeft w:val="0"/>
      <w:marRight w:val="0"/>
      <w:marTop w:val="0"/>
      <w:marBottom w:val="0"/>
      <w:divBdr>
        <w:top w:val="none" w:sz="0" w:space="0" w:color="auto"/>
        <w:left w:val="none" w:sz="0" w:space="0" w:color="auto"/>
        <w:bottom w:val="none" w:sz="0" w:space="0" w:color="auto"/>
        <w:right w:val="none" w:sz="0" w:space="0" w:color="auto"/>
      </w:divBdr>
    </w:div>
    <w:div w:id="1520774629">
      <w:bodyDiv w:val="1"/>
      <w:marLeft w:val="0"/>
      <w:marRight w:val="0"/>
      <w:marTop w:val="0"/>
      <w:marBottom w:val="0"/>
      <w:divBdr>
        <w:top w:val="none" w:sz="0" w:space="0" w:color="auto"/>
        <w:left w:val="none" w:sz="0" w:space="0" w:color="auto"/>
        <w:bottom w:val="none" w:sz="0" w:space="0" w:color="auto"/>
        <w:right w:val="none" w:sz="0" w:space="0" w:color="auto"/>
      </w:divBdr>
      <w:divsChild>
        <w:div w:id="1195387115">
          <w:marLeft w:val="0"/>
          <w:marRight w:val="0"/>
          <w:marTop w:val="0"/>
          <w:marBottom w:val="0"/>
          <w:divBdr>
            <w:top w:val="none" w:sz="0" w:space="0" w:color="auto"/>
            <w:left w:val="none" w:sz="0" w:space="0" w:color="auto"/>
            <w:bottom w:val="none" w:sz="0" w:space="0" w:color="auto"/>
            <w:right w:val="none" w:sz="0" w:space="0" w:color="auto"/>
          </w:divBdr>
          <w:divsChild>
            <w:div w:id="1548757750">
              <w:marLeft w:val="0"/>
              <w:marRight w:val="0"/>
              <w:marTop w:val="0"/>
              <w:marBottom w:val="0"/>
              <w:divBdr>
                <w:top w:val="none" w:sz="0" w:space="0" w:color="auto"/>
                <w:left w:val="none" w:sz="0" w:space="0" w:color="auto"/>
                <w:bottom w:val="none" w:sz="0" w:space="0" w:color="auto"/>
                <w:right w:val="none" w:sz="0" w:space="0" w:color="auto"/>
              </w:divBdr>
              <w:divsChild>
                <w:div w:id="440681949">
                  <w:marLeft w:val="0"/>
                  <w:marRight w:val="0"/>
                  <w:marTop w:val="0"/>
                  <w:marBottom w:val="0"/>
                  <w:divBdr>
                    <w:top w:val="none" w:sz="0" w:space="0" w:color="auto"/>
                    <w:left w:val="none" w:sz="0" w:space="0" w:color="auto"/>
                    <w:bottom w:val="none" w:sz="0" w:space="0" w:color="auto"/>
                    <w:right w:val="none" w:sz="0" w:space="0" w:color="auto"/>
                  </w:divBdr>
                  <w:divsChild>
                    <w:div w:id="1177425028">
                      <w:marLeft w:val="0"/>
                      <w:marRight w:val="0"/>
                      <w:marTop w:val="45"/>
                      <w:marBottom w:val="0"/>
                      <w:divBdr>
                        <w:top w:val="none" w:sz="0" w:space="0" w:color="auto"/>
                        <w:left w:val="none" w:sz="0" w:space="0" w:color="auto"/>
                        <w:bottom w:val="none" w:sz="0" w:space="0" w:color="auto"/>
                        <w:right w:val="none" w:sz="0" w:space="0" w:color="auto"/>
                      </w:divBdr>
                      <w:divsChild>
                        <w:div w:id="1730884140">
                          <w:marLeft w:val="0"/>
                          <w:marRight w:val="0"/>
                          <w:marTop w:val="0"/>
                          <w:marBottom w:val="0"/>
                          <w:divBdr>
                            <w:top w:val="none" w:sz="0" w:space="0" w:color="auto"/>
                            <w:left w:val="none" w:sz="0" w:space="0" w:color="auto"/>
                            <w:bottom w:val="none" w:sz="0" w:space="0" w:color="auto"/>
                            <w:right w:val="none" w:sz="0" w:space="0" w:color="auto"/>
                          </w:divBdr>
                          <w:divsChild>
                            <w:div w:id="384841384">
                              <w:marLeft w:val="2070"/>
                              <w:marRight w:val="3960"/>
                              <w:marTop w:val="0"/>
                              <w:marBottom w:val="0"/>
                              <w:divBdr>
                                <w:top w:val="none" w:sz="0" w:space="0" w:color="auto"/>
                                <w:left w:val="none" w:sz="0" w:space="0" w:color="auto"/>
                                <w:bottom w:val="none" w:sz="0" w:space="0" w:color="auto"/>
                                <w:right w:val="none" w:sz="0" w:space="0" w:color="auto"/>
                              </w:divBdr>
                              <w:divsChild>
                                <w:div w:id="1875073298">
                                  <w:marLeft w:val="0"/>
                                  <w:marRight w:val="0"/>
                                  <w:marTop w:val="0"/>
                                  <w:marBottom w:val="0"/>
                                  <w:divBdr>
                                    <w:top w:val="none" w:sz="0" w:space="0" w:color="auto"/>
                                    <w:left w:val="none" w:sz="0" w:space="0" w:color="auto"/>
                                    <w:bottom w:val="none" w:sz="0" w:space="0" w:color="auto"/>
                                    <w:right w:val="none" w:sz="0" w:space="0" w:color="auto"/>
                                  </w:divBdr>
                                  <w:divsChild>
                                    <w:div w:id="1128399862">
                                      <w:marLeft w:val="0"/>
                                      <w:marRight w:val="0"/>
                                      <w:marTop w:val="0"/>
                                      <w:marBottom w:val="0"/>
                                      <w:divBdr>
                                        <w:top w:val="none" w:sz="0" w:space="0" w:color="auto"/>
                                        <w:left w:val="none" w:sz="0" w:space="0" w:color="auto"/>
                                        <w:bottom w:val="none" w:sz="0" w:space="0" w:color="auto"/>
                                        <w:right w:val="none" w:sz="0" w:space="0" w:color="auto"/>
                                      </w:divBdr>
                                      <w:divsChild>
                                        <w:div w:id="599485649">
                                          <w:marLeft w:val="0"/>
                                          <w:marRight w:val="0"/>
                                          <w:marTop w:val="0"/>
                                          <w:marBottom w:val="0"/>
                                          <w:divBdr>
                                            <w:top w:val="none" w:sz="0" w:space="0" w:color="auto"/>
                                            <w:left w:val="none" w:sz="0" w:space="0" w:color="auto"/>
                                            <w:bottom w:val="none" w:sz="0" w:space="0" w:color="auto"/>
                                            <w:right w:val="none" w:sz="0" w:space="0" w:color="auto"/>
                                          </w:divBdr>
                                          <w:divsChild>
                                            <w:div w:id="831026405">
                                              <w:marLeft w:val="0"/>
                                              <w:marRight w:val="0"/>
                                              <w:marTop w:val="90"/>
                                              <w:marBottom w:val="0"/>
                                              <w:divBdr>
                                                <w:top w:val="none" w:sz="0" w:space="0" w:color="auto"/>
                                                <w:left w:val="none" w:sz="0" w:space="0" w:color="auto"/>
                                                <w:bottom w:val="none" w:sz="0" w:space="0" w:color="auto"/>
                                                <w:right w:val="none" w:sz="0" w:space="0" w:color="auto"/>
                                              </w:divBdr>
                                              <w:divsChild>
                                                <w:div w:id="371615339">
                                                  <w:marLeft w:val="0"/>
                                                  <w:marRight w:val="0"/>
                                                  <w:marTop w:val="0"/>
                                                  <w:marBottom w:val="0"/>
                                                  <w:divBdr>
                                                    <w:top w:val="none" w:sz="0" w:space="0" w:color="auto"/>
                                                    <w:left w:val="none" w:sz="0" w:space="0" w:color="auto"/>
                                                    <w:bottom w:val="none" w:sz="0" w:space="0" w:color="auto"/>
                                                    <w:right w:val="none" w:sz="0" w:space="0" w:color="auto"/>
                                                  </w:divBdr>
                                                  <w:divsChild>
                                                    <w:div w:id="1249924469">
                                                      <w:marLeft w:val="0"/>
                                                      <w:marRight w:val="0"/>
                                                      <w:marTop w:val="0"/>
                                                      <w:marBottom w:val="0"/>
                                                      <w:divBdr>
                                                        <w:top w:val="none" w:sz="0" w:space="0" w:color="auto"/>
                                                        <w:left w:val="none" w:sz="0" w:space="0" w:color="auto"/>
                                                        <w:bottom w:val="none" w:sz="0" w:space="0" w:color="auto"/>
                                                        <w:right w:val="none" w:sz="0" w:space="0" w:color="auto"/>
                                                      </w:divBdr>
                                                      <w:divsChild>
                                                        <w:div w:id="1737698796">
                                                          <w:marLeft w:val="0"/>
                                                          <w:marRight w:val="0"/>
                                                          <w:marTop w:val="0"/>
                                                          <w:marBottom w:val="390"/>
                                                          <w:divBdr>
                                                            <w:top w:val="none" w:sz="0" w:space="0" w:color="auto"/>
                                                            <w:left w:val="none" w:sz="0" w:space="0" w:color="auto"/>
                                                            <w:bottom w:val="none" w:sz="0" w:space="0" w:color="auto"/>
                                                            <w:right w:val="none" w:sz="0" w:space="0" w:color="auto"/>
                                                          </w:divBdr>
                                                          <w:divsChild>
                                                            <w:div w:id="367534552">
                                                              <w:marLeft w:val="0"/>
                                                              <w:marRight w:val="0"/>
                                                              <w:marTop w:val="0"/>
                                                              <w:marBottom w:val="0"/>
                                                              <w:divBdr>
                                                                <w:top w:val="none" w:sz="0" w:space="0" w:color="auto"/>
                                                                <w:left w:val="none" w:sz="0" w:space="0" w:color="auto"/>
                                                                <w:bottom w:val="none" w:sz="0" w:space="0" w:color="auto"/>
                                                                <w:right w:val="none" w:sz="0" w:space="0" w:color="auto"/>
                                                              </w:divBdr>
                                                              <w:divsChild>
                                                                <w:div w:id="1496068557">
                                                                  <w:marLeft w:val="0"/>
                                                                  <w:marRight w:val="0"/>
                                                                  <w:marTop w:val="0"/>
                                                                  <w:marBottom w:val="0"/>
                                                                  <w:divBdr>
                                                                    <w:top w:val="none" w:sz="0" w:space="0" w:color="auto"/>
                                                                    <w:left w:val="none" w:sz="0" w:space="0" w:color="auto"/>
                                                                    <w:bottom w:val="none" w:sz="0" w:space="0" w:color="auto"/>
                                                                    <w:right w:val="none" w:sz="0" w:space="0" w:color="auto"/>
                                                                  </w:divBdr>
                                                                  <w:divsChild>
                                                                    <w:div w:id="786583526">
                                                                      <w:marLeft w:val="0"/>
                                                                      <w:marRight w:val="0"/>
                                                                      <w:marTop w:val="0"/>
                                                                      <w:marBottom w:val="0"/>
                                                                      <w:divBdr>
                                                                        <w:top w:val="none" w:sz="0" w:space="0" w:color="auto"/>
                                                                        <w:left w:val="none" w:sz="0" w:space="0" w:color="auto"/>
                                                                        <w:bottom w:val="none" w:sz="0" w:space="0" w:color="auto"/>
                                                                        <w:right w:val="none" w:sz="0" w:space="0" w:color="auto"/>
                                                                      </w:divBdr>
                                                                      <w:divsChild>
                                                                        <w:div w:id="763647877">
                                                                          <w:marLeft w:val="0"/>
                                                                          <w:marRight w:val="0"/>
                                                                          <w:marTop w:val="0"/>
                                                                          <w:marBottom w:val="0"/>
                                                                          <w:divBdr>
                                                                            <w:top w:val="none" w:sz="0" w:space="0" w:color="auto"/>
                                                                            <w:left w:val="none" w:sz="0" w:space="0" w:color="auto"/>
                                                                            <w:bottom w:val="none" w:sz="0" w:space="0" w:color="auto"/>
                                                                            <w:right w:val="none" w:sz="0" w:space="0" w:color="auto"/>
                                                                          </w:divBdr>
                                                                          <w:divsChild>
                                                                            <w:div w:id="18251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516806">
      <w:bodyDiv w:val="1"/>
      <w:marLeft w:val="0"/>
      <w:marRight w:val="0"/>
      <w:marTop w:val="0"/>
      <w:marBottom w:val="0"/>
      <w:divBdr>
        <w:top w:val="none" w:sz="0" w:space="0" w:color="auto"/>
        <w:left w:val="none" w:sz="0" w:space="0" w:color="auto"/>
        <w:bottom w:val="none" w:sz="0" w:space="0" w:color="auto"/>
        <w:right w:val="none" w:sz="0" w:space="0" w:color="auto"/>
      </w:divBdr>
    </w:div>
    <w:div w:id="1526092391">
      <w:bodyDiv w:val="1"/>
      <w:marLeft w:val="0"/>
      <w:marRight w:val="0"/>
      <w:marTop w:val="0"/>
      <w:marBottom w:val="0"/>
      <w:divBdr>
        <w:top w:val="none" w:sz="0" w:space="0" w:color="auto"/>
        <w:left w:val="none" w:sz="0" w:space="0" w:color="auto"/>
        <w:bottom w:val="none" w:sz="0" w:space="0" w:color="auto"/>
        <w:right w:val="none" w:sz="0" w:space="0" w:color="auto"/>
      </w:divBdr>
    </w:div>
    <w:div w:id="1527868396">
      <w:bodyDiv w:val="1"/>
      <w:marLeft w:val="0"/>
      <w:marRight w:val="0"/>
      <w:marTop w:val="0"/>
      <w:marBottom w:val="0"/>
      <w:divBdr>
        <w:top w:val="none" w:sz="0" w:space="0" w:color="auto"/>
        <w:left w:val="none" w:sz="0" w:space="0" w:color="auto"/>
        <w:bottom w:val="none" w:sz="0" w:space="0" w:color="auto"/>
        <w:right w:val="none" w:sz="0" w:space="0" w:color="auto"/>
      </w:divBdr>
    </w:div>
    <w:div w:id="1539391412">
      <w:bodyDiv w:val="1"/>
      <w:marLeft w:val="0"/>
      <w:marRight w:val="0"/>
      <w:marTop w:val="0"/>
      <w:marBottom w:val="0"/>
      <w:divBdr>
        <w:top w:val="none" w:sz="0" w:space="0" w:color="auto"/>
        <w:left w:val="none" w:sz="0" w:space="0" w:color="auto"/>
        <w:bottom w:val="none" w:sz="0" w:space="0" w:color="auto"/>
        <w:right w:val="none" w:sz="0" w:space="0" w:color="auto"/>
      </w:divBdr>
    </w:div>
    <w:div w:id="1541085019">
      <w:bodyDiv w:val="1"/>
      <w:marLeft w:val="0"/>
      <w:marRight w:val="0"/>
      <w:marTop w:val="0"/>
      <w:marBottom w:val="0"/>
      <w:divBdr>
        <w:top w:val="none" w:sz="0" w:space="0" w:color="auto"/>
        <w:left w:val="none" w:sz="0" w:space="0" w:color="auto"/>
        <w:bottom w:val="none" w:sz="0" w:space="0" w:color="auto"/>
        <w:right w:val="none" w:sz="0" w:space="0" w:color="auto"/>
      </w:divBdr>
    </w:div>
    <w:div w:id="1542591951">
      <w:bodyDiv w:val="1"/>
      <w:marLeft w:val="0"/>
      <w:marRight w:val="0"/>
      <w:marTop w:val="0"/>
      <w:marBottom w:val="0"/>
      <w:divBdr>
        <w:top w:val="none" w:sz="0" w:space="0" w:color="auto"/>
        <w:left w:val="none" w:sz="0" w:space="0" w:color="auto"/>
        <w:bottom w:val="none" w:sz="0" w:space="0" w:color="auto"/>
        <w:right w:val="none" w:sz="0" w:space="0" w:color="auto"/>
      </w:divBdr>
    </w:div>
    <w:div w:id="1544976431">
      <w:bodyDiv w:val="1"/>
      <w:marLeft w:val="0"/>
      <w:marRight w:val="0"/>
      <w:marTop w:val="0"/>
      <w:marBottom w:val="0"/>
      <w:divBdr>
        <w:top w:val="none" w:sz="0" w:space="0" w:color="auto"/>
        <w:left w:val="none" w:sz="0" w:space="0" w:color="auto"/>
        <w:bottom w:val="none" w:sz="0" w:space="0" w:color="auto"/>
        <w:right w:val="none" w:sz="0" w:space="0" w:color="auto"/>
      </w:divBdr>
    </w:div>
    <w:div w:id="1546795091">
      <w:bodyDiv w:val="1"/>
      <w:marLeft w:val="0"/>
      <w:marRight w:val="0"/>
      <w:marTop w:val="0"/>
      <w:marBottom w:val="0"/>
      <w:divBdr>
        <w:top w:val="none" w:sz="0" w:space="0" w:color="auto"/>
        <w:left w:val="none" w:sz="0" w:space="0" w:color="auto"/>
        <w:bottom w:val="none" w:sz="0" w:space="0" w:color="auto"/>
        <w:right w:val="none" w:sz="0" w:space="0" w:color="auto"/>
      </w:divBdr>
    </w:div>
    <w:div w:id="1552225282">
      <w:bodyDiv w:val="1"/>
      <w:marLeft w:val="0"/>
      <w:marRight w:val="0"/>
      <w:marTop w:val="0"/>
      <w:marBottom w:val="0"/>
      <w:divBdr>
        <w:top w:val="none" w:sz="0" w:space="0" w:color="auto"/>
        <w:left w:val="none" w:sz="0" w:space="0" w:color="auto"/>
        <w:bottom w:val="none" w:sz="0" w:space="0" w:color="auto"/>
        <w:right w:val="none" w:sz="0" w:space="0" w:color="auto"/>
      </w:divBdr>
    </w:div>
    <w:div w:id="1552769802">
      <w:bodyDiv w:val="1"/>
      <w:marLeft w:val="0"/>
      <w:marRight w:val="0"/>
      <w:marTop w:val="0"/>
      <w:marBottom w:val="0"/>
      <w:divBdr>
        <w:top w:val="none" w:sz="0" w:space="0" w:color="auto"/>
        <w:left w:val="none" w:sz="0" w:space="0" w:color="auto"/>
        <w:bottom w:val="none" w:sz="0" w:space="0" w:color="auto"/>
        <w:right w:val="none" w:sz="0" w:space="0" w:color="auto"/>
      </w:divBdr>
    </w:div>
    <w:div w:id="1554468461">
      <w:bodyDiv w:val="1"/>
      <w:marLeft w:val="0"/>
      <w:marRight w:val="0"/>
      <w:marTop w:val="0"/>
      <w:marBottom w:val="0"/>
      <w:divBdr>
        <w:top w:val="none" w:sz="0" w:space="0" w:color="auto"/>
        <w:left w:val="none" w:sz="0" w:space="0" w:color="auto"/>
        <w:bottom w:val="none" w:sz="0" w:space="0" w:color="auto"/>
        <w:right w:val="none" w:sz="0" w:space="0" w:color="auto"/>
      </w:divBdr>
    </w:div>
    <w:div w:id="1554734164">
      <w:bodyDiv w:val="1"/>
      <w:marLeft w:val="0"/>
      <w:marRight w:val="0"/>
      <w:marTop w:val="0"/>
      <w:marBottom w:val="0"/>
      <w:divBdr>
        <w:top w:val="none" w:sz="0" w:space="0" w:color="auto"/>
        <w:left w:val="none" w:sz="0" w:space="0" w:color="auto"/>
        <w:bottom w:val="none" w:sz="0" w:space="0" w:color="auto"/>
        <w:right w:val="none" w:sz="0" w:space="0" w:color="auto"/>
      </w:divBdr>
    </w:div>
    <w:div w:id="1555002414">
      <w:bodyDiv w:val="1"/>
      <w:marLeft w:val="0"/>
      <w:marRight w:val="0"/>
      <w:marTop w:val="0"/>
      <w:marBottom w:val="0"/>
      <w:divBdr>
        <w:top w:val="none" w:sz="0" w:space="0" w:color="auto"/>
        <w:left w:val="none" w:sz="0" w:space="0" w:color="auto"/>
        <w:bottom w:val="none" w:sz="0" w:space="0" w:color="auto"/>
        <w:right w:val="none" w:sz="0" w:space="0" w:color="auto"/>
      </w:divBdr>
    </w:div>
    <w:div w:id="1555970765">
      <w:bodyDiv w:val="1"/>
      <w:marLeft w:val="0"/>
      <w:marRight w:val="0"/>
      <w:marTop w:val="0"/>
      <w:marBottom w:val="0"/>
      <w:divBdr>
        <w:top w:val="none" w:sz="0" w:space="0" w:color="auto"/>
        <w:left w:val="none" w:sz="0" w:space="0" w:color="auto"/>
        <w:bottom w:val="none" w:sz="0" w:space="0" w:color="auto"/>
        <w:right w:val="none" w:sz="0" w:space="0" w:color="auto"/>
      </w:divBdr>
    </w:div>
    <w:div w:id="1557470610">
      <w:bodyDiv w:val="1"/>
      <w:marLeft w:val="0"/>
      <w:marRight w:val="0"/>
      <w:marTop w:val="0"/>
      <w:marBottom w:val="0"/>
      <w:divBdr>
        <w:top w:val="none" w:sz="0" w:space="0" w:color="auto"/>
        <w:left w:val="none" w:sz="0" w:space="0" w:color="auto"/>
        <w:bottom w:val="none" w:sz="0" w:space="0" w:color="auto"/>
        <w:right w:val="none" w:sz="0" w:space="0" w:color="auto"/>
      </w:divBdr>
    </w:div>
    <w:div w:id="1558472217">
      <w:bodyDiv w:val="1"/>
      <w:marLeft w:val="0"/>
      <w:marRight w:val="0"/>
      <w:marTop w:val="0"/>
      <w:marBottom w:val="0"/>
      <w:divBdr>
        <w:top w:val="none" w:sz="0" w:space="0" w:color="auto"/>
        <w:left w:val="none" w:sz="0" w:space="0" w:color="auto"/>
        <w:bottom w:val="none" w:sz="0" w:space="0" w:color="auto"/>
        <w:right w:val="none" w:sz="0" w:space="0" w:color="auto"/>
      </w:divBdr>
    </w:div>
    <w:div w:id="1562667554">
      <w:bodyDiv w:val="1"/>
      <w:marLeft w:val="0"/>
      <w:marRight w:val="0"/>
      <w:marTop w:val="0"/>
      <w:marBottom w:val="0"/>
      <w:divBdr>
        <w:top w:val="none" w:sz="0" w:space="0" w:color="auto"/>
        <w:left w:val="none" w:sz="0" w:space="0" w:color="auto"/>
        <w:bottom w:val="none" w:sz="0" w:space="0" w:color="auto"/>
        <w:right w:val="none" w:sz="0" w:space="0" w:color="auto"/>
      </w:divBdr>
    </w:div>
    <w:div w:id="1562935067">
      <w:bodyDiv w:val="1"/>
      <w:marLeft w:val="0"/>
      <w:marRight w:val="0"/>
      <w:marTop w:val="0"/>
      <w:marBottom w:val="0"/>
      <w:divBdr>
        <w:top w:val="none" w:sz="0" w:space="0" w:color="auto"/>
        <w:left w:val="none" w:sz="0" w:space="0" w:color="auto"/>
        <w:bottom w:val="none" w:sz="0" w:space="0" w:color="auto"/>
        <w:right w:val="none" w:sz="0" w:space="0" w:color="auto"/>
      </w:divBdr>
    </w:div>
    <w:div w:id="1566531722">
      <w:bodyDiv w:val="1"/>
      <w:marLeft w:val="0"/>
      <w:marRight w:val="0"/>
      <w:marTop w:val="0"/>
      <w:marBottom w:val="0"/>
      <w:divBdr>
        <w:top w:val="none" w:sz="0" w:space="0" w:color="auto"/>
        <w:left w:val="none" w:sz="0" w:space="0" w:color="auto"/>
        <w:bottom w:val="none" w:sz="0" w:space="0" w:color="auto"/>
        <w:right w:val="none" w:sz="0" w:space="0" w:color="auto"/>
      </w:divBdr>
    </w:div>
    <w:div w:id="1569070181">
      <w:bodyDiv w:val="1"/>
      <w:marLeft w:val="0"/>
      <w:marRight w:val="0"/>
      <w:marTop w:val="0"/>
      <w:marBottom w:val="0"/>
      <w:divBdr>
        <w:top w:val="none" w:sz="0" w:space="0" w:color="auto"/>
        <w:left w:val="none" w:sz="0" w:space="0" w:color="auto"/>
        <w:bottom w:val="none" w:sz="0" w:space="0" w:color="auto"/>
        <w:right w:val="none" w:sz="0" w:space="0" w:color="auto"/>
      </w:divBdr>
    </w:div>
    <w:div w:id="1569144777">
      <w:bodyDiv w:val="1"/>
      <w:marLeft w:val="0"/>
      <w:marRight w:val="0"/>
      <w:marTop w:val="0"/>
      <w:marBottom w:val="0"/>
      <w:divBdr>
        <w:top w:val="none" w:sz="0" w:space="0" w:color="auto"/>
        <w:left w:val="none" w:sz="0" w:space="0" w:color="auto"/>
        <w:bottom w:val="none" w:sz="0" w:space="0" w:color="auto"/>
        <w:right w:val="none" w:sz="0" w:space="0" w:color="auto"/>
      </w:divBdr>
    </w:div>
    <w:div w:id="1569657769">
      <w:bodyDiv w:val="1"/>
      <w:marLeft w:val="0"/>
      <w:marRight w:val="0"/>
      <w:marTop w:val="0"/>
      <w:marBottom w:val="0"/>
      <w:divBdr>
        <w:top w:val="none" w:sz="0" w:space="0" w:color="auto"/>
        <w:left w:val="none" w:sz="0" w:space="0" w:color="auto"/>
        <w:bottom w:val="none" w:sz="0" w:space="0" w:color="auto"/>
        <w:right w:val="none" w:sz="0" w:space="0" w:color="auto"/>
      </w:divBdr>
    </w:div>
    <w:div w:id="1570192305">
      <w:bodyDiv w:val="1"/>
      <w:marLeft w:val="0"/>
      <w:marRight w:val="0"/>
      <w:marTop w:val="0"/>
      <w:marBottom w:val="0"/>
      <w:divBdr>
        <w:top w:val="none" w:sz="0" w:space="0" w:color="auto"/>
        <w:left w:val="none" w:sz="0" w:space="0" w:color="auto"/>
        <w:bottom w:val="none" w:sz="0" w:space="0" w:color="auto"/>
        <w:right w:val="none" w:sz="0" w:space="0" w:color="auto"/>
      </w:divBdr>
    </w:div>
    <w:div w:id="1574588523">
      <w:bodyDiv w:val="1"/>
      <w:marLeft w:val="0"/>
      <w:marRight w:val="0"/>
      <w:marTop w:val="0"/>
      <w:marBottom w:val="0"/>
      <w:divBdr>
        <w:top w:val="none" w:sz="0" w:space="0" w:color="auto"/>
        <w:left w:val="none" w:sz="0" w:space="0" w:color="auto"/>
        <w:bottom w:val="none" w:sz="0" w:space="0" w:color="auto"/>
        <w:right w:val="none" w:sz="0" w:space="0" w:color="auto"/>
      </w:divBdr>
    </w:div>
    <w:div w:id="1577203876">
      <w:bodyDiv w:val="1"/>
      <w:marLeft w:val="0"/>
      <w:marRight w:val="0"/>
      <w:marTop w:val="0"/>
      <w:marBottom w:val="0"/>
      <w:divBdr>
        <w:top w:val="none" w:sz="0" w:space="0" w:color="auto"/>
        <w:left w:val="none" w:sz="0" w:space="0" w:color="auto"/>
        <w:bottom w:val="none" w:sz="0" w:space="0" w:color="auto"/>
        <w:right w:val="none" w:sz="0" w:space="0" w:color="auto"/>
      </w:divBdr>
    </w:div>
    <w:div w:id="1578662336">
      <w:bodyDiv w:val="1"/>
      <w:marLeft w:val="0"/>
      <w:marRight w:val="0"/>
      <w:marTop w:val="0"/>
      <w:marBottom w:val="0"/>
      <w:divBdr>
        <w:top w:val="none" w:sz="0" w:space="0" w:color="auto"/>
        <w:left w:val="none" w:sz="0" w:space="0" w:color="auto"/>
        <w:bottom w:val="none" w:sz="0" w:space="0" w:color="auto"/>
        <w:right w:val="none" w:sz="0" w:space="0" w:color="auto"/>
      </w:divBdr>
    </w:div>
    <w:div w:id="1580866570">
      <w:bodyDiv w:val="1"/>
      <w:marLeft w:val="0"/>
      <w:marRight w:val="0"/>
      <w:marTop w:val="0"/>
      <w:marBottom w:val="0"/>
      <w:divBdr>
        <w:top w:val="none" w:sz="0" w:space="0" w:color="auto"/>
        <w:left w:val="none" w:sz="0" w:space="0" w:color="auto"/>
        <w:bottom w:val="none" w:sz="0" w:space="0" w:color="auto"/>
        <w:right w:val="none" w:sz="0" w:space="0" w:color="auto"/>
      </w:divBdr>
    </w:div>
    <w:div w:id="1582831022">
      <w:bodyDiv w:val="1"/>
      <w:marLeft w:val="0"/>
      <w:marRight w:val="0"/>
      <w:marTop w:val="0"/>
      <w:marBottom w:val="0"/>
      <w:divBdr>
        <w:top w:val="none" w:sz="0" w:space="0" w:color="auto"/>
        <w:left w:val="none" w:sz="0" w:space="0" w:color="auto"/>
        <w:bottom w:val="none" w:sz="0" w:space="0" w:color="auto"/>
        <w:right w:val="none" w:sz="0" w:space="0" w:color="auto"/>
      </w:divBdr>
    </w:div>
    <w:div w:id="1584291280">
      <w:bodyDiv w:val="1"/>
      <w:marLeft w:val="0"/>
      <w:marRight w:val="0"/>
      <w:marTop w:val="0"/>
      <w:marBottom w:val="0"/>
      <w:divBdr>
        <w:top w:val="none" w:sz="0" w:space="0" w:color="auto"/>
        <w:left w:val="none" w:sz="0" w:space="0" w:color="auto"/>
        <w:bottom w:val="none" w:sz="0" w:space="0" w:color="auto"/>
        <w:right w:val="none" w:sz="0" w:space="0" w:color="auto"/>
      </w:divBdr>
    </w:div>
    <w:div w:id="1586383501">
      <w:bodyDiv w:val="1"/>
      <w:marLeft w:val="0"/>
      <w:marRight w:val="0"/>
      <w:marTop w:val="0"/>
      <w:marBottom w:val="0"/>
      <w:divBdr>
        <w:top w:val="none" w:sz="0" w:space="0" w:color="auto"/>
        <w:left w:val="none" w:sz="0" w:space="0" w:color="auto"/>
        <w:bottom w:val="none" w:sz="0" w:space="0" w:color="auto"/>
        <w:right w:val="none" w:sz="0" w:space="0" w:color="auto"/>
      </w:divBdr>
    </w:div>
    <w:div w:id="1586456497">
      <w:bodyDiv w:val="1"/>
      <w:marLeft w:val="0"/>
      <w:marRight w:val="0"/>
      <w:marTop w:val="0"/>
      <w:marBottom w:val="0"/>
      <w:divBdr>
        <w:top w:val="none" w:sz="0" w:space="0" w:color="auto"/>
        <w:left w:val="none" w:sz="0" w:space="0" w:color="auto"/>
        <w:bottom w:val="none" w:sz="0" w:space="0" w:color="auto"/>
        <w:right w:val="none" w:sz="0" w:space="0" w:color="auto"/>
      </w:divBdr>
    </w:div>
    <w:div w:id="1587301360">
      <w:bodyDiv w:val="1"/>
      <w:marLeft w:val="0"/>
      <w:marRight w:val="0"/>
      <w:marTop w:val="0"/>
      <w:marBottom w:val="0"/>
      <w:divBdr>
        <w:top w:val="none" w:sz="0" w:space="0" w:color="auto"/>
        <w:left w:val="none" w:sz="0" w:space="0" w:color="auto"/>
        <w:bottom w:val="none" w:sz="0" w:space="0" w:color="auto"/>
        <w:right w:val="none" w:sz="0" w:space="0" w:color="auto"/>
      </w:divBdr>
    </w:div>
    <w:div w:id="1588347642">
      <w:bodyDiv w:val="1"/>
      <w:marLeft w:val="0"/>
      <w:marRight w:val="0"/>
      <w:marTop w:val="0"/>
      <w:marBottom w:val="0"/>
      <w:divBdr>
        <w:top w:val="none" w:sz="0" w:space="0" w:color="auto"/>
        <w:left w:val="none" w:sz="0" w:space="0" w:color="auto"/>
        <w:bottom w:val="none" w:sz="0" w:space="0" w:color="auto"/>
        <w:right w:val="none" w:sz="0" w:space="0" w:color="auto"/>
      </w:divBdr>
    </w:div>
    <w:div w:id="1594126355">
      <w:bodyDiv w:val="1"/>
      <w:marLeft w:val="0"/>
      <w:marRight w:val="0"/>
      <w:marTop w:val="0"/>
      <w:marBottom w:val="0"/>
      <w:divBdr>
        <w:top w:val="none" w:sz="0" w:space="0" w:color="auto"/>
        <w:left w:val="none" w:sz="0" w:space="0" w:color="auto"/>
        <w:bottom w:val="none" w:sz="0" w:space="0" w:color="auto"/>
        <w:right w:val="none" w:sz="0" w:space="0" w:color="auto"/>
      </w:divBdr>
    </w:div>
    <w:div w:id="1595044680">
      <w:bodyDiv w:val="1"/>
      <w:marLeft w:val="0"/>
      <w:marRight w:val="0"/>
      <w:marTop w:val="0"/>
      <w:marBottom w:val="0"/>
      <w:divBdr>
        <w:top w:val="none" w:sz="0" w:space="0" w:color="auto"/>
        <w:left w:val="none" w:sz="0" w:space="0" w:color="auto"/>
        <w:bottom w:val="none" w:sz="0" w:space="0" w:color="auto"/>
        <w:right w:val="none" w:sz="0" w:space="0" w:color="auto"/>
      </w:divBdr>
    </w:div>
    <w:div w:id="1597009464">
      <w:bodyDiv w:val="1"/>
      <w:marLeft w:val="0"/>
      <w:marRight w:val="0"/>
      <w:marTop w:val="0"/>
      <w:marBottom w:val="0"/>
      <w:divBdr>
        <w:top w:val="none" w:sz="0" w:space="0" w:color="auto"/>
        <w:left w:val="none" w:sz="0" w:space="0" w:color="auto"/>
        <w:bottom w:val="none" w:sz="0" w:space="0" w:color="auto"/>
        <w:right w:val="none" w:sz="0" w:space="0" w:color="auto"/>
      </w:divBdr>
    </w:div>
    <w:div w:id="1600021714">
      <w:bodyDiv w:val="1"/>
      <w:marLeft w:val="0"/>
      <w:marRight w:val="0"/>
      <w:marTop w:val="0"/>
      <w:marBottom w:val="0"/>
      <w:divBdr>
        <w:top w:val="none" w:sz="0" w:space="0" w:color="auto"/>
        <w:left w:val="none" w:sz="0" w:space="0" w:color="auto"/>
        <w:bottom w:val="none" w:sz="0" w:space="0" w:color="auto"/>
        <w:right w:val="none" w:sz="0" w:space="0" w:color="auto"/>
      </w:divBdr>
    </w:div>
    <w:div w:id="1600676932">
      <w:bodyDiv w:val="1"/>
      <w:marLeft w:val="0"/>
      <w:marRight w:val="0"/>
      <w:marTop w:val="0"/>
      <w:marBottom w:val="0"/>
      <w:divBdr>
        <w:top w:val="none" w:sz="0" w:space="0" w:color="auto"/>
        <w:left w:val="none" w:sz="0" w:space="0" w:color="auto"/>
        <w:bottom w:val="none" w:sz="0" w:space="0" w:color="auto"/>
        <w:right w:val="none" w:sz="0" w:space="0" w:color="auto"/>
      </w:divBdr>
    </w:div>
    <w:div w:id="1602102250">
      <w:bodyDiv w:val="1"/>
      <w:marLeft w:val="0"/>
      <w:marRight w:val="0"/>
      <w:marTop w:val="0"/>
      <w:marBottom w:val="0"/>
      <w:divBdr>
        <w:top w:val="none" w:sz="0" w:space="0" w:color="auto"/>
        <w:left w:val="none" w:sz="0" w:space="0" w:color="auto"/>
        <w:bottom w:val="none" w:sz="0" w:space="0" w:color="auto"/>
        <w:right w:val="none" w:sz="0" w:space="0" w:color="auto"/>
      </w:divBdr>
    </w:div>
    <w:div w:id="1602179128">
      <w:bodyDiv w:val="1"/>
      <w:marLeft w:val="0"/>
      <w:marRight w:val="0"/>
      <w:marTop w:val="0"/>
      <w:marBottom w:val="0"/>
      <w:divBdr>
        <w:top w:val="none" w:sz="0" w:space="0" w:color="auto"/>
        <w:left w:val="none" w:sz="0" w:space="0" w:color="auto"/>
        <w:bottom w:val="none" w:sz="0" w:space="0" w:color="auto"/>
        <w:right w:val="none" w:sz="0" w:space="0" w:color="auto"/>
      </w:divBdr>
    </w:div>
    <w:div w:id="1602226042">
      <w:bodyDiv w:val="1"/>
      <w:marLeft w:val="0"/>
      <w:marRight w:val="0"/>
      <w:marTop w:val="0"/>
      <w:marBottom w:val="0"/>
      <w:divBdr>
        <w:top w:val="none" w:sz="0" w:space="0" w:color="auto"/>
        <w:left w:val="none" w:sz="0" w:space="0" w:color="auto"/>
        <w:bottom w:val="none" w:sz="0" w:space="0" w:color="auto"/>
        <w:right w:val="none" w:sz="0" w:space="0" w:color="auto"/>
      </w:divBdr>
    </w:div>
    <w:div w:id="1604916953">
      <w:bodyDiv w:val="1"/>
      <w:marLeft w:val="0"/>
      <w:marRight w:val="0"/>
      <w:marTop w:val="0"/>
      <w:marBottom w:val="0"/>
      <w:divBdr>
        <w:top w:val="none" w:sz="0" w:space="0" w:color="auto"/>
        <w:left w:val="none" w:sz="0" w:space="0" w:color="auto"/>
        <w:bottom w:val="none" w:sz="0" w:space="0" w:color="auto"/>
        <w:right w:val="none" w:sz="0" w:space="0" w:color="auto"/>
      </w:divBdr>
    </w:div>
    <w:div w:id="1605265141">
      <w:bodyDiv w:val="1"/>
      <w:marLeft w:val="0"/>
      <w:marRight w:val="0"/>
      <w:marTop w:val="0"/>
      <w:marBottom w:val="0"/>
      <w:divBdr>
        <w:top w:val="none" w:sz="0" w:space="0" w:color="auto"/>
        <w:left w:val="none" w:sz="0" w:space="0" w:color="auto"/>
        <w:bottom w:val="none" w:sz="0" w:space="0" w:color="auto"/>
        <w:right w:val="none" w:sz="0" w:space="0" w:color="auto"/>
      </w:divBdr>
    </w:div>
    <w:div w:id="1608926803">
      <w:bodyDiv w:val="1"/>
      <w:marLeft w:val="0"/>
      <w:marRight w:val="0"/>
      <w:marTop w:val="0"/>
      <w:marBottom w:val="0"/>
      <w:divBdr>
        <w:top w:val="none" w:sz="0" w:space="0" w:color="auto"/>
        <w:left w:val="none" w:sz="0" w:space="0" w:color="auto"/>
        <w:bottom w:val="none" w:sz="0" w:space="0" w:color="auto"/>
        <w:right w:val="none" w:sz="0" w:space="0" w:color="auto"/>
      </w:divBdr>
    </w:div>
    <w:div w:id="1609778986">
      <w:bodyDiv w:val="1"/>
      <w:marLeft w:val="0"/>
      <w:marRight w:val="0"/>
      <w:marTop w:val="0"/>
      <w:marBottom w:val="0"/>
      <w:divBdr>
        <w:top w:val="none" w:sz="0" w:space="0" w:color="auto"/>
        <w:left w:val="none" w:sz="0" w:space="0" w:color="auto"/>
        <w:bottom w:val="none" w:sz="0" w:space="0" w:color="auto"/>
        <w:right w:val="none" w:sz="0" w:space="0" w:color="auto"/>
      </w:divBdr>
    </w:div>
    <w:div w:id="1612784290">
      <w:bodyDiv w:val="1"/>
      <w:marLeft w:val="0"/>
      <w:marRight w:val="0"/>
      <w:marTop w:val="0"/>
      <w:marBottom w:val="0"/>
      <w:divBdr>
        <w:top w:val="none" w:sz="0" w:space="0" w:color="auto"/>
        <w:left w:val="none" w:sz="0" w:space="0" w:color="auto"/>
        <w:bottom w:val="none" w:sz="0" w:space="0" w:color="auto"/>
        <w:right w:val="none" w:sz="0" w:space="0" w:color="auto"/>
      </w:divBdr>
    </w:div>
    <w:div w:id="1613780179">
      <w:bodyDiv w:val="1"/>
      <w:marLeft w:val="0"/>
      <w:marRight w:val="0"/>
      <w:marTop w:val="0"/>
      <w:marBottom w:val="0"/>
      <w:divBdr>
        <w:top w:val="none" w:sz="0" w:space="0" w:color="auto"/>
        <w:left w:val="none" w:sz="0" w:space="0" w:color="auto"/>
        <w:bottom w:val="none" w:sz="0" w:space="0" w:color="auto"/>
        <w:right w:val="none" w:sz="0" w:space="0" w:color="auto"/>
      </w:divBdr>
    </w:div>
    <w:div w:id="1615165440">
      <w:bodyDiv w:val="1"/>
      <w:marLeft w:val="0"/>
      <w:marRight w:val="0"/>
      <w:marTop w:val="0"/>
      <w:marBottom w:val="0"/>
      <w:divBdr>
        <w:top w:val="none" w:sz="0" w:space="0" w:color="auto"/>
        <w:left w:val="none" w:sz="0" w:space="0" w:color="auto"/>
        <w:bottom w:val="none" w:sz="0" w:space="0" w:color="auto"/>
        <w:right w:val="none" w:sz="0" w:space="0" w:color="auto"/>
      </w:divBdr>
    </w:div>
    <w:div w:id="1617448679">
      <w:bodyDiv w:val="1"/>
      <w:marLeft w:val="0"/>
      <w:marRight w:val="0"/>
      <w:marTop w:val="0"/>
      <w:marBottom w:val="0"/>
      <w:divBdr>
        <w:top w:val="none" w:sz="0" w:space="0" w:color="auto"/>
        <w:left w:val="none" w:sz="0" w:space="0" w:color="auto"/>
        <w:bottom w:val="none" w:sz="0" w:space="0" w:color="auto"/>
        <w:right w:val="none" w:sz="0" w:space="0" w:color="auto"/>
      </w:divBdr>
    </w:div>
    <w:div w:id="1619145179">
      <w:bodyDiv w:val="1"/>
      <w:marLeft w:val="0"/>
      <w:marRight w:val="0"/>
      <w:marTop w:val="0"/>
      <w:marBottom w:val="0"/>
      <w:divBdr>
        <w:top w:val="none" w:sz="0" w:space="0" w:color="auto"/>
        <w:left w:val="none" w:sz="0" w:space="0" w:color="auto"/>
        <w:bottom w:val="none" w:sz="0" w:space="0" w:color="auto"/>
        <w:right w:val="none" w:sz="0" w:space="0" w:color="auto"/>
      </w:divBdr>
    </w:div>
    <w:div w:id="1620337849">
      <w:bodyDiv w:val="1"/>
      <w:marLeft w:val="0"/>
      <w:marRight w:val="0"/>
      <w:marTop w:val="0"/>
      <w:marBottom w:val="0"/>
      <w:divBdr>
        <w:top w:val="none" w:sz="0" w:space="0" w:color="auto"/>
        <w:left w:val="none" w:sz="0" w:space="0" w:color="auto"/>
        <w:bottom w:val="none" w:sz="0" w:space="0" w:color="auto"/>
        <w:right w:val="none" w:sz="0" w:space="0" w:color="auto"/>
      </w:divBdr>
    </w:div>
    <w:div w:id="1620529402">
      <w:bodyDiv w:val="1"/>
      <w:marLeft w:val="0"/>
      <w:marRight w:val="0"/>
      <w:marTop w:val="0"/>
      <w:marBottom w:val="0"/>
      <w:divBdr>
        <w:top w:val="none" w:sz="0" w:space="0" w:color="auto"/>
        <w:left w:val="none" w:sz="0" w:space="0" w:color="auto"/>
        <w:bottom w:val="none" w:sz="0" w:space="0" w:color="auto"/>
        <w:right w:val="none" w:sz="0" w:space="0" w:color="auto"/>
      </w:divBdr>
    </w:div>
    <w:div w:id="1621839804">
      <w:bodyDiv w:val="1"/>
      <w:marLeft w:val="0"/>
      <w:marRight w:val="0"/>
      <w:marTop w:val="0"/>
      <w:marBottom w:val="0"/>
      <w:divBdr>
        <w:top w:val="none" w:sz="0" w:space="0" w:color="auto"/>
        <w:left w:val="none" w:sz="0" w:space="0" w:color="auto"/>
        <w:bottom w:val="none" w:sz="0" w:space="0" w:color="auto"/>
        <w:right w:val="none" w:sz="0" w:space="0" w:color="auto"/>
      </w:divBdr>
    </w:div>
    <w:div w:id="1622223200">
      <w:bodyDiv w:val="1"/>
      <w:marLeft w:val="0"/>
      <w:marRight w:val="0"/>
      <w:marTop w:val="0"/>
      <w:marBottom w:val="0"/>
      <w:divBdr>
        <w:top w:val="none" w:sz="0" w:space="0" w:color="auto"/>
        <w:left w:val="none" w:sz="0" w:space="0" w:color="auto"/>
        <w:bottom w:val="none" w:sz="0" w:space="0" w:color="auto"/>
        <w:right w:val="none" w:sz="0" w:space="0" w:color="auto"/>
      </w:divBdr>
    </w:div>
    <w:div w:id="1624533671">
      <w:bodyDiv w:val="1"/>
      <w:marLeft w:val="0"/>
      <w:marRight w:val="0"/>
      <w:marTop w:val="0"/>
      <w:marBottom w:val="0"/>
      <w:divBdr>
        <w:top w:val="none" w:sz="0" w:space="0" w:color="auto"/>
        <w:left w:val="none" w:sz="0" w:space="0" w:color="auto"/>
        <w:bottom w:val="none" w:sz="0" w:space="0" w:color="auto"/>
        <w:right w:val="none" w:sz="0" w:space="0" w:color="auto"/>
      </w:divBdr>
    </w:div>
    <w:div w:id="1625039813">
      <w:bodyDiv w:val="1"/>
      <w:marLeft w:val="0"/>
      <w:marRight w:val="0"/>
      <w:marTop w:val="0"/>
      <w:marBottom w:val="0"/>
      <w:divBdr>
        <w:top w:val="none" w:sz="0" w:space="0" w:color="auto"/>
        <w:left w:val="none" w:sz="0" w:space="0" w:color="auto"/>
        <w:bottom w:val="none" w:sz="0" w:space="0" w:color="auto"/>
        <w:right w:val="none" w:sz="0" w:space="0" w:color="auto"/>
      </w:divBdr>
    </w:div>
    <w:div w:id="1625848524">
      <w:bodyDiv w:val="1"/>
      <w:marLeft w:val="0"/>
      <w:marRight w:val="0"/>
      <w:marTop w:val="0"/>
      <w:marBottom w:val="0"/>
      <w:divBdr>
        <w:top w:val="none" w:sz="0" w:space="0" w:color="auto"/>
        <w:left w:val="none" w:sz="0" w:space="0" w:color="auto"/>
        <w:bottom w:val="none" w:sz="0" w:space="0" w:color="auto"/>
        <w:right w:val="none" w:sz="0" w:space="0" w:color="auto"/>
      </w:divBdr>
    </w:div>
    <w:div w:id="1630280001">
      <w:bodyDiv w:val="1"/>
      <w:marLeft w:val="0"/>
      <w:marRight w:val="0"/>
      <w:marTop w:val="0"/>
      <w:marBottom w:val="0"/>
      <w:divBdr>
        <w:top w:val="none" w:sz="0" w:space="0" w:color="auto"/>
        <w:left w:val="none" w:sz="0" w:space="0" w:color="auto"/>
        <w:bottom w:val="none" w:sz="0" w:space="0" w:color="auto"/>
        <w:right w:val="none" w:sz="0" w:space="0" w:color="auto"/>
      </w:divBdr>
    </w:div>
    <w:div w:id="1633439277">
      <w:bodyDiv w:val="1"/>
      <w:marLeft w:val="0"/>
      <w:marRight w:val="0"/>
      <w:marTop w:val="0"/>
      <w:marBottom w:val="0"/>
      <w:divBdr>
        <w:top w:val="none" w:sz="0" w:space="0" w:color="auto"/>
        <w:left w:val="none" w:sz="0" w:space="0" w:color="auto"/>
        <w:bottom w:val="none" w:sz="0" w:space="0" w:color="auto"/>
        <w:right w:val="none" w:sz="0" w:space="0" w:color="auto"/>
      </w:divBdr>
    </w:div>
    <w:div w:id="1633562924">
      <w:bodyDiv w:val="1"/>
      <w:marLeft w:val="0"/>
      <w:marRight w:val="0"/>
      <w:marTop w:val="0"/>
      <w:marBottom w:val="0"/>
      <w:divBdr>
        <w:top w:val="none" w:sz="0" w:space="0" w:color="auto"/>
        <w:left w:val="none" w:sz="0" w:space="0" w:color="auto"/>
        <w:bottom w:val="none" w:sz="0" w:space="0" w:color="auto"/>
        <w:right w:val="none" w:sz="0" w:space="0" w:color="auto"/>
      </w:divBdr>
    </w:div>
    <w:div w:id="1635524869">
      <w:bodyDiv w:val="1"/>
      <w:marLeft w:val="0"/>
      <w:marRight w:val="0"/>
      <w:marTop w:val="0"/>
      <w:marBottom w:val="0"/>
      <w:divBdr>
        <w:top w:val="none" w:sz="0" w:space="0" w:color="auto"/>
        <w:left w:val="none" w:sz="0" w:space="0" w:color="auto"/>
        <w:bottom w:val="none" w:sz="0" w:space="0" w:color="auto"/>
        <w:right w:val="none" w:sz="0" w:space="0" w:color="auto"/>
      </w:divBdr>
    </w:div>
    <w:div w:id="1637832667">
      <w:bodyDiv w:val="1"/>
      <w:marLeft w:val="0"/>
      <w:marRight w:val="0"/>
      <w:marTop w:val="0"/>
      <w:marBottom w:val="0"/>
      <w:divBdr>
        <w:top w:val="none" w:sz="0" w:space="0" w:color="auto"/>
        <w:left w:val="none" w:sz="0" w:space="0" w:color="auto"/>
        <w:bottom w:val="none" w:sz="0" w:space="0" w:color="auto"/>
        <w:right w:val="none" w:sz="0" w:space="0" w:color="auto"/>
      </w:divBdr>
    </w:div>
    <w:div w:id="1639340503">
      <w:bodyDiv w:val="1"/>
      <w:marLeft w:val="0"/>
      <w:marRight w:val="0"/>
      <w:marTop w:val="0"/>
      <w:marBottom w:val="0"/>
      <w:divBdr>
        <w:top w:val="none" w:sz="0" w:space="0" w:color="auto"/>
        <w:left w:val="none" w:sz="0" w:space="0" w:color="auto"/>
        <w:bottom w:val="none" w:sz="0" w:space="0" w:color="auto"/>
        <w:right w:val="none" w:sz="0" w:space="0" w:color="auto"/>
      </w:divBdr>
    </w:div>
    <w:div w:id="1642229916">
      <w:bodyDiv w:val="1"/>
      <w:marLeft w:val="0"/>
      <w:marRight w:val="0"/>
      <w:marTop w:val="0"/>
      <w:marBottom w:val="0"/>
      <w:divBdr>
        <w:top w:val="none" w:sz="0" w:space="0" w:color="auto"/>
        <w:left w:val="none" w:sz="0" w:space="0" w:color="auto"/>
        <w:bottom w:val="none" w:sz="0" w:space="0" w:color="auto"/>
        <w:right w:val="none" w:sz="0" w:space="0" w:color="auto"/>
      </w:divBdr>
    </w:div>
    <w:div w:id="1645113980">
      <w:bodyDiv w:val="1"/>
      <w:marLeft w:val="0"/>
      <w:marRight w:val="0"/>
      <w:marTop w:val="0"/>
      <w:marBottom w:val="0"/>
      <w:divBdr>
        <w:top w:val="none" w:sz="0" w:space="0" w:color="auto"/>
        <w:left w:val="none" w:sz="0" w:space="0" w:color="auto"/>
        <w:bottom w:val="none" w:sz="0" w:space="0" w:color="auto"/>
        <w:right w:val="none" w:sz="0" w:space="0" w:color="auto"/>
      </w:divBdr>
    </w:div>
    <w:div w:id="1652173050">
      <w:bodyDiv w:val="1"/>
      <w:marLeft w:val="0"/>
      <w:marRight w:val="0"/>
      <w:marTop w:val="0"/>
      <w:marBottom w:val="0"/>
      <w:divBdr>
        <w:top w:val="none" w:sz="0" w:space="0" w:color="auto"/>
        <w:left w:val="none" w:sz="0" w:space="0" w:color="auto"/>
        <w:bottom w:val="none" w:sz="0" w:space="0" w:color="auto"/>
        <w:right w:val="none" w:sz="0" w:space="0" w:color="auto"/>
      </w:divBdr>
    </w:div>
    <w:div w:id="1655833950">
      <w:bodyDiv w:val="1"/>
      <w:marLeft w:val="0"/>
      <w:marRight w:val="0"/>
      <w:marTop w:val="0"/>
      <w:marBottom w:val="0"/>
      <w:divBdr>
        <w:top w:val="none" w:sz="0" w:space="0" w:color="auto"/>
        <w:left w:val="none" w:sz="0" w:space="0" w:color="auto"/>
        <w:bottom w:val="none" w:sz="0" w:space="0" w:color="auto"/>
        <w:right w:val="none" w:sz="0" w:space="0" w:color="auto"/>
      </w:divBdr>
    </w:div>
    <w:div w:id="1656761361">
      <w:bodyDiv w:val="1"/>
      <w:marLeft w:val="0"/>
      <w:marRight w:val="0"/>
      <w:marTop w:val="0"/>
      <w:marBottom w:val="0"/>
      <w:divBdr>
        <w:top w:val="none" w:sz="0" w:space="0" w:color="auto"/>
        <w:left w:val="none" w:sz="0" w:space="0" w:color="auto"/>
        <w:bottom w:val="none" w:sz="0" w:space="0" w:color="auto"/>
        <w:right w:val="none" w:sz="0" w:space="0" w:color="auto"/>
      </w:divBdr>
    </w:div>
    <w:div w:id="1661690699">
      <w:bodyDiv w:val="1"/>
      <w:marLeft w:val="0"/>
      <w:marRight w:val="0"/>
      <w:marTop w:val="0"/>
      <w:marBottom w:val="0"/>
      <w:divBdr>
        <w:top w:val="none" w:sz="0" w:space="0" w:color="auto"/>
        <w:left w:val="none" w:sz="0" w:space="0" w:color="auto"/>
        <w:bottom w:val="none" w:sz="0" w:space="0" w:color="auto"/>
        <w:right w:val="none" w:sz="0" w:space="0" w:color="auto"/>
      </w:divBdr>
    </w:div>
    <w:div w:id="1664165840">
      <w:bodyDiv w:val="1"/>
      <w:marLeft w:val="0"/>
      <w:marRight w:val="0"/>
      <w:marTop w:val="0"/>
      <w:marBottom w:val="0"/>
      <w:divBdr>
        <w:top w:val="none" w:sz="0" w:space="0" w:color="auto"/>
        <w:left w:val="none" w:sz="0" w:space="0" w:color="auto"/>
        <w:bottom w:val="none" w:sz="0" w:space="0" w:color="auto"/>
        <w:right w:val="none" w:sz="0" w:space="0" w:color="auto"/>
      </w:divBdr>
    </w:div>
    <w:div w:id="1670786144">
      <w:bodyDiv w:val="1"/>
      <w:marLeft w:val="0"/>
      <w:marRight w:val="0"/>
      <w:marTop w:val="0"/>
      <w:marBottom w:val="0"/>
      <w:divBdr>
        <w:top w:val="none" w:sz="0" w:space="0" w:color="auto"/>
        <w:left w:val="none" w:sz="0" w:space="0" w:color="auto"/>
        <w:bottom w:val="none" w:sz="0" w:space="0" w:color="auto"/>
        <w:right w:val="none" w:sz="0" w:space="0" w:color="auto"/>
      </w:divBdr>
    </w:div>
    <w:div w:id="1671447213">
      <w:bodyDiv w:val="1"/>
      <w:marLeft w:val="0"/>
      <w:marRight w:val="0"/>
      <w:marTop w:val="0"/>
      <w:marBottom w:val="0"/>
      <w:divBdr>
        <w:top w:val="none" w:sz="0" w:space="0" w:color="auto"/>
        <w:left w:val="none" w:sz="0" w:space="0" w:color="auto"/>
        <w:bottom w:val="none" w:sz="0" w:space="0" w:color="auto"/>
        <w:right w:val="none" w:sz="0" w:space="0" w:color="auto"/>
      </w:divBdr>
    </w:div>
    <w:div w:id="1676152033">
      <w:bodyDiv w:val="1"/>
      <w:marLeft w:val="0"/>
      <w:marRight w:val="0"/>
      <w:marTop w:val="0"/>
      <w:marBottom w:val="0"/>
      <w:divBdr>
        <w:top w:val="none" w:sz="0" w:space="0" w:color="auto"/>
        <w:left w:val="none" w:sz="0" w:space="0" w:color="auto"/>
        <w:bottom w:val="none" w:sz="0" w:space="0" w:color="auto"/>
        <w:right w:val="none" w:sz="0" w:space="0" w:color="auto"/>
      </w:divBdr>
    </w:div>
    <w:div w:id="1676836450">
      <w:bodyDiv w:val="1"/>
      <w:marLeft w:val="0"/>
      <w:marRight w:val="0"/>
      <w:marTop w:val="0"/>
      <w:marBottom w:val="0"/>
      <w:divBdr>
        <w:top w:val="none" w:sz="0" w:space="0" w:color="auto"/>
        <w:left w:val="none" w:sz="0" w:space="0" w:color="auto"/>
        <w:bottom w:val="none" w:sz="0" w:space="0" w:color="auto"/>
        <w:right w:val="none" w:sz="0" w:space="0" w:color="auto"/>
      </w:divBdr>
    </w:div>
    <w:div w:id="1682395618">
      <w:bodyDiv w:val="1"/>
      <w:marLeft w:val="0"/>
      <w:marRight w:val="0"/>
      <w:marTop w:val="0"/>
      <w:marBottom w:val="0"/>
      <w:divBdr>
        <w:top w:val="none" w:sz="0" w:space="0" w:color="auto"/>
        <w:left w:val="none" w:sz="0" w:space="0" w:color="auto"/>
        <w:bottom w:val="none" w:sz="0" w:space="0" w:color="auto"/>
        <w:right w:val="none" w:sz="0" w:space="0" w:color="auto"/>
      </w:divBdr>
    </w:div>
    <w:div w:id="1683971386">
      <w:bodyDiv w:val="1"/>
      <w:marLeft w:val="0"/>
      <w:marRight w:val="0"/>
      <w:marTop w:val="0"/>
      <w:marBottom w:val="0"/>
      <w:divBdr>
        <w:top w:val="none" w:sz="0" w:space="0" w:color="auto"/>
        <w:left w:val="none" w:sz="0" w:space="0" w:color="auto"/>
        <w:bottom w:val="none" w:sz="0" w:space="0" w:color="auto"/>
        <w:right w:val="none" w:sz="0" w:space="0" w:color="auto"/>
      </w:divBdr>
    </w:div>
    <w:div w:id="1685594613">
      <w:bodyDiv w:val="1"/>
      <w:marLeft w:val="0"/>
      <w:marRight w:val="0"/>
      <w:marTop w:val="0"/>
      <w:marBottom w:val="0"/>
      <w:divBdr>
        <w:top w:val="none" w:sz="0" w:space="0" w:color="auto"/>
        <w:left w:val="none" w:sz="0" w:space="0" w:color="auto"/>
        <w:bottom w:val="none" w:sz="0" w:space="0" w:color="auto"/>
        <w:right w:val="none" w:sz="0" w:space="0" w:color="auto"/>
      </w:divBdr>
    </w:div>
    <w:div w:id="1686907372">
      <w:bodyDiv w:val="1"/>
      <w:marLeft w:val="0"/>
      <w:marRight w:val="0"/>
      <w:marTop w:val="0"/>
      <w:marBottom w:val="0"/>
      <w:divBdr>
        <w:top w:val="none" w:sz="0" w:space="0" w:color="auto"/>
        <w:left w:val="none" w:sz="0" w:space="0" w:color="auto"/>
        <w:bottom w:val="none" w:sz="0" w:space="0" w:color="auto"/>
        <w:right w:val="none" w:sz="0" w:space="0" w:color="auto"/>
      </w:divBdr>
    </w:div>
    <w:div w:id="1688209774">
      <w:bodyDiv w:val="1"/>
      <w:marLeft w:val="0"/>
      <w:marRight w:val="0"/>
      <w:marTop w:val="0"/>
      <w:marBottom w:val="0"/>
      <w:divBdr>
        <w:top w:val="none" w:sz="0" w:space="0" w:color="auto"/>
        <w:left w:val="none" w:sz="0" w:space="0" w:color="auto"/>
        <w:bottom w:val="none" w:sz="0" w:space="0" w:color="auto"/>
        <w:right w:val="none" w:sz="0" w:space="0" w:color="auto"/>
      </w:divBdr>
    </w:div>
    <w:div w:id="1689796261">
      <w:bodyDiv w:val="1"/>
      <w:marLeft w:val="0"/>
      <w:marRight w:val="0"/>
      <w:marTop w:val="0"/>
      <w:marBottom w:val="0"/>
      <w:divBdr>
        <w:top w:val="none" w:sz="0" w:space="0" w:color="auto"/>
        <w:left w:val="none" w:sz="0" w:space="0" w:color="auto"/>
        <w:bottom w:val="none" w:sz="0" w:space="0" w:color="auto"/>
        <w:right w:val="none" w:sz="0" w:space="0" w:color="auto"/>
      </w:divBdr>
    </w:div>
    <w:div w:id="1694264007">
      <w:bodyDiv w:val="1"/>
      <w:marLeft w:val="0"/>
      <w:marRight w:val="0"/>
      <w:marTop w:val="0"/>
      <w:marBottom w:val="0"/>
      <w:divBdr>
        <w:top w:val="none" w:sz="0" w:space="0" w:color="auto"/>
        <w:left w:val="none" w:sz="0" w:space="0" w:color="auto"/>
        <w:bottom w:val="none" w:sz="0" w:space="0" w:color="auto"/>
        <w:right w:val="none" w:sz="0" w:space="0" w:color="auto"/>
      </w:divBdr>
    </w:div>
    <w:div w:id="1694989186">
      <w:bodyDiv w:val="1"/>
      <w:marLeft w:val="0"/>
      <w:marRight w:val="0"/>
      <w:marTop w:val="0"/>
      <w:marBottom w:val="0"/>
      <w:divBdr>
        <w:top w:val="none" w:sz="0" w:space="0" w:color="auto"/>
        <w:left w:val="none" w:sz="0" w:space="0" w:color="auto"/>
        <w:bottom w:val="none" w:sz="0" w:space="0" w:color="auto"/>
        <w:right w:val="none" w:sz="0" w:space="0" w:color="auto"/>
      </w:divBdr>
    </w:div>
    <w:div w:id="1698388198">
      <w:bodyDiv w:val="1"/>
      <w:marLeft w:val="0"/>
      <w:marRight w:val="0"/>
      <w:marTop w:val="0"/>
      <w:marBottom w:val="0"/>
      <w:divBdr>
        <w:top w:val="none" w:sz="0" w:space="0" w:color="auto"/>
        <w:left w:val="none" w:sz="0" w:space="0" w:color="auto"/>
        <w:bottom w:val="none" w:sz="0" w:space="0" w:color="auto"/>
        <w:right w:val="none" w:sz="0" w:space="0" w:color="auto"/>
      </w:divBdr>
    </w:div>
    <w:div w:id="1700081547">
      <w:bodyDiv w:val="1"/>
      <w:marLeft w:val="0"/>
      <w:marRight w:val="0"/>
      <w:marTop w:val="0"/>
      <w:marBottom w:val="0"/>
      <w:divBdr>
        <w:top w:val="none" w:sz="0" w:space="0" w:color="auto"/>
        <w:left w:val="none" w:sz="0" w:space="0" w:color="auto"/>
        <w:bottom w:val="none" w:sz="0" w:space="0" w:color="auto"/>
        <w:right w:val="none" w:sz="0" w:space="0" w:color="auto"/>
      </w:divBdr>
    </w:div>
    <w:div w:id="1701469356">
      <w:bodyDiv w:val="1"/>
      <w:marLeft w:val="0"/>
      <w:marRight w:val="0"/>
      <w:marTop w:val="0"/>
      <w:marBottom w:val="0"/>
      <w:divBdr>
        <w:top w:val="none" w:sz="0" w:space="0" w:color="auto"/>
        <w:left w:val="none" w:sz="0" w:space="0" w:color="auto"/>
        <w:bottom w:val="none" w:sz="0" w:space="0" w:color="auto"/>
        <w:right w:val="none" w:sz="0" w:space="0" w:color="auto"/>
      </w:divBdr>
    </w:div>
    <w:div w:id="1703090756">
      <w:bodyDiv w:val="1"/>
      <w:marLeft w:val="0"/>
      <w:marRight w:val="0"/>
      <w:marTop w:val="0"/>
      <w:marBottom w:val="0"/>
      <w:divBdr>
        <w:top w:val="none" w:sz="0" w:space="0" w:color="auto"/>
        <w:left w:val="none" w:sz="0" w:space="0" w:color="auto"/>
        <w:bottom w:val="none" w:sz="0" w:space="0" w:color="auto"/>
        <w:right w:val="none" w:sz="0" w:space="0" w:color="auto"/>
      </w:divBdr>
    </w:div>
    <w:div w:id="1703480356">
      <w:bodyDiv w:val="1"/>
      <w:marLeft w:val="0"/>
      <w:marRight w:val="0"/>
      <w:marTop w:val="0"/>
      <w:marBottom w:val="0"/>
      <w:divBdr>
        <w:top w:val="none" w:sz="0" w:space="0" w:color="auto"/>
        <w:left w:val="none" w:sz="0" w:space="0" w:color="auto"/>
        <w:bottom w:val="none" w:sz="0" w:space="0" w:color="auto"/>
        <w:right w:val="none" w:sz="0" w:space="0" w:color="auto"/>
      </w:divBdr>
    </w:div>
    <w:div w:id="1705475180">
      <w:bodyDiv w:val="1"/>
      <w:marLeft w:val="0"/>
      <w:marRight w:val="0"/>
      <w:marTop w:val="0"/>
      <w:marBottom w:val="0"/>
      <w:divBdr>
        <w:top w:val="none" w:sz="0" w:space="0" w:color="auto"/>
        <w:left w:val="none" w:sz="0" w:space="0" w:color="auto"/>
        <w:bottom w:val="none" w:sz="0" w:space="0" w:color="auto"/>
        <w:right w:val="none" w:sz="0" w:space="0" w:color="auto"/>
      </w:divBdr>
    </w:div>
    <w:div w:id="1706637848">
      <w:bodyDiv w:val="1"/>
      <w:marLeft w:val="0"/>
      <w:marRight w:val="0"/>
      <w:marTop w:val="0"/>
      <w:marBottom w:val="0"/>
      <w:divBdr>
        <w:top w:val="none" w:sz="0" w:space="0" w:color="auto"/>
        <w:left w:val="none" w:sz="0" w:space="0" w:color="auto"/>
        <w:bottom w:val="none" w:sz="0" w:space="0" w:color="auto"/>
        <w:right w:val="none" w:sz="0" w:space="0" w:color="auto"/>
      </w:divBdr>
    </w:div>
    <w:div w:id="1707172191">
      <w:bodyDiv w:val="1"/>
      <w:marLeft w:val="0"/>
      <w:marRight w:val="0"/>
      <w:marTop w:val="0"/>
      <w:marBottom w:val="0"/>
      <w:divBdr>
        <w:top w:val="none" w:sz="0" w:space="0" w:color="auto"/>
        <w:left w:val="none" w:sz="0" w:space="0" w:color="auto"/>
        <w:bottom w:val="none" w:sz="0" w:space="0" w:color="auto"/>
        <w:right w:val="none" w:sz="0" w:space="0" w:color="auto"/>
      </w:divBdr>
    </w:div>
    <w:div w:id="1707481156">
      <w:bodyDiv w:val="1"/>
      <w:marLeft w:val="0"/>
      <w:marRight w:val="0"/>
      <w:marTop w:val="0"/>
      <w:marBottom w:val="0"/>
      <w:divBdr>
        <w:top w:val="none" w:sz="0" w:space="0" w:color="auto"/>
        <w:left w:val="none" w:sz="0" w:space="0" w:color="auto"/>
        <w:bottom w:val="none" w:sz="0" w:space="0" w:color="auto"/>
        <w:right w:val="none" w:sz="0" w:space="0" w:color="auto"/>
      </w:divBdr>
    </w:div>
    <w:div w:id="1712609386">
      <w:bodyDiv w:val="1"/>
      <w:marLeft w:val="0"/>
      <w:marRight w:val="0"/>
      <w:marTop w:val="0"/>
      <w:marBottom w:val="0"/>
      <w:divBdr>
        <w:top w:val="none" w:sz="0" w:space="0" w:color="auto"/>
        <w:left w:val="none" w:sz="0" w:space="0" w:color="auto"/>
        <w:bottom w:val="none" w:sz="0" w:space="0" w:color="auto"/>
        <w:right w:val="none" w:sz="0" w:space="0" w:color="auto"/>
      </w:divBdr>
    </w:div>
    <w:div w:id="1713073663">
      <w:bodyDiv w:val="1"/>
      <w:marLeft w:val="0"/>
      <w:marRight w:val="0"/>
      <w:marTop w:val="0"/>
      <w:marBottom w:val="0"/>
      <w:divBdr>
        <w:top w:val="none" w:sz="0" w:space="0" w:color="auto"/>
        <w:left w:val="none" w:sz="0" w:space="0" w:color="auto"/>
        <w:bottom w:val="none" w:sz="0" w:space="0" w:color="auto"/>
        <w:right w:val="none" w:sz="0" w:space="0" w:color="auto"/>
      </w:divBdr>
    </w:div>
    <w:div w:id="1718816776">
      <w:bodyDiv w:val="1"/>
      <w:marLeft w:val="0"/>
      <w:marRight w:val="0"/>
      <w:marTop w:val="0"/>
      <w:marBottom w:val="0"/>
      <w:divBdr>
        <w:top w:val="none" w:sz="0" w:space="0" w:color="auto"/>
        <w:left w:val="none" w:sz="0" w:space="0" w:color="auto"/>
        <w:bottom w:val="none" w:sz="0" w:space="0" w:color="auto"/>
        <w:right w:val="none" w:sz="0" w:space="0" w:color="auto"/>
      </w:divBdr>
    </w:div>
    <w:div w:id="1721899418">
      <w:bodyDiv w:val="1"/>
      <w:marLeft w:val="0"/>
      <w:marRight w:val="0"/>
      <w:marTop w:val="0"/>
      <w:marBottom w:val="0"/>
      <w:divBdr>
        <w:top w:val="none" w:sz="0" w:space="0" w:color="auto"/>
        <w:left w:val="none" w:sz="0" w:space="0" w:color="auto"/>
        <w:bottom w:val="none" w:sz="0" w:space="0" w:color="auto"/>
        <w:right w:val="none" w:sz="0" w:space="0" w:color="auto"/>
      </w:divBdr>
    </w:div>
    <w:div w:id="1722900172">
      <w:bodyDiv w:val="1"/>
      <w:marLeft w:val="0"/>
      <w:marRight w:val="0"/>
      <w:marTop w:val="0"/>
      <w:marBottom w:val="0"/>
      <w:divBdr>
        <w:top w:val="none" w:sz="0" w:space="0" w:color="auto"/>
        <w:left w:val="none" w:sz="0" w:space="0" w:color="auto"/>
        <w:bottom w:val="none" w:sz="0" w:space="0" w:color="auto"/>
        <w:right w:val="none" w:sz="0" w:space="0" w:color="auto"/>
      </w:divBdr>
    </w:div>
    <w:div w:id="1726417938">
      <w:bodyDiv w:val="1"/>
      <w:marLeft w:val="0"/>
      <w:marRight w:val="0"/>
      <w:marTop w:val="0"/>
      <w:marBottom w:val="0"/>
      <w:divBdr>
        <w:top w:val="none" w:sz="0" w:space="0" w:color="auto"/>
        <w:left w:val="none" w:sz="0" w:space="0" w:color="auto"/>
        <w:bottom w:val="none" w:sz="0" w:space="0" w:color="auto"/>
        <w:right w:val="none" w:sz="0" w:space="0" w:color="auto"/>
      </w:divBdr>
    </w:div>
    <w:div w:id="1731075183">
      <w:bodyDiv w:val="1"/>
      <w:marLeft w:val="0"/>
      <w:marRight w:val="0"/>
      <w:marTop w:val="0"/>
      <w:marBottom w:val="0"/>
      <w:divBdr>
        <w:top w:val="none" w:sz="0" w:space="0" w:color="auto"/>
        <w:left w:val="none" w:sz="0" w:space="0" w:color="auto"/>
        <w:bottom w:val="none" w:sz="0" w:space="0" w:color="auto"/>
        <w:right w:val="none" w:sz="0" w:space="0" w:color="auto"/>
      </w:divBdr>
    </w:div>
    <w:div w:id="1733851061">
      <w:bodyDiv w:val="1"/>
      <w:marLeft w:val="0"/>
      <w:marRight w:val="0"/>
      <w:marTop w:val="0"/>
      <w:marBottom w:val="0"/>
      <w:divBdr>
        <w:top w:val="none" w:sz="0" w:space="0" w:color="auto"/>
        <w:left w:val="none" w:sz="0" w:space="0" w:color="auto"/>
        <w:bottom w:val="none" w:sz="0" w:space="0" w:color="auto"/>
        <w:right w:val="none" w:sz="0" w:space="0" w:color="auto"/>
      </w:divBdr>
    </w:div>
    <w:div w:id="1733917784">
      <w:bodyDiv w:val="1"/>
      <w:marLeft w:val="0"/>
      <w:marRight w:val="0"/>
      <w:marTop w:val="0"/>
      <w:marBottom w:val="0"/>
      <w:divBdr>
        <w:top w:val="none" w:sz="0" w:space="0" w:color="auto"/>
        <w:left w:val="none" w:sz="0" w:space="0" w:color="auto"/>
        <w:bottom w:val="none" w:sz="0" w:space="0" w:color="auto"/>
        <w:right w:val="none" w:sz="0" w:space="0" w:color="auto"/>
      </w:divBdr>
    </w:div>
    <w:div w:id="1734693808">
      <w:bodyDiv w:val="1"/>
      <w:marLeft w:val="0"/>
      <w:marRight w:val="0"/>
      <w:marTop w:val="0"/>
      <w:marBottom w:val="0"/>
      <w:divBdr>
        <w:top w:val="none" w:sz="0" w:space="0" w:color="auto"/>
        <w:left w:val="none" w:sz="0" w:space="0" w:color="auto"/>
        <w:bottom w:val="none" w:sz="0" w:space="0" w:color="auto"/>
        <w:right w:val="none" w:sz="0" w:space="0" w:color="auto"/>
      </w:divBdr>
    </w:div>
    <w:div w:id="1734964012">
      <w:bodyDiv w:val="1"/>
      <w:marLeft w:val="0"/>
      <w:marRight w:val="0"/>
      <w:marTop w:val="0"/>
      <w:marBottom w:val="0"/>
      <w:divBdr>
        <w:top w:val="none" w:sz="0" w:space="0" w:color="auto"/>
        <w:left w:val="none" w:sz="0" w:space="0" w:color="auto"/>
        <w:bottom w:val="none" w:sz="0" w:space="0" w:color="auto"/>
        <w:right w:val="none" w:sz="0" w:space="0" w:color="auto"/>
      </w:divBdr>
    </w:div>
    <w:div w:id="1735277707">
      <w:bodyDiv w:val="1"/>
      <w:marLeft w:val="0"/>
      <w:marRight w:val="0"/>
      <w:marTop w:val="0"/>
      <w:marBottom w:val="0"/>
      <w:divBdr>
        <w:top w:val="none" w:sz="0" w:space="0" w:color="auto"/>
        <w:left w:val="none" w:sz="0" w:space="0" w:color="auto"/>
        <w:bottom w:val="none" w:sz="0" w:space="0" w:color="auto"/>
        <w:right w:val="none" w:sz="0" w:space="0" w:color="auto"/>
      </w:divBdr>
    </w:div>
    <w:div w:id="1735616441">
      <w:bodyDiv w:val="1"/>
      <w:marLeft w:val="0"/>
      <w:marRight w:val="0"/>
      <w:marTop w:val="0"/>
      <w:marBottom w:val="0"/>
      <w:divBdr>
        <w:top w:val="none" w:sz="0" w:space="0" w:color="auto"/>
        <w:left w:val="none" w:sz="0" w:space="0" w:color="auto"/>
        <w:bottom w:val="none" w:sz="0" w:space="0" w:color="auto"/>
        <w:right w:val="none" w:sz="0" w:space="0" w:color="auto"/>
      </w:divBdr>
    </w:div>
    <w:div w:id="1735930078">
      <w:bodyDiv w:val="1"/>
      <w:marLeft w:val="0"/>
      <w:marRight w:val="0"/>
      <w:marTop w:val="0"/>
      <w:marBottom w:val="0"/>
      <w:divBdr>
        <w:top w:val="none" w:sz="0" w:space="0" w:color="auto"/>
        <w:left w:val="none" w:sz="0" w:space="0" w:color="auto"/>
        <w:bottom w:val="none" w:sz="0" w:space="0" w:color="auto"/>
        <w:right w:val="none" w:sz="0" w:space="0" w:color="auto"/>
      </w:divBdr>
    </w:div>
    <w:div w:id="1739014308">
      <w:bodyDiv w:val="1"/>
      <w:marLeft w:val="0"/>
      <w:marRight w:val="0"/>
      <w:marTop w:val="0"/>
      <w:marBottom w:val="0"/>
      <w:divBdr>
        <w:top w:val="none" w:sz="0" w:space="0" w:color="auto"/>
        <w:left w:val="none" w:sz="0" w:space="0" w:color="auto"/>
        <w:bottom w:val="none" w:sz="0" w:space="0" w:color="auto"/>
        <w:right w:val="none" w:sz="0" w:space="0" w:color="auto"/>
      </w:divBdr>
    </w:div>
    <w:div w:id="1740516272">
      <w:bodyDiv w:val="1"/>
      <w:marLeft w:val="0"/>
      <w:marRight w:val="0"/>
      <w:marTop w:val="0"/>
      <w:marBottom w:val="0"/>
      <w:divBdr>
        <w:top w:val="none" w:sz="0" w:space="0" w:color="auto"/>
        <w:left w:val="none" w:sz="0" w:space="0" w:color="auto"/>
        <w:bottom w:val="none" w:sz="0" w:space="0" w:color="auto"/>
        <w:right w:val="none" w:sz="0" w:space="0" w:color="auto"/>
      </w:divBdr>
    </w:div>
    <w:div w:id="1743481525">
      <w:bodyDiv w:val="1"/>
      <w:marLeft w:val="0"/>
      <w:marRight w:val="0"/>
      <w:marTop w:val="0"/>
      <w:marBottom w:val="0"/>
      <w:divBdr>
        <w:top w:val="none" w:sz="0" w:space="0" w:color="auto"/>
        <w:left w:val="none" w:sz="0" w:space="0" w:color="auto"/>
        <w:bottom w:val="none" w:sz="0" w:space="0" w:color="auto"/>
        <w:right w:val="none" w:sz="0" w:space="0" w:color="auto"/>
      </w:divBdr>
    </w:div>
    <w:div w:id="1745565934">
      <w:bodyDiv w:val="1"/>
      <w:marLeft w:val="0"/>
      <w:marRight w:val="0"/>
      <w:marTop w:val="0"/>
      <w:marBottom w:val="0"/>
      <w:divBdr>
        <w:top w:val="none" w:sz="0" w:space="0" w:color="auto"/>
        <w:left w:val="none" w:sz="0" w:space="0" w:color="auto"/>
        <w:bottom w:val="none" w:sz="0" w:space="0" w:color="auto"/>
        <w:right w:val="none" w:sz="0" w:space="0" w:color="auto"/>
      </w:divBdr>
    </w:div>
    <w:div w:id="1745838549">
      <w:bodyDiv w:val="1"/>
      <w:marLeft w:val="0"/>
      <w:marRight w:val="0"/>
      <w:marTop w:val="0"/>
      <w:marBottom w:val="0"/>
      <w:divBdr>
        <w:top w:val="none" w:sz="0" w:space="0" w:color="auto"/>
        <w:left w:val="none" w:sz="0" w:space="0" w:color="auto"/>
        <w:bottom w:val="none" w:sz="0" w:space="0" w:color="auto"/>
        <w:right w:val="none" w:sz="0" w:space="0" w:color="auto"/>
      </w:divBdr>
    </w:div>
    <w:div w:id="1748502522">
      <w:bodyDiv w:val="1"/>
      <w:marLeft w:val="0"/>
      <w:marRight w:val="0"/>
      <w:marTop w:val="0"/>
      <w:marBottom w:val="0"/>
      <w:divBdr>
        <w:top w:val="none" w:sz="0" w:space="0" w:color="auto"/>
        <w:left w:val="none" w:sz="0" w:space="0" w:color="auto"/>
        <w:bottom w:val="none" w:sz="0" w:space="0" w:color="auto"/>
        <w:right w:val="none" w:sz="0" w:space="0" w:color="auto"/>
      </w:divBdr>
      <w:divsChild>
        <w:div w:id="478310027">
          <w:marLeft w:val="1166"/>
          <w:marRight w:val="0"/>
          <w:marTop w:val="86"/>
          <w:marBottom w:val="0"/>
          <w:divBdr>
            <w:top w:val="none" w:sz="0" w:space="0" w:color="auto"/>
            <w:left w:val="none" w:sz="0" w:space="0" w:color="auto"/>
            <w:bottom w:val="none" w:sz="0" w:space="0" w:color="auto"/>
            <w:right w:val="none" w:sz="0" w:space="0" w:color="auto"/>
          </w:divBdr>
        </w:div>
        <w:div w:id="840434143">
          <w:marLeft w:val="547"/>
          <w:marRight w:val="0"/>
          <w:marTop w:val="86"/>
          <w:marBottom w:val="0"/>
          <w:divBdr>
            <w:top w:val="none" w:sz="0" w:space="0" w:color="auto"/>
            <w:left w:val="none" w:sz="0" w:space="0" w:color="auto"/>
            <w:bottom w:val="none" w:sz="0" w:space="0" w:color="auto"/>
            <w:right w:val="none" w:sz="0" w:space="0" w:color="auto"/>
          </w:divBdr>
        </w:div>
        <w:div w:id="1384988521">
          <w:marLeft w:val="1166"/>
          <w:marRight w:val="0"/>
          <w:marTop w:val="86"/>
          <w:marBottom w:val="0"/>
          <w:divBdr>
            <w:top w:val="none" w:sz="0" w:space="0" w:color="auto"/>
            <w:left w:val="none" w:sz="0" w:space="0" w:color="auto"/>
            <w:bottom w:val="none" w:sz="0" w:space="0" w:color="auto"/>
            <w:right w:val="none" w:sz="0" w:space="0" w:color="auto"/>
          </w:divBdr>
        </w:div>
        <w:div w:id="1692609531">
          <w:marLeft w:val="547"/>
          <w:marRight w:val="0"/>
          <w:marTop w:val="86"/>
          <w:marBottom w:val="0"/>
          <w:divBdr>
            <w:top w:val="none" w:sz="0" w:space="0" w:color="auto"/>
            <w:left w:val="none" w:sz="0" w:space="0" w:color="auto"/>
            <w:bottom w:val="none" w:sz="0" w:space="0" w:color="auto"/>
            <w:right w:val="none" w:sz="0" w:space="0" w:color="auto"/>
          </w:divBdr>
        </w:div>
      </w:divsChild>
    </w:div>
    <w:div w:id="1753506826">
      <w:bodyDiv w:val="1"/>
      <w:marLeft w:val="0"/>
      <w:marRight w:val="0"/>
      <w:marTop w:val="0"/>
      <w:marBottom w:val="0"/>
      <w:divBdr>
        <w:top w:val="none" w:sz="0" w:space="0" w:color="auto"/>
        <w:left w:val="none" w:sz="0" w:space="0" w:color="auto"/>
        <w:bottom w:val="none" w:sz="0" w:space="0" w:color="auto"/>
        <w:right w:val="none" w:sz="0" w:space="0" w:color="auto"/>
      </w:divBdr>
    </w:div>
    <w:div w:id="1761679354">
      <w:bodyDiv w:val="1"/>
      <w:marLeft w:val="0"/>
      <w:marRight w:val="0"/>
      <w:marTop w:val="0"/>
      <w:marBottom w:val="0"/>
      <w:divBdr>
        <w:top w:val="none" w:sz="0" w:space="0" w:color="auto"/>
        <w:left w:val="none" w:sz="0" w:space="0" w:color="auto"/>
        <w:bottom w:val="none" w:sz="0" w:space="0" w:color="auto"/>
        <w:right w:val="none" w:sz="0" w:space="0" w:color="auto"/>
      </w:divBdr>
    </w:div>
    <w:div w:id="1764572066">
      <w:bodyDiv w:val="1"/>
      <w:marLeft w:val="0"/>
      <w:marRight w:val="0"/>
      <w:marTop w:val="0"/>
      <w:marBottom w:val="0"/>
      <w:divBdr>
        <w:top w:val="none" w:sz="0" w:space="0" w:color="auto"/>
        <w:left w:val="none" w:sz="0" w:space="0" w:color="auto"/>
        <w:bottom w:val="none" w:sz="0" w:space="0" w:color="auto"/>
        <w:right w:val="none" w:sz="0" w:space="0" w:color="auto"/>
      </w:divBdr>
    </w:div>
    <w:div w:id="1766146702">
      <w:bodyDiv w:val="1"/>
      <w:marLeft w:val="0"/>
      <w:marRight w:val="0"/>
      <w:marTop w:val="0"/>
      <w:marBottom w:val="0"/>
      <w:divBdr>
        <w:top w:val="none" w:sz="0" w:space="0" w:color="auto"/>
        <w:left w:val="none" w:sz="0" w:space="0" w:color="auto"/>
        <w:bottom w:val="none" w:sz="0" w:space="0" w:color="auto"/>
        <w:right w:val="none" w:sz="0" w:space="0" w:color="auto"/>
      </w:divBdr>
    </w:div>
    <w:div w:id="1768572090">
      <w:bodyDiv w:val="1"/>
      <w:marLeft w:val="0"/>
      <w:marRight w:val="0"/>
      <w:marTop w:val="0"/>
      <w:marBottom w:val="0"/>
      <w:divBdr>
        <w:top w:val="none" w:sz="0" w:space="0" w:color="auto"/>
        <w:left w:val="none" w:sz="0" w:space="0" w:color="auto"/>
        <w:bottom w:val="none" w:sz="0" w:space="0" w:color="auto"/>
        <w:right w:val="none" w:sz="0" w:space="0" w:color="auto"/>
      </w:divBdr>
    </w:div>
    <w:div w:id="1772119163">
      <w:bodyDiv w:val="1"/>
      <w:marLeft w:val="0"/>
      <w:marRight w:val="0"/>
      <w:marTop w:val="0"/>
      <w:marBottom w:val="0"/>
      <w:divBdr>
        <w:top w:val="none" w:sz="0" w:space="0" w:color="auto"/>
        <w:left w:val="none" w:sz="0" w:space="0" w:color="auto"/>
        <w:bottom w:val="none" w:sz="0" w:space="0" w:color="auto"/>
        <w:right w:val="none" w:sz="0" w:space="0" w:color="auto"/>
      </w:divBdr>
    </w:div>
    <w:div w:id="1776171415">
      <w:bodyDiv w:val="1"/>
      <w:marLeft w:val="0"/>
      <w:marRight w:val="0"/>
      <w:marTop w:val="0"/>
      <w:marBottom w:val="0"/>
      <w:divBdr>
        <w:top w:val="none" w:sz="0" w:space="0" w:color="auto"/>
        <w:left w:val="none" w:sz="0" w:space="0" w:color="auto"/>
        <w:bottom w:val="none" w:sz="0" w:space="0" w:color="auto"/>
        <w:right w:val="none" w:sz="0" w:space="0" w:color="auto"/>
      </w:divBdr>
    </w:div>
    <w:div w:id="1777673939">
      <w:bodyDiv w:val="1"/>
      <w:marLeft w:val="0"/>
      <w:marRight w:val="0"/>
      <w:marTop w:val="0"/>
      <w:marBottom w:val="0"/>
      <w:divBdr>
        <w:top w:val="none" w:sz="0" w:space="0" w:color="auto"/>
        <w:left w:val="none" w:sz="0" w:space="0" w:color="auto"/>
        <w:bottom w:val="none" w:sz="0" w:space="0" w:color="auto"/>
        <w:right w:val="none" w:sz="0" w:space="0" w:color="auto"/>
      </w:divBdr>
    </w:div>
    <w:div w:id="1779256388">
      <w:bodyDiv w:val="1"/>
      <w:marLeft w:val="0"/>
      <w:marRight w:val="0"/>
      <w:marTop w:val="0"/>
      <w:marBottom w:val="0"/>
      <w:divBdr>
        <w:top w:val="none" w:sz="0" w:space="0" w:color="auto"/>
        <w:left w:val="none" w:sz="0" w:space="0" w:color="auto"/>
        <w:bottom w:val="none" w:sz="0" w:space="0" w:color="auto"/>
        <w:right w:val="none" w:sz="0" w:space="0" w:color="auto"/>
      </w:divBdr>
    </w:div>
    <w:div w:id="1779712486">
      <w:bodyDiv w:val="1"/>
      <w:marLeft w:val="0"/>
      <w:marRight w:val="0"/>
      <w:marTop w:val="0"/>
      <w:marBottom w:val="0"/>
      <w:divBdr>
        <w:top w:val="none" w:sz="0" w:space="0" w:color="auto"/>
        <w:left w:val="none" w:sz="0" w:space="0" w:color="auto"/>
        <w:bottom w:val="none" w:sz="0" w:space="0" w:color="auto"/>
        <w:right w:val="none" w:sz="0" w:space="0" w:color="auto"/>
      </w:divBdr>
    </w:div>
    <w:div w:id="1783958120">
      <w:bodyDiv w:val="1"/>
      <w:marLeft w:val="0"/>
      <w:marRight w:val="0"/>
      <w:marTop w:val="0"/>
      <w:marBottom w:val="0"/>
      <w:divBdr>
        <w:top w:val="none" w:sz="0" w:space="0" w:color="auto"/>
        <w:left w:val="none" w:sz="0" w:space="0" w:color="auto"/>
        <w:bottom w:val="none" w:sz="0" w:space="0" w:color="auto"/>
        <w:right w:val="none" w:sz="0" w:space="0" w:color="auto"/>
      </w:divBdr>
    </w:div>
    <w:div w:id="1784765353">
      <w:bodyDiv w:val="1"/>
      <w:marLeft w:val="0"/>
      <w:marRight w:val="0"/>
      <w:marTop w:val="0"/>
      <w:marBottom w:val="0"/>
      <w:divBdr>
        <w:top w:val="none" w:sz="0" w:space="0" w:color="auto"/>
        <w:left w:val="none" w:sz="0" w:space="0" w:color="auto"/>
        <w:bottom w:val="none" w:sz="0" w:space="0" w:color="auto"/>
        <w:right w:val="none" w:sz="0" w:space="0" w:color="auto"/>
      </w:divBdr>
    </w:div>
    <w:div w:id="1787459124">
      <w:bodyDiv w:val="1"/>
      <w:marLeft w:val="0"/>
      <w:marRight w:val="0"/>
      <w:marTop w:val="0"/>
      <w:marBottom w:val="0"/>
      <w:divBdr>
        <w:top w:val="none" w:sz="0" w:space="0" w:color="auto"/>
        <w:left w:val="none" w:sz="0" w:space="0" w:color="auto"/>
        <w:bottom w:val="none" w:sz="0" w:space="0" w:color="auto"/>
        <w:right w:val="none" w:sz="0" w:space="0" w:color="auto"/>
      </w:divBdr>
    </w:div>
    <w:div w:id="1790934878">
      <w:bodyDiv w:val="1"/>
      <w:marLeft w:val="0"/>
      <w:marRight w:val="0"/>
      <w:marTop w:val="0"/>
      <w:marBottom w:val="0"/>
      <w:divBdr>
        <w:top w:val="none" w:sz="0" w:space="0" w:color="auto"/>
        <w:left w:val="none" w:sz="0" w:space="0" w:color="auto"/>
        <w:bottom w:val="none" w:sz="0" w:space="0" w:color="auto"/>
        <w:right w:val="none" w:sz="0" w:space="0" w:color="auto"/>
      </w:divBdr>
    </w:div>
    <w:div w:id="1794446340">
      <w:bodyDiv w:val="1"/>
      <w:marLeft w:val="0"/>
      <w:marRight w:val="0"/>
      <w:marTop w:val="0"/>
      <w:marBottom w:val="0"/>
      <w:divBdr>
        <w:top w:val="none" w:sz="0" w:space="0" w:color="auto"/>
        <w:left w:val="none" w:sz="0" w:space="0" w:color="auto"/>
        <w:bottom w:val="none" w:sz="0" w:space="0" w:color="auto"/>
        <w:right w:val="none" w:sz="0" w:space="0" w:color="auto"/>
      </w:divBdr>
    </w:div>
    <w:div w:id="1795444539">
      <w:bodyDiv w:val="1"/>
      <w:marLeft w:val="0"/>
      <w:marRight w:val="0"/>
      <w:marTop w:val="0"/>
      <w:marBottom w:val="0"/>
      <w:divBdr>
        <w:top w:val="none" w:sz="0" w:space="0" w:color="auto"/>
        <w:left w:val="none" w:sz="0" w:space="0" w:color="auto"/>
        <w:bottom w:val="none" w:sz="0" w:space="0" w:color="auto"/>
        <w:right w:val="none" w:sz="0" w:space="0" w:color="auto"/>
      </w:divBdr>
    </w:div>
    <w:div w:id="1796752106">
      <w:bodyDiv w:val="1"/>
      <w:marLeft w:val="0"/>
      <w:marRight w:val="0"/>
      <w:marTop w:val="0"/>
      <w:marBottom w:val="0"/>
      <w:divBdr>
        <w:top w:val="none" w:sz="0" w:space="0" w:color="auto"/>
        <w:left w:val="none" w:sz="0" w:space="0" w:color="auto"/>
        <w:bottom w:val="none" w:sz="0" w:space="0" w:color="auto"/>
        <w:right w:val="none" w:sz="0" w:space="0" w:color="auto"/>
      </w:divBdr>
    </w:div>
    <w:div w:id="1797870273">
      <w:bodyDiv w:val="1"/>
      <w:marLeft w:val="0"/>
      <w:marRight w:val="0"/>
      <w:marTop w:val="0"/>
      <w:marBottom w:val="0"/>
      <w:divBdr>
        <w:top w:val="none" w:sz="0" w:space="0" w:color="auto"/>
        <w:left w:val="none" w:sz="0" w:space="0" w:color="auto"/>
        <w:bottom w:val="none" w:sz="0" w:space="0" w:color="auto"/>
        <w:right w:val="none" w:sz="0" w:space="0" w:color="auto"/>
      </w:divBdr>
    </w:div>
    <w:div w:id="1805464699">
      <w:bodyDiv w:val="1"/>
      <w:marLeft w:val="0"/>
      <w:marRight w:val="0"/>
      <w:marTop w:val="0"/>
      <w:marBottom w:val="0"/>
      <w:divBdr>
        <w:top w:val="none" w:sz="0" w:space="0" w:color="auto"/>
        <w:left w:val="none" w:sz="0" w:space="0" w:color="auto"/>
        <w:bottom w:val="none" w:sz="0" w:space="0" w:color="auto"/>
        <w:right w:val="none" w:sz="0" w:space="0" w:color="auto"/>
      </w:divBdr>
      <w:divsChild>
        <w:div w:id="576667189">
          <w:marLeft w:val="-240"/>
          <w:marRight w:val="-240"/>
          <w:marTop w:val="0"/>
          <w:marBottom w:val="0"/>
          <w:divBdr>
            <w:top w:val="none" w:sz="0" w:space="0" w:color="auto"/>
            <w:left w:val="none" w:sz="0" w:space="0" w:color="auto"/>
            <w:bottom w:val="none" w:sz="0" w:space="0" w:color="auto"/>
            <w:right w:val="none" w:sz="0" w:space="0" w:color="auto"/>
          </w:divBdr>
        </w:div>
        <w:div w:id="1076590116">
          <w:marLeft w:val="0"/>
          <w:marRight w:val="0"/>
          <w:marTop w:val="0"/>
          <w:marBottom w:val="0"/>
          <w:divBdr>
            <w:top w:val="none" w:sz="0" w:space="0" w:color="auto"/>
            <w:left w:val="none" w:sz="0" w:space="0" w:color="auto"/>
            <w:bottom w:val="none" w:sz="0" w:space="0" w:color="auto"/>
            <w:right w:val="none" w:sz="0" w:space="0" w:color="auto"/>
          </w:divBdr>
          <w:divsChild>
            <w:div w:id="319889509">
              <w:marLeft w:val="0"/>
              <w:marRight w:val="120"/>
              <w:marTop w:val="0"/>
              <w:marBottom w:val="0"/>
              <w:divBdr>
                <w:top w:val="none" w:sz="0" w:space="0" w:color="auto"/>
                <w:left w:val="none" w:sz="0" w:space="0" w:color="auto"/>
                <w:bottom w:val="none" w:sz="0" w:space="0" w:color="auto"/>
                <w:right w:val="none" w:sz="0" w:space="0" w:color="auto"/>
              </w:divBdr>
              <w:divsChild>
                <w:div w:id="1986659132">
                  <w:marLeft w:val="0"/>
                  <w:marRight w:val="0"/>
                  <w:marTop w:val="0"/>
                  <w:marBottom w:val="0"/>
                  <w:divBdr>
                    <w:top w:val="single" w:sz="6" w:space="0" w:color="ECECEC"/>
                    <w:left w:val="single" w:sz="6" w:space="0" w:color="ECECEC"/>
                    <w:bottom w:val="single" w:sz="6" w:space="0" w:color="ECECEC"/>
                    <w:right w:val="single" w:sz="6" w:space="0" w:color="ECECEC"/>
                  </w:divBdr>
                  <w:divsChild>
                    <w:div w:id="1104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99255">
              <w:marLeft w:val="0"/>
              <w:marRight w:val="0"/>
              <w:marTop w:val="0"/>
              <w:marBottom w:val="0"/>
              <w:divBdr>
                <w:top w:val="none" w:sz="0" w:space="0" w:color="auto"/>
                <w:left w:val="none" w:sz="0" w:space="0" w:color="auto"/>
                <w:bottom w:val="none" w:sz="0" w:space="0" w:color="auto"/>
                <w:right w:val="none" w:sz="0" w:space="0" w:color="auto"/>
              </w:divBdr>
              <w:divsChild>
                <w:div w:id="16770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83977">
      <w:bodyDiv w:val="1"/>
      <w:marLeft w:val="0"/>
      <w:marRight w:val="0"/>
      <w:marTop w:val="0"/>
      <w:marBottom w:val="0"/>
      <w:divBdr>
        <w:top w:val="none" w:sz="0" w:space="0" w:color="auto"/>
        <w:left w:val="none" w:sz="0" w:space="0" w:color="auto"/>
        <w:bottom w:val="none" w:sz="0" w:space="0" w:color="auto"/>
        <w:right w:val="none" w:sz="0" w:space="0" w:color="auto"/>
      </w:divBdr>
    </w:div>
    <w:div w:id="1807509022">
      <w:bodyDiv w:val="1"/>
      <w:marLeft w:val="0"/>
      <w:marRight w:val="0"/>
      <w:marTop w:val="0"/>
      <w:marBottom w:val="0"/>
      <w:divBdr>
        <w:top w:val="none" w:sz="0" w:space="0" w:color="auto"/>
        <w:left w:val="none" w:sz="0" w:space="0" w:color="auto"/>
        <w:bottom w:val="none" w:sz="0" w:space="0" w:color="auto"/>
        <w:right w:val="none" w:sz="0" w:space="0" w:color="auto"/>
      </w:divBdr>
    </w:div>
    <w:div w:id="1808014034">
      <w:bodyDiv w:val="1"/>
      <w:marLeft w:val="0"/>
      <w:marRight w:val="0"/>
      <w:marTop w:val="0"/>
      <w:marBottom w:val="0"/>
      <w:divBdr>
        <w:top w:val="none" w:sz="0" w:space="0" w:color="auto"/>
        <w:left w:val="none" w:sz="0" w:space="0" w:color="auto"/>
        <w:bottom w:val="none" w:sz="0" w:space="0" w:color="auto"/>
        <w:right w:val="none" w:sz="0" w:space="0" w:color="auto"/>
      </w:divBdr>
    </w:div>
    <w:div w:id="1811051716">
      <w:bodyDiv w:val="1"/>
      <w:marLeft w:val="0"/>
      <w:marRight w:val="0"/>
      <w:marTop w:val="0"/>
      <w:marBottom w:val="0"/>
      <w:divBdr>
        <w:top w:val="none" w:sz="0" w:space="0" w:color="auto"/>
        <w:left w:val="none" w:sz="0" w:space="0" w:color="auto"/>
        <w:bottom w:val="none" w:sz="0" w:space="0" w:color="auto"/>
        <w:right w:val="none" w:sz="0" w:space="0" w:color="auto"/>
      </w:divBdr>
    </w:div>
    <w:div w:id="1811166328">
      <w:bodyDiv w:val="1"/>
      <w:marLeft w:val="0"/>
      <w:marRight w:val="0"/>
      <w:marTop w:val="0"/>
      <w:marBottom w:val="0"/>
      <w:divBdr>
        <w:top w:val="none" w:sz="0" w:space="0" w:color="auto"/>
        <w:left w:val="none" w:sz="0" w:space="0" w:color="auto"/>
        <w:bottom w:val="none" w:sz="0" w:space="0" w:color="auto"/>
        <w:right w:val="none" w:sz="0" w:space="0" w:color="auto"/>
      </w:divBdr>
    </w:div>
    <w:div w:id="1814253114">
      <w:bodyDiv w:val="1"/>
      <w:marLeft w:val="0"/>
      <w:marRight w:val="0"/>
      <w:marTop w:val="0"/>
      <w:marBottom w:val="0"/>
      <w:divBdr>
        <w:top w:val="none" w:sz="0" w:space="0" w:color="auto"/>
        <w:left w:val="none" w:sz="0" w:space="0" w:color="auto"/>
        <w:bottom w:val="none" w:sz="0" w:space="0" w:color="auto"/>
        <w:right w:val="none" w:sz="0" w:space="0" w:color="auto"/>
      </w:divBdr>
    </w:div>
    <w:div w:id="1817259446">
      <w:bodyDiv w:val="1"/>
      <w:marLeft w:val="0"/>
      <w:marRight w:val="0"/>
      <w:marTop w:val="0"/>
      <w:marBottom w:val="0"/>
      <w:divBdr>
        <w:top w:val="none" w:sz="0" w:space="0" w:color="auto"/>
        <w:left w:val="none" w:sz="0" w:space="0" w:color="auto"/>
        <w:bottom w:val="none" w:sz="0" w:space="0" w:color="auto"/>
        <w:right w:val="none" w:sz="0" w:space="0" w:color="auto"/>
      </w:divBdr>
    </w:div>
    <w:div w:id="1817455848">
      <w:bodyDiv w:val="1"/>
      <w:marLeft w:val="0"/>
      <w:marRight w:val="0"/>
      <w:marTop w:val="0"/>
      <w:marBottom w:val="0"/>
      <w:divBdr>
        <w:top w:val="none" w:sz="0" w:space="0" w:color="auto"/>
        <w:left w:val="none" w:sz="0" w:space="0" w:color="auto"/>
        <w:bottom w:val="none" w:sz="0" w:space="0" w:color="auto"/>
        <w:right w:val="none" w:sz="0" w:space="0" w:color="auto"/>
      </w:divBdr>
    </w:div>
    <w:div w:id="1819297321">
      <w:bodyDiv w:val="1"/>
      <w:marLeft w:val="0"/>
      <w:marRight w:val="0"/>
      <w:marTop w:val="0"/>
      <w:marBottom w:val="0"/>
      <w:divBdr>
        <w:top w:val="none" w:sz="0" w:space="0" w:color="auto"/>
        <w:left w:val="none" w:sz="0" w:space="0" w:color="auto"/>
        <w:bottom w:val="none" w:sz="0" w:space="0" w:color="auto"/>
        <w:right w:val="none" w:sz="0" w:space="0" w:color="auto"/>
      </w:divBdr>
    </w:div>
    <w:div w:id="1821387514">
      <w:bodyDiv w:val="1"/>
      <w:marLeft w:val="0"/>
      <w:marRight w:val="0"/>
      <w:marTop w:val="0"/>
      <w:marBottom w:val="0"/>
      <w:divBdr>
        <w:top w:val="none" w:sz="0" w:space="0" w:color="auto"/>
        <w:left w:val="none" w:sz="0" w:space="0" w:color="auto"/>
        <w:bottom w:val="none" w:sz="0" w:space="0" w:color="auto"/>
        <w:right w:val="none" w:sz="0" w:space="0" w:color="auto"/>
      </w:divBdr>
    </w:div>
    <w:div w:id="1822960601">
      <w:bodyDiv w:val="1"/>
      <w:marLeft w:val="0"/>
      <w:marRight w:val="0"/>
      <w:marTop w:val="0"/>
      <w:marBottom w:val="0"/>
      <w:divBdr>
        <w:top w:val="none" w:sz="0" w:space="0" w:color="auto"/>
        <w:left w:val="none" w:sz="0" w:space="0" w:color="auto"/>
        <w:bottom w:val="none" w:sz="0" w:space="0" w:color="auto"/>
        <w:right w:val="none" w:sz="0" w:space="0" w:color="auto"/>
      </w:divBdr>
    </w:div>
    <w:div w:id="1824856713">
      <w:bodyDiv w:val="1"/>
      <w:marLeft w:val="0"/>
      <w:marRight w:val="0"/>
      <w:marTop w:val="0"/>
      <w:marBottom w:val="0"/>
      <w:divBdr>
        <w:top w:val="none" w:sz="0" w:space="0" w:color="auto"/>
        <w:left w:val="none" w:sz="0" w:space="0" w:color="auto"/>
        <w:bottom w:val="none" w:sz="0" w:space="0" w:color="auto"/>
        <w:right w:val="none" w:sz="0" w:space="0" w:color="auto"/>
      </w:divBdr>
    </w:div>
    <w:div w:id="1825972147">
      <w:bodyDiv w:val="1"/>
      <w:marLeft w:val="0"/>
      <w:marRight w:val="0"/>
      <w:marTop w:val="0"/>
      <w:marBottom w:val="0"/>
      <w:divBdr>
        <w:top w:val="none" w:sz="0" w:space="0" w:color="auto"/>
        <w:left w:val="none" w:sz="0" w:space="0" w:color="auto"/>
        <w:bottom w:val="none" w:sz="0" w:space="0" w:color="auto"/>
        <w:right w:val="none" w:sz="0" w:space="0" w:color="auto"/>
      </w:divBdr>
    </w:div>
    <w:div w:id="1828202845">
      <w:bodyDiv w:val="1"/>
      <w:marLeft w:val="0"/>
      <w:marRight w:val="0"/>
      <w:marTop w:val="0"/>
      <w:marBottom w:val="0"/>
      <w:divBdr>
        <w:top w:val="none" w:sz="0" w:space="0" w:color="auto"/>
        <w:left w:val="none" w:sz="0" w:space="0" w:color="auto"/>
        <w:bottom w:val="none" w:sz="0" w:space="0" w:color="auto"/>
        <w:right w:val="none" w:sz="0" w:space="0" w:color="auto"/>
      </w:divBdr>
    </w:div>
    <w:div w:id="1828548083">
      <w:bodyDiv w:val="1"/>
      <w:marLeft w:val="0"/>
      <w:marRight w:val="0"/>
      <w:marTop w:val="0"/>
      <w:marBottom w:val="0"/>
      <w:divBdr>
        <w:top w:val="none" w:sz="0" w:space="0" w:color="auto"/>
        <w:left w:val="none" w:sz="0" w:space="0" w:color="auto"/>
        <w:bottom w:val="none" w:sz="0" w:space="0" w:color="auto"/>
        <w:right w:val="none" w:sz="0" w:space="0" w:color="auto"/>
      </w:divBdr>
    </w:div>
    <w:div w:id="1829900153">
      <w:bodyDiv w:val="1"/>
      <w:marLeft w:val="0"/>
      <w:marRight w:val="0"/>
      <w:marTop w:val="0"/>
      <w:marBottom w:val="0"/>
      <w:divBdr>
        <w:top w:val="none" w:sz="0" w:space="0" w:color="auto"/>
        <w:left w:val="none" w:sz="0" w:space="0" w:color="auto"/>
        <w:bottom w:val="none" w:sz="0" w:space="0" w:color="auto"/>
        <w:right w:val="none" w:sz="0" w:space="0" w:color="auto"/>
      </w:divBdr>
    </w:div>
    <w:div w:id="1831020257">
      <w:bodyDiv w:val="1"/>
      <w:marLeft w:val="0"/>
      <w:marRight w:val="0"/>
      <w:marTop w:val="0"/>
      <w:marBottom w:val="0"/>
      <w:divBdr>
        <w:top w:val="none" w:sz="0" w:space="0" w:color="auto"/>
        <w:left w:val="none" w:sz="0" w:space="0" w:color="auto"/>
        <w:bottom w:val="none" w:sz="0" w:space="0" w:color="auto"/>
        <w:right w:val="none" w:sz="0" w:space="0" w:color="auto"/>
      </w:divBdr>
    </w:div>
    <w:div w:id="1831093532">
      <w:bodyDiv w:val="1"/>
      <w:marLeft w:val="0"/>
      <w:marRight w:val="0"/>
      <w:marTop w:val="0"/>
      <w:marBottom w:val="0"/>
      <w:divBdr>
        <w:top w:val="none" w:sz="0" w:space="0" w:color="auto"/>
        <w:left w:val="none" w:sz="0" w:space="0" w:color="auto"/>
        <w:bottom w:val="none" w:sz="0" w:space="0" w:color="auto"/>
        <w:right w:val="none" w:sz="0" w:space="0" w:color="auto"/>
      </w:divBdr>
    </w:div>
    <w:div w:id="1832257894">
      <w:bodyDiv w:val="1"/>
      <w:marLeft w:val="0"/>
      <w:marRight w:val="0"/>
      <w:marTop w:val="0"/>
      <w:marBottom w:val="0"/>
      <w:divBdr>
        <w:top w:val="none" w:sz="0" w:space="0" w:color="auto"/>
        <w:left w:val="none" w:sz="0" w:space="0" w:color="auto"/>
        <w:bottom w:val="none" w:sz="0" w:space="0" w:color="auto"/>
        <w:right w:val="none" w:sz="0" w:space="0" w:color="auto"/>
      </w:divBdr>
      <w:divsChild>
        <w:div w:id="1760904536">
          <w:marLeft w:val="0"/>
          <w:marRight w:val="0"/>
          <w:marTop w:val="0"/>
          <w:marBottom w:val="0"/>
          <w:divBdr>
            <w:top w:val="none" w:sz="0" w:space="0" w:color="auto"/>
            <w:left w:val="none" w:sz="0" w:space="0" w:color="auto"/>
            <w:bottom w:val="none" w:sz="0" w:space="0" w:color="auto"/>
            <w:right w:val="none" w:sz="0" w:space="0" w:color="auto"/>
          </w:divBdr>
          <w:divsChild>
            <w:div w:id="1553954457">
              <w:marLeft w:val="0"/>
              <w:marRight w:val="0"/>
              <w:marTop w:val="0"/>
              <w:marBottom w:val="0"/>
              <w:divBdr>
                <w:top w:val="none" w:sz="0" w:space="0" w:color="auto"/>
                <w:left w:val="none" w:sz="0" w:space="0" w:color="auto"/>
                <w:bottom w:val="none" w:sz="0" w:space="0" w:color="auto"/>
                <w:right w:val="none" w:sz="0" w:space="0" w:color="auto"/>
              </w:divBdr>
              <w:divsChild>
                <w:div w:id="2014841255">
                  <w:marLeft w:val="0"/>
                  <w:marRight w:val="0"/>
                  <w:marTop w:val="0"/>
                  <w:marBottom w:val="0"/>
                  <w:divBdr>
                    <w:top w:val="none" w:sz="0" w:space="0" w:color="auto"/>
                    <w:left w:val="none" w:sz="0" w:space="0" w:color="auto"/>
                    <w:bottom w:val="none" w:sz="0" w:space="0" w:color="auto"/>
                    <w:right w:val="none" w:sz="0" w:space="0" w:color="auto"/>
                  </w:divBdr>
                  <w:divsChild>
                    <w:div w:id="360791184">
                      <w:marLeft w:val="0"/>
                      <w:marRight w:val="0"/>
                      <w:marTop w:val="0"/>
                      <w:marBottom w:val="0"/>
                      <w:divBdr>
                        <w:top w:val="none" w:sz="0" w:space="0" w:color="auto"/>
                        <w:left w:val="none" w:sz="0" w:space="0" w:color="auto"/>
                        <w:bottom w:val="none" w:sz="0" w:space="0" w:color="auto"/>
                        <w:right w:val="none" w:sz="0" w:space="0" w:color="auto"/>
                      </w:divBdr>
                      <w:divsChild>
                        <w:div w:id="558326081">
                          <w:marLeft w:val="0"/>
                          <w:marRight w:val="0"/>
                          <w:marTop w:val="0"/>
                          <w:marBottom w:val="0"/>
                          <w:divBdr>
                            <w:top w:val="none" w:sz="0" w:space="0" w:color="auto"/>
                            <w:left w:val="none" w:sz="0" w:space="0" w:color="auto"/>
                            <w:bottom w:val="none" w:sz="0" w:space="0" w:color="auto"/>
                            <w:right w:val="none" w:sz="0" w:space="0" w:color="auto"/>
                          </w:divBdr>
                          <w:divsChild>
                            <w:div w:id="170604926">
                              <w:marLeft w:val="0"/>
                              <w:marRight w:val="0"/>
                              <w:marTop w:val="0"/>
                              <w:marBottom w:val="0"/>
                              <w:divBdr>
                                <w:top w:val="none" w:sz="0" w:space="0" w:color="auto"/>
                                <w:left w:val="none" w:sz="0" w:space="0" w:color="auto"/>
                                <w:bottom w:val="none" w:sz="0" w:space="0" w:color="auto"/>
                                <w:right w:val="none" w:sz="0" w:space="0" w:color="auto"/>
                              </w:divBdr>
                              <w:divsChild>
                                <w:div w:id="2055232699">
                                  <w:marLeft w:val="0"/>
                                  <w:marRight w:val="0"/>
                                  <w:marTop w:val="0"/>
                                  <w:marBottom w:val="0"/>
                                  <w:divBdr>
                                    <w:top w:val="none" w:sz="0" w:space="0" w:color="auto"/>
                                    <w:left w:val="none" w:sz="0" w:space="0" w:color="auto"/>
                                    <w:bottom w:val="none" w:sz="0" w:space="0" w:color="auto"/>
                                    <w:right w:val="none" w:sz="0" w:space="0" w:color="auto"/>
                                  </w:divBdr>
                                  <w:divsChild>
                                    <w:div w:id="930771649">
                                      <w:marLeft w:val="0"/>
                                      <w:marRight w:val="0"/>
                                      <w:marTop w:val="0"/>
                                      <w:marBottom w:val="0"/>
                                      <w:divBdr>
                                        <w:top w:val="none" w:sz="0" w:space="0" w:color="auto"/>
                                        <w:left w:val="none" w:sz="0" w:space="0" w:color="auto"/>
                                        <w:bottom w:val="none" w:sz="0" w:space="0" w:color="auto"/>
                                        <w:right w:val="none" w:sz="0" w:space="0" w:color="auto"/>
                                      </w:divBdr>
                                      <w:divsChild>
                                        <w:div w:id="1184595241">
                                          <w:marLeft w:val="0"/>
                                          <w:marRight w:val="0"/>
                                          <w:marTop w:val="0"/>
                                          <w:marBottom w:val="0"/>
                                          <w:divBdr>
                                            <w:top w:val="none" w:sz="0" w:space="0" w:color="auto"/>
                                            <w:left w:val="none" w:sz="0" w:space="0" w:color="auto"/>
                                            <w:bottom w:val="none" w:sz="0" w:space="0" w:color="auto"/>
                                            <w:right w:val="none" w:sz="0" w:space="0" w:color="auto"/>
                                          </w:divBdr>
                                          <w:divsChild>
                                            <w:div w:id="1331717369">
                                              <w:marLeft w:val="0"/>
                                              <w:marRight w:val="0"/>
                                              <w:marTop w:val="0"/>
                                              <w:marBottom w:val="0"/>
                                              <w:divBdr>
                                                <w:top w:val="none" w:sz="0" w:space="0" w:color="auto"/>
                                                <w:left w:val="none" w:sz="0" w:space="0" w:color="auto"/>
                                                <w:bottom w:val="none" w:sz="0" w:space="0" w:color="auto"/>
                                                <w:right w:val="none" w:sz="0" w:space="0" w:color="auto"/>
                                              </w:divBdr>
                                              <w:divsChild>
                                                <w:div w:id="1902790546">
                                                  <w:marLeft w:val="0"/>
                                                  <w:marRight w:val="0"/>
                                                  <w:marTop w:val="0"/>
                                                  <w:marBottom w:val="0"/>
                                                  <w:divBdr>
                                                    <w:top w:val="none" w:sz="0" w:space="0" w:color="auto"/>
                                                    <w:left w:val="none" w:sz="0" w:space="0" w:color="auto"/>
                                                    <w:bottom w:val="none" w:sz="0" w:space="0" w:color="auto"/>
                                                    <w:right w:val="none" w:sz="0" w:space="0" w:color="auto"/>
                                                  </w:divBdr>
                                                  <w:divsChild>
                                                    <w:div w:id="3970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7107596">
      <w:bodyDiv w:val="1"/>
      <w:marLeft w:val="0"/>
      <w:marRight w:val="0"/>
      <w:marTop w:val="0"/>
      <w:marBottom w:val="0"/>
      <w:divBdr>
        <w:top w:val="none" w:sz="0" w:space="0" w:color="auto"/>
        <w:left w:val="none" w:sz="0" w:space="0" w:color="auto"/>
        <w:bottom w:val="none" w:sz="0" w:space="0" w:color="auto"/>
        <w:right w:val="none" w:sz="0" w:space="0" w:color="auto"/>
      </w:divBdr>
    </w:div>
    <w:div w:id="1838617332">
      <w:bodyDiv w:val="1"/>
      <w:marLeft w:val="0"/>
      <w:marRight w:val="0"/>
      <w:marTop w:val="0"/>
      <w:marBottom w:val="0"/>
      <w:divBdr>
        <w:top w:val="none" w:sz="0" w:space="0" w:color="auto"/>
        <w:left w:val="none" w:sz="0" w:space="0" w:color="auto"/>
        <w:bottom w:val="none" w:sz="0" w:space="0" w:color="auto"/>
        <w:right w:val="none" w:sz="0" w:space="0" w:color="auto"/>
      </w:divBdr>
      <w:divsChild>
        <w:div w:id="860817805">
          <w:marLeft w:val="0"/>
          <w:marRight w:val="0"/>
          <w:marTop w:val="0"/>
          <w:marBottom w:val="0"/>
          <w:divBdr>
            <w:top w:val="none" w:sz="0" w:space="0" w:color="auto"/>
            <w:left w:val="none" w:sz="0" w:space="0" w:color="auto"/>
            <w:bottom w:val="none" w:sz="0" w:space="0" w:color="auto"/>
            <w:right w:val="none" w:sz="0" w:space="0" w:color="auto"/>
          </w:divBdr>
          <w:divsChild>
            <w:div w:id="1951665284">
              <w:marLeft w:val="0"/>
              <w:marRight w:val="0"/>
              <w:marTop w:val="0"/>
              <w:marBottom w:val="0"/>
              <w:divBdr>
                <w:top w:val="none" w:sz="0" w:space="0" w:color="auto"/>
                <w:left w:val="none" w:sz="0" w:space="0" w:color="auto"/>
                <w:bottom w:val="none" w:sz="0" w:space="0" w:color="auto"/>
                <w:right w:val="none" w:sz="0" w:space="0" w:color="auto"/>
              </w:divBdr>
              <w:divsChild>
                <w:div w:id="697311607">
                  <w:marLeft w:val="0"/>
                  <w:marRight w:val="0"/>
                  <w:marTop w:val="0"/>
                  <w:marBottom w:val="0"/>
                  <w:divBdr>
                    <w:top w:val="none" w:sz="0" w:space="0" w:color="auto"/>
                    <w:left w:val="none" w:sz="0" w:space="0" w:color="auto"/>
                    <w:bottom w:val="none" w:sz="0" w:space="0" w:color="auto"/>
                    <w:right w:val="none" w:sz="0" w:space="0" w:color="auto"/>
                  </w:divBdr>
                  <w:divsChild>
                    <w:div w:id="193235250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93274">
      <w:bodyDiv w:val="1"/>
      <w:marLeft w:val="0"/>
      <w:marRight w:val="0"/>
      <w:marTop w:val="0"/>
      <w:marBottom w:val="0"/>
      <w:divBdr>
        <w:top w:val="none" w:sz="0" w:space="0" w:color="auto"/>
        <w:left w:val="none" w:sz="0" w:space="0" w:color="auto"/>
        <w:bottom w:val="none" w:sz="0" w:space="0" w:color="auto"/>
        <w:right w:val="none" w:sz="0" w:space="0" w:color="auto"/>
      </w:divBdr>
    </w:div>
    <w:div w:id="1843617298">
      <w:bodyDiv w:val="1"/>
      <w:marLeft w:val="0"/>
      <w:marRight w:val="0"/>
      <w:marTop w:val="0"/>
      <w:marBottom w:val="0"/>
      <w:divBdr>
        <w:top w:val="none" w:sz="0" w:space="0" w:color="auto"/>
        <w:left w:val="none" w:sz="0" w:space="0" w:color="auto"/>
        <w:bottom w:val="none" w:sz="0" w:space="0" w:color="auto"/>
        <w:right w:val="none" w:sz="0" w:space="0" w:color="auto"/>
      </w:divBdr>
    </w:div>
    <w:div w:id="1848472506">
      <w:bodyDiv w:val="1"/>
      <w:marLeft w:val="0"/>
      <w:marRight w:val="0"/>
      <w:marTop w:val="0"/>
      <w:marBottom w:val="0"/>
      <w:divBdr>
        <w:top w:val="none" w:sz="0" w:space="0" w:color="auto"/>
        <w:left w:val="none" w:sz="0" w:space="0" w:color="auto"/>
        <w:bottom w:val="none" w:sz="0" w:space="0" w:color="auto"/>
        <w:right w:val="none" w:sz="0" w:space="0" w:color="auto"/>
      </w:divBdr>
    </w:div>
    <w:div w:id="1848785982">
      <w:bodyDiv w:val="1"/>
      <w:marLeft w:val="0"/>
      <w:marRight w:val="0"/>
      <w:marTop w:val="0"/>
      <w:marBottom w:val="0"/>
      <w:divBdr>
        <w:top w:val="none" w:sz="0" w:space="0" w:color="auto"/>
        <w:left w:val="none" w:sz="0" w:space="0" w:color="auto"/>
        <w:bottom w:val="none" w:sz="0" w:space="0" w:color="auto"/>
        <w:right w:val="none" w:sz="0" w:space="0" w:color="auto"/>
      </w:divBdr>
    </w:div>
    <w:div w:id="1853495638">
      <w:bodyDiv w:val="1"/>
      <w:marLeft w:val="0"/>
      <w:marRight w:val="0"/>
      <w:marTop w:val="0"/>
      <w:marBottom w:val="0"/>
      <w:divBdr>
        <w:top w:val="none" w:sz="0" w:space="0" w:color="auto"/>
        <w:left w:val="none" w:sz="0" w:space="0" w:color="auto"/>
        <w:bottom w:val="none" w:sz="0" w:space="0" w:color="auto"/>
        <w:right w:val="none" w:sz="0" w:space="0" w:color="auto"/>
      </w:divBdr>
    </w:div>
    <w:div w:id="1854493750">
      <w:bodyDiv w:val="1"/>
      <w:marLeft w:val="0"/>
      <w:marRight w:val="0"/>
      <w:marTop w:val="0"/>
      <w:marBottom w:val="0"/>
      <w:divBdr>
        <w:top w:val="none" w:sz="0" w:space="0" w:color="auto"/>
        <w:left w:val="none" w:sz="0" w:space="0" w:color="auto"/>
        <w:bottom w:val="none" w:sz="0" w:space="0" w:color="auto"/>
        <w:right w:val="none" w:sz="0" w:space="0" w:color="auto"/>
      </w:divBdr>
    </w:div>
    <w:div w:id="1856962910">
      <w:bodyDiv w:val="1"/>
      <w:marLeft w:val="0"/>
      <w:marRight w:val="0"/>
      <w:marTop w:val="0"/>
      <w:marBottom w:val="0"/>
      <w:divBdr>
        <w:top w:val="none" w:sz="0" w:space="0" w:color="auto"/>
        <w:left w:val="none" w:sz="0" w:space="0" w:color="auto"/>
        <w:bottom w:val="none" w:sz="0" w:space="0" w:color="auto"/>
        <w:right w:val="none" w:sz="0" w:space="0" w:color="auto"/>
      </w:divBdr>
    </w:div>
    <w:div w:id="1857572107">
      <w:bodyDiv w:val="1"/>
      <w:marLeft w:val="0"/>
      <w:marRight w:val="0"/>
      <w:marTop w:val="0"/>
      <w:marBottom w:val="0"/>
      <w:divBdr>
        <w:top w:val="none" w:sz="0" w:space="0" w:color="auto"/>
        <w:left w:val="none" w:sz="0" w:space="0" w:color="auto"/>
        <w:bottom w:val="none" w:sz="0" w:space="0" w:color="auto"/>
        <w:right w:val="none" w:sz="0" w:space="0" w:color="auto"/>
      </w:divBdr>
    </w:div>
    <w:div w:id="1866093585">
      <w:bodyDiv w:val="1"/>
      <w:marLeft w:val="0"/>
      <w:marRight w:val="0"/>
      <w:marTop w:val="0"/>
      <w:marBottom w:val="0"/>
      <w:divBdr>
        <w:top w:val="none" w:sz="0" w:space="0" w:color="auto"/>
        <w:left w:val="none" w:sz="0" w:space="0" w:color="auto"/>
        <w:bottom w:val="none" w:sz="0" w:space="0" w:color="auto"/>
        <w:right w:val="none" w:sz="0" w:space="0" w:color="auto"/>
      </w:divBdr>
    </w:div>
    <w:div w:id="1866822779">
      <w:bodyDiv w:val="1"/>
      <w:marLeft w:val="0"/>
      <w:marRight w:val="0"/>
      <w:marTop w:val="0"/>
      <w:marBottom w:val="0"/>
      <w:divBdr>
        <w:top w:val="none" w:sz="0" w:space="0" w:color="auto"/>
        <w:left w:val="none" w:sz="0" w:space="0" w:color="auto"/>
        <w:bottom w:val="none" w:sz="0" w:space="0" w:color="auto"/>
        <w:right w:val="none" w:sz="0" w:space="0" w:color="auto"/>
      </w:divBdr>
    </w:div>
    <w:div w:id="1872569879">
      <w:bodyDiv w:val="1"/>
      <w:marLeft w:val="0"/>
      <w:marRight w:val="0"/>
      <w:marTop w:val="0"/>
      <w:marBottom w:val="0"/>
      <w:divBdr>
        <w:top w:val="none" w:sz="0" w:space="0" w:color="auto"/>
        <w:left w:val="none" w:sz="0" w:space="0" w:color="auto"/>
        <w:bottom w:val="none" w:sz="0" w:space="0" w:color="auto"/>
        <w:right w:val="none" w:sz="0" w:space="0" w:color="auto"/>
      </w:divBdr>
    </w:div>
    <w:div w:id="1878202578">
      <w:bodyDiv w:val="1"/>
      <w:marLeft w:val="0"/>
      <w:marRight w:val="0"/>
      <w:marTop w:val="0"/>
      <w:marBottom w:val="0"/>
      <w:divBdr>
        <w:top w:val="none" w:sz="0" w:space="0" w:color="auto"/>
        <w:left w:val="none" w:sz="0" w:space="0" w:color="auto"/>
        <w:bottom w:val="none" w:sz="0" w:space="0" w:color="auto"/>
        <w:right w:val="none" w:sz="0" w:space="0" w:color="auto"/>
      </w:divBdr>
    </w:div>
    <w:div w:id="1884249101">
      <w:bodyDiv w:val="1"/>
      <w:marLeft w:val="0"/>
      <w:marRight w:val="0"/>
      <w:marTop w:val="0"/>
      <w:marBottom w:val="0"/>
      <w:divBdr>
        <w:top w:val="none" w:sz="0" w:space="0" w:color="auto"/>
        <w:left w:val="none" w:sz="0" w:space="0" w:color="auto"/>
        <w:bottom w:val="none" w:sz="0" w:space="0" w:color="auto"/>
        <w:right w:val="none" w:sz="0" w:space="0" w:color="auto"/>
      </w:divBdr>
    </w:div>
    <w:div w:id="1884780603">
      <w:bodyDiv w:val="1"/>
      <w:marLeft w:val="0"/>
      <w:marRight w:val="0"/>
      <w:marTop w:val="0"/>
      <w:marBottom w:val="0"/>
      <w:divBdr>
        <w:top w:val="none" w:sz="0" w:space="0" w:color="auto"/>
        <w:left w:val="none" w:sz="0" w:space="0" w:color="auto"/>
        <w:bottom w:val="none" w:sz="0" w:space="0" w:color="auto"/>
        <w:right w:val="none" w:sz="0" w:space="0" w:color="auto"/>
      </w:divBdr>
    </w:div>
    <w:div w:id="1887139096">
      <w:bodyDiv w:val="1"/>
      <w:marLeft w:val="0"/>
      <w:marRight w:val="0"/>
      <w:marTop w:val="0"/>
      <w:marBottom w:val="0"/>
      <w:divBdr>
        <w:top w:val="none" w:sz="0" w:space="0" w:color="auto"/>
        <w:left w:val="none" w:sz="0" w:space="0" w:color="auto"/>
        <w:bottom w:val="none" w:sz="0" w:space="0" w:color="auto"/>
        <w:right w:val="none" w:sz="0" w:space="0" w:color="auto"/>
      </w:divBdr>
    </w:div>
    <w:div w:id="1893224340">
      <w:bodyDiv w:val="1"/>
      <w:marLeft w:val="0"/>
      <w:marRight w:val="0"/>
      <w:marTop w:val="0"/>
      <w:marBottom w:val="0"/>
      <w:divBdr>
        <w:top w:val="none" w:sz="0" w:space="0" w:color="auto"/>
        <w:left w:val="none" w:sz="0" w:space="0" w:color="auto"/>
        <w:bottom w:val="none" w:sz="0" w:space="0" w:color="auto"/>
        <w:right w:val="none" w:sz="0" w:space="0" w:color="auto"/>
      </w:divBdr>
    </w:div>
    <w:div w:id="1895196033">
      <w:bodyDiv w:val="1"/>
      <w:marLeft w:val="0"/>
      <w:marRight w:val="0"/>
      <w:marTop w:val="0"/>
      <w:marBottom w:val="0"/>
      <w:divBdr>
        <w:top w:val="none" w:sz="0" w:space="0" w:color="auto"/>
        <w:left w:val="none" w:sz="0" w:space="0" w:color="auto"/>
        <w:bottom w:val="none" w:sz="0" w:space="0" w:color="auto"/>
        <w:right w:val="none" w:sz="0" w:space="0" w:color="auto"/>
      </w:divBdr>
    </w:div>
    <w:div w:id="1898586205">
      <w:bodyDiv w:val="1"/>
      <w:marLeft w:val="0"/>
      <w:marRight w:val="0"/>
      <w:marTop w:val="0"/>
      <w:marBottom w:val="0"/>
      <w:divBdr>
        <w:top w:val="none" w:sz="0" w:space="0" w:color="auto"/>
        <w:left w:val="none" w:sz="0" w:space="0" w:color="auto"/>
        <w:bottom w:val="none" w:sz="0" w:space="0" w:color="auto"/>
        <w:right w:val="none" w:sz="0" w:space="0" w:color="auto"/>
      </w:divBdr>
    </w:div>
    <w:div w:id="1900287278">
      <w:bodyDiv w:val="1"/>
      <w:marLeft w:val="0"/>
      <w:marRight w:val="0"/>
      <w:marTop w:val="0"/>
      <w:marBottom w:val="0"/>
      <w:divBdr>
        <w:top w:val="none" w:sz="0" w:space="0" w:color="auto"/>
        <w:left w:val="none" w:sz="0" w:space="0" w:color="auto"/>
        <w:bottom w:val="none" w:sz="0" w:space="0" w:color="auto"/>
        <w:right w:val="none" w:sz="0" w:space="0" w:color="auto"/>
      </w:divBdr>
    </w:div>
    <w:div w:id="1900436419">
      <w:bodyDiv w:val="1"/>
      <w:marLeft w:val="0"/>
      <w:marRight w:val="0"/>
      <w:marTop w:val="0"/>
      <w:marBottom w:val="0"/>
      <w:divBdr>
        <w:top w:val="none" w:sz="0" w:space="0" w:color="auto"/>
        <w:left w:val="none" w:sz="0" w:space="0" w:color="auto"/>
        <w:bottom w:val="none" w:sz="0" w:space="0" w:color="auto"/>
        <w:right w:val="none" w:sz="0" w:space="0" w:color="auto"/>
      </w:divBdr>
    </w:div>
    <w:div w:id="1905294660">
      <w:bodyDiv w:val="1"/>
      <w:marLeft w:val="0"/>
      <w:marRight w:val="0"/>
      <w:marTop w:val="0"/>
      <w:marBottom w:val="0"/>
      <w:divBdr>
        <w:top w:val="none" w:sz="0" w:space="0" w:color="auto"/>
        <w:left w:val="none" w:sz="0" w:space="0" w:color="auto"/>
        <w:bottom w:val="none" w:sz="0" w:space="0" w:color="auto"/>
        <w:right w:val="none" w:sz="0" w:space="0" w:color="auto"/>
      </w:divBdr>
    </w:div>
    <w:div w:id="1905724757">
      <w:bodyDiv w:val="1"/>
      <w:marLeft w:val="0"/>
      <w:marRight w:val="0"/>
      <w:marTop w:val="0"/>
      <w:marBottom w:val="0"/>
      <w:divBdr>
        <w:top w:val="none" w:sz="0" w:space="0" w:color="auto"/>
        <w:left w:val="none" w:sz="0" w:space="0" w:color="auto"/>
        <w:bottom w:val="none" w:sz="0" w:space="0" w:color="auto"/>
        <w:right w:val="none" w:sz="0" w:space="0" w:color="auto"/>
      </w:divBdr>
    </w:div>
    <w:div w:id="1906330042">
      <w:bodyDiv w:val="1"/>
      <w:marLeft w:val="0"/>
      <w:marRight w:val="0"/>
      <w:marTop w:val="0"/>
      <w:marBottom w:val="0"/>
      <w:divBdr>
        <w:top w:val="none" w:sz="0" w:space="0" w:color="auto"/>
        <w:left w:val="none" w:sz="0" w:space="0" w:color="auto"/>
        <w:bottom w:val="none" w:sz="0" w:space="0" w:color="auto"/>
        <w:right w:val="none" w:sz="0" w:space="0" w:color="auto"/>
      </w:divBdr>
    </w:div>
    <w:div w:id="1907454418">
      <w:bodyDiv w:val="1"/>
      <w:marLeft w:val="0"/>
      <w:marRight w:val="0"/>
      <w:marTop w:val="0"/>
      <w:marBottom w:val="0"/>
      <w:divBdr>
        <w:top w:val="none" w:sz="0" w:space="0" w:color="auto"/>
        <w:left w:val="none" w:sz="0" w:space="0" w:color="auto"/>
        <w:bottom w:val="none" w:sz="0" w:space="0" w:color="auto"/>
        <w:right w:val="none" w:sz="0" w:space="0" w:color="auto"/>
      </w:divBdr>
    </w:div>
    <w:div w:id="1909532491">
      <w:bodyDiv w:val="1"/>
      <w:marLeft w:val="0"/>
      <w:marRight w:val="0"/>
      <w:marTop w:val="0"/>
      <w:marBottom w:val="0"/>
      <w:divBdr>
        <w:top w:val="none" w:sz="0" w:space="0" w:color="auto"/>
        <w:left w:val="none" w:sz="0" w:space="0" w:color="auto"/>
        <w:bottom w:val="none" w:sz="0" w:space="0" w:color="auto"/>
        <w:right w:val="none" w:sz="0" w:space="0" w:color="auto"/>
      </w:divBdr>
    </w:div>
    <w:div w:id="1911843185">
      <w:bodyDiv w:val="1"/>
      <w:marLeft w:val="0"/>
      <w:marRight w:val="0"/>
      <w:marTop w:val="0"/>
      <w:marBottom w:val="0"/>
      <w:divBdr>
        <w:top w:val="none" w:sz="0" w:space="0" w:color="auto"/>
        <w:left w:val="none" w:sz="0" w:space="0" w:color="auto"/>
        <w:bottom w:val="none" w:sz="0" w:space="0" w:color="auto"/>
        <w:right w:val="none" w:sz="0" w:space="0" w:color="auto"/>
      </w:divBdr>
    </w:div>
    <w:div w:id="1917394471">
      <w:bodyDiv w:val="1"/>
      <w:marLeft w:val="0"/>
      <w:marRight w:val="0"/>
      <w:marTop w:val="0"/>
      <w:marBottom w:val="0"/>
      <w:divBdr>
        <w:top w:val="none" w:sz="0" w:space="0" w:color="auto"/>
        <w:left w:val="none" w:sz="0" w:space="0" w:color="auto"/>
        <w:bottom w:val="none" w:sz="0" w:space="0" w:color="auto"/>
        <w:right w:val="none" w:sz="0" w:space="0" w:color="auto"/>
      </w:divBdr>
    </w:div>
    <w:div w:id="1920598485">
      <w:bodyDiv w:val="1"/>
      <w:marLeft w:val="0"/>
      <w:marRight w:val="0"/>
      <w:marTop w:val="0"/>
      <w:marBottom w:val="0"/>
      <w:divBdr>
        <w:top w:val="none" w:sz="0" w:space="0" w:color="auto"/>
        <w:left w:val="none" w:sz="0" w:space="0" w:color="auto"/>
        <w:bottom w:val="none" w:sz="0" w:space="0" w:color="auto"/>
        <w:right w:val="none" w:sz="0" w:space="0" w:color="auto"/>
      </w:divBdr>
    </w:div>
    <w:div w:id="1924485244">
      <w:bodyDiv w:val="1"/>
      <w:marLeft w:val="0"/>
      <w:marRight w:val="0"/>
      <w:marTop w:val="0"/>
      <w:marBottom w:val="0"/>
      <w:divBdr>
        <w:top w:val="none" w:sz="0" w:space="0" w:color="auto"/>
        <w:left w:val="none" w:sz="0" w:space="0" w:color="auto"/>
        <w:bottom w:val="none" w:sz="0" w:space="0" w:color="auto"/>
        <w:right w:val="none" w:sz="0" w:space="0" w:color="auto"/>
      </w:divBdr>
    </w:div>
    <w:div w:id="1926187862">
      <w:bodyDiv w:val="1"/>
      <w:marLeft w:val="0"/>
      <w:marRight w:val="0"/>
      <w:marTop w:val="0"/>
      <w:marBottom w:val="0"/>
      <w:divBdr>
        <w:top w:val="none" w:sz="0" w:space="0" w:color="auto"/>
        <w:left w:val="none" w:sz="0" w:space="0" w:color="auto"/>
        <w:bottom w:val="none" w:sz="0" w:space="0" w:color="auto"/>
        <w:right w:val="none" w:sz="0" w:space="0" w:color="auto"/>
      </w:divBdr>
    </w:div>
    <w:div w:id="1926648029">
      <w:bodyDiv w:val="1"/>
      <w:marLeft w:val="0"/>
      <w:marRight w:val="0"/>
      <w:marTop w:val="0"/>
      <w:marBottom w:val="0"/>
      <w:divBdr>
        <w:top w:val="none" w:sz="0" w:space="0" w:color="auto"/>
        <w:left w:val="none" w:sz="0" w:space="0" w:color="auto"/>
        <w:bottom w:val="none" w:sz="0" w:space="0" w:color="auto"/>
        <w:right w:val="none" w:sz="0" w:space="0" w:color="auto"/>
      </w:divBdr>
    </w:div>
    <w:div w:id="1932273541">
      <w:bodyDiv w:val="1"/>
      <w:marLeft w:val="0"/>
      <w:marRight w:val="0"/>
      <w:marTop w:val="0"/>
      <w:marBottom w:val="0"/>
      <w:divBdr>
        <w:top w:val="none" w:sz="0" w:space="0" w:color="auto"/>
        <w:left w:val="none" w:sz="0" w:space="0" w:color="auto"/>
        <w:bottom w:val="none" w:sz="0" w:space="0" w:color="auto"/>
        <w:right w:val="none" w:sz="0" w:space="0" w:color="auto"/>
      </w:divBdr>
    </w:div>
    <w:div w:id="1933321203">
      <w:bodyDiv w:val="1"/>
      <w:marLeft w:val="0"/>
      <w:marRight w:val="0"/>
      <w:marTop w:val="0"/>
      <w:marBottom w:val="0"/>
      <w:divBdr>
        <w:top w:val="none" w:sz="0" w:space="0" w:color="auto"/>
        <w:left w:val="none" w:sz="0" w:space="0" w:color="auto"/>
        <w:bottom w:val="none" w:sz="0" w:space="0" w:color="auto"/>
        <w:right w:val="none" w:sz="0" w:space="0" w:color="auto"/>
      </w:divBdr>
    </w:div>
    <w:div w:id="1936089815">
      <w:bodyDiv w:val="1"/>
      <w:marLeft w:val="0"/>
      <w:marRight w:val="0"/>
      <w:marTop w:val="0"/>
      <w:marBottom w:val="0"/>
      <w:divBdr>
        <w:top w:val="none" w:sz="0" w:space="0" w:color="auto"/>
        <w:left w:val="none" w:sz="0" w:space="0" w:color="auto"/>
        <w:bottom w:val="none" w:sz="0" w:space="0" w:color="auto"/>
        <w:right w:val="none" w:sz="0" w:space="0" w:color="auto"/>
      </w:divBdr>
    </w:div>
    <w:div w:id="1942450274">
      <w:bodyDiv w:val="1"/>
      <w:marLeft w:val="0"/>
      <w:marRight w:val="0"/>
      <w:marTop w:val="0"/>
      <w:marBottom w:val="0"/>
      <w:divBdr>
        <w:top w:val="none" w:sz="0" w:space="0" w:color="auto"/>
        <w:left w:val="none" w:sz="0" w:space="0" w:color="auto"/>
        <w:bottom w:val="none" w:sz="0" w:space="0" w:color="auto"/>
        <w:right w:val="none" w:sz="0" w:space="0" w:color="auto"/>
      </w:divBdr>
    </w:div>
    <w:div w:id="1945727774">
      <w:bodyDiv w:val="1"/>
      <w:marLeft w:val="0"/>
      <w:marRight w:val="0"/>
      <w:marTop w:val="0"/>
      <w:marBottom w:val="0"/>
      <w:divBdr>
        <w:top w:val="none" w:sz="0" w:space="0" w:color="auto"/>
        <w:left w:val="none" w:sz="0" w:space="0" w:color="auto"/>
        <w:bottom w:val="none" w:sz="0" w:space="0" w:color="auto"/>
        <w:right w:val="none" w:sz="0" w:space="0" w:color="auto"/>
      </w:divBdr>
    </w:div>
    <w:div w:id="1947420603">
      <w:bodyDiv w:val="1"/>
      <w:marLeft w:val="0"/>
      <w:marRight w:val="0"/>
      <w:marTop w:val="0"/>
      <w:marBottom w:val="0"/>
      <w:divBdr>
        <w:top w:val="none" w:sz="0" w:space="0" w:color="auto"/>
        <w:left w:val="none" w:sz="0" w:space="0" w:color="auto"/>
        <w:bottom w:val="none" w:sz="0" w:space="0" w:color="auto"/>
        <w:right w:val="none" w:sz="0" w:space="0" w:color="auto"/>
      </w:divBdr>
    </w:div>
    <w:div w:id="1948198590">
      <w:bodyDiv w:val="1"/>
      <w:marLeft w:val="0"/>
      <w:marRight w:val="0"/>
      <w:marTop w:val="0"/>
      <w:marBottom w:val="0"/>
      <w:divBdr>
        <w:top w:val="none" w:sz="0" w:space="0" w:color="auto"/>
        <w:left w:val="none" w:sz="0" w:space="0" w:color="auto"/>
        <w:bottom w:val="none" w:sz="0" w:space="0" w:color="auto"/>
        <w:right w:val="none" w:sz="0" w:space="0" w:color="auto"/>
      </w:divBdr>
    </w:div>
    <w:div w:id="1950812265">
      <w:bodyDiv w:val="1"/>
      <w:marLeft w:val="0"/>
      <w:marRight w:val="0"/>
      <w:marTop w:val="0"/>
      <w:marBottom w:val="0"/>
      <w:divBdr>
        <w:top w:val="none" w:sz="0" w:space="0" w:color="auto"/>
        <w:left w:val="none" w:sz="0" w:space="0" w:color="auto"/>
        <w:bottom w:val="none" w:sz="0" w:space="0" w:color="auto"/>
        <w:right w:val="none" w:sz="0" w:space="0" w:color="auto"/>
      </w:divBdr>
    </w:div>
    <w:div w:id="1957134021">
      <w:bodyDiv w:val="1"/>
      <w:marLeft w:val="0"/>
      <w:marRight w:val="0"/>
      <w:marTop w:val="0"/>
      <w:marBottom w:val="0"/>
      <w:divBdr>
        <w:top w:val="none" w:sz="0" w:space="0" w:color="auto"/>
        <w:left w:val="none" w:sz="0" w:space="0" w:color="auto"/>
        <w:bottom w:val="none" w:sz="0" w:space="0" w:color="auto"/>
        <w:right w:val="none" w:sz="0" w:space="0" w:color="auto"/>
      </w:divBdr>
    </w:div>
    <w:div w:id="1961455872">
      <w:bodyDiv w:val="1"/>
      <w:marLeft w:val="0"/>
      <w:marRight w:val="0"/>
      <w:marTop w:val="0"/>
      <w:marBottom w:val="0"/>
      <w:divBdr>
        <w:top w:val="none" w:sz="0" w:space="0" w:color="auto"/>
        <w:left w:val="none" w:sz="0" w:space="0" w:color="auto"/>
        <w:bottom w:val="none" w:sz="0" w:space="0" w:color="auto"/>
        <w:right w:val="none" w:sz="0" w:space="0" w:color="auto"/>
      </w:divBdr>
    </w:div>
    <w:div w:id="1963533123">
      <w:bodyDiv w:val="1"/>
      <w:marLeft w:val="0"/>
      <w:marRight w:val="0"/>
      <w:marTop w:val="0"/>
      <w:marBottom w:val="0"/>
      <w:divBdr>
        <w:top w:val="none" w:sz="0" w:space="0" w:color="auto"/>
        <w:left w:val="none" w:sz="0" w:space="0" w:color="auto"/>
        <w:bottom w:val="none" w:sz="0" w:space="0" w:color="auto"/>
        <w:right w:val="none" w:sz="0" w:space="0" w:color="auto"/>
      </w:divBdr>
    </w:div>
    <w:div w:id="1964967253">
      <w:bodyDiv w:val="1"/>
      <w:marLeft w:val="0"/>
      <w:marRight w:val="0"/>
      <w:marTop w:val="0"/>
      <w:marBottom w:val="0"/>
      <w:divBdr>
        <w:top w:val="none" w:sz="0" w:space="0" w:color="auto"/>
        <w:left w:val="none" w:sz="0" w:space="0" w:color="auto"/>
        <w:bottom w:val="none" w:sz="0" w:space="0" w:color="auto"/>
        <w:right w:val="none" w:sz="0" w:space="0" w:color="auto"/>
      </w:divBdr>
    </w:div>
    <w:div w:id="1965581080">
      <w:bodyDiv w:val="1"/>
      <w:marLeft w:val="0"/>
      <w:marRight w:val="0"/>
      <w:marTop w:val="0"/>
      <w:marBottom w:val="0"/>
      <w:divBdr>
        <w:top w:val="none" w:sz="0" w:space="0" w:color="auto"/>
        <w:left w:val="none" w:sz="0" w:space="0" w:color="auto"/>
        <w:bottom w:val="none" w:sz="0" w:space="0" w:color="auto"/>
        <w:right w:val="none" w:sz="0" w:space="0" w:color="auto"/>
      </w:divBdr>
      <w:divsChild>
        <w:div w:id="1052000390">
          <w:marLeft w:val="0"/>
          <w:marRight w:val="0"/>
          <w:marTop w:val="0"/>
          <w:marBottom w:val="0"/>
          <w:divBdr>
            <w:top w:val="none" w:sz="0" w:space="0" w:color="auto"/>
            <w:left w:val="none" w:sz="0" w:space="0" w:color="auto"/>
            <w:bottom w:val="none" w:sz="0" w:space="0" w:color="auto"/>
            <w:right w:val="none" w:sz="0" w:space="0" w:color="auto"/>
          </w:divBdr>
          <w:divsChild>
            <w:div w:id="906456433">
              <w:marLeft w:val="0"/>
              <w:marRight w:val="0"/>
              <w:marTop w:val="0"/>
              <w:marBottom w:val="0"/>
              <w:divBdr>
                <w:top w:val="none" w:sz="0" w:space="0" w:color="auto"/>
                <w:left w:val="none" w:sz="0" w:space="0" w:color="auto"/>
                <w:bottom w:val="none" w:sz="0" w:space="0" w:color="auto"/>
                <w:right w:val="none" w:sz="0" w:space="0" w:color="auto"/>
              </w:divBdr>
              <w:divsChild>
                <w:div w:id="279382945">
                  <w:marLeft w:val="0"/>
                  <w:marRight w:val="0"/>
                  <w:marTop w:val="0"/>
                  <w:marBottom w:val="0"/>
                  <w:divBdr>
                    <w:top w:val="none" w:sz="0" w:space="0" w:color="auto"/>
                    <w:left w:val="none" w:sz="0" w:space="0" w:color="auto"/>
                    <w:bottom w:val="none" w:sz="0" w:space="0" w:color="auto"/>
                    <w:right w:val="none" w:sz="0" w:space="0" w:color="auto"/>
                  </w:divBdr>
                  <w:divsChild>
                    <w:div w:id="1710108239">
                      <w:marLeft w:val="0"/>
                      <w:marRight w:val="0"/>
                      <w:marTop w:val="0"/>
                      <w:marBottom w:val="0"/>
                      <w:divBdr>
                        <w:top w:val="none" w:sz="0" w:space="0" w:color="auto"/>
                        <w:left w:val="none" w:sz="0" w:space="0" w:color="auto"/>
                        <w:bottom w:val="none" w:sz="0" w:space="0" w:color="auto"/>
                        <w:right w:val="none" w:sz="0" w:space="0" w:color="auto"/>
                      </w:divBdr>
                      <w:divsChild>
                        <w:div w:id="6293741">
                          <w:marLeft w:val="0"/>
                          <w:marRight w:val="0"/>
                          <w:marTop w:val="0"/>
                          <w:marBottom w:val="0"/>
                          <w:divBdr>
                            <w:top w:val="none" w:sz="0" w:space="0" w:color="auto"/>
                            <w:left w:val="none" w:sz="0" w:space="0" w:color="auto"/>
                            <w:bottom w:val="none" w:sz="0" w:space="0" w:color="auto"/>
                            <w:right w:val="none" w:sz="0" w:space="0" w:color="auto"/>
                          </w:divBdr>
                          <w:divsChild>
                            <w:div w:id="1019157696">
                              <w:marLeft w:val="2700"/>
                              <w:marRight w:val="3960"/>
                              <w:marTop w:val="0"/>
                              <w:marBottom w:val="0"/>
                              <w:divBdr>
                                <w:top w:val="none" w:sz="0" w:space="0" w:color="auto"/>
                                <w:left w:val="none" w:sz="0" w:space="0" w:color="auto"/>
                                <w:bottom w:val="none" w:sz="0" w:space="0" w:color="auto"/>
                                <w:right w:val="none" w:sz="0" w:space="0" w:color="auto"/>
                              </w:divBdr>
                              <w:divsChild>
                                <w:div w:id="1504277083">
                                  <w:marLeft w:val="0"/>
                                  <w:marRight w:val="0"/>
                                  <w:marTop w:val="0"/>
                                  <w:marBottom w:val="0"/>
                                  <w:divBdr>
                                    <w:top w:val="none" w:sz="0" w:space="0" w:color="auto"/>
                                    <w:left w:val="none" w:sz="0" w:space="0" w:color="auto"/>
                                    <w:bottom w:val="none" w:sz="0" w:space="0" w:color="auto"/>
                                    <w:right w:val="none" w:sz="0" w:space="0" w:color="auto"/>
                                  </w:divBdr>
                                  <w:divsChild>
                                    <w:div w:id="1760717307">
                                      <w:marLeft w:val="0"/>
                                      <w:marRight w:val="0"/>
                                      <w:marTop w:val="0"/>
                                      <w:marBottom w:val="0"/>
                                      <w:divBdr>
                                        <w:top w:val="none" w:sz="0" w:space="0" w:color="auto"/>
                                        <w:left w:val="none" w:sz="0" w:space="0" w:color="auto"/>
                                        <w:bottom w:val="none" w:sz="0" w:space="0" w:color="auto"/>
                                        <w:right w:val="none" w:sz="0" w:space="0" w:color="auto"/>
                                      </w:divBdr>
                                      <w:divsChild>
                                        <w:div w:id="1564099738">
                                          <w:marLeft w:val="0"/>
                                          <w:marRight w:val="0"/>
                                          <w:marTop w:val="0"/>
                                          <w:marBottom w:val="0"/>
                                          <w:divBdr>
                                            <w:top w:val="none" w:sz="0" w:space="0" w:color="auto"/>
                                            <w:left w:val="none" w:sz="0" w:space="0" w:color="auto"/>
                                            <w:bottom w:val="none" w:sz="0" w:space="0" w:color="auto"/>
                                            <w:right w:val="none" w:sz="0" w:space="0" w:color="auto"/>
                                          </w:divBdr>
                                          <w:divsChild>
                                            <w:div w:id="623389208">
                                              <w:marLeft w:val="0"/>
                                              <w:marRight w:val="0"/>
                                              <w:marTop w:val="90"/>
                                              <w:marBottom w:val="0"/>
                                              <w:divBdr>
                                                <w:top w:val="none" w:sz="0" w:space="0" w:color="auto"/>
                                                <w:left w:val="none" w:sz="0" w:space="0" w:color="auto"/>
                                                <w:bottom w:val="none" w:sz="0" w:space="0" w:color="auto"/>
                                                <w:right w:val="none" w:sz="0" w:space="0" w:color="auto"/>
                                              </w:divBdr>
                                              <w:divsChild>
                                                <w:div w:id="189341636">
                                                  <w:marLeft w:val="0"/>
                                                  <w:marRight w:val="0"/>
                                                  <w:marTop w:val="0"/>
                                                  <w:marBottom w:val="420"/>
                                                  <w:divBdr>
                                                    <w:top w:val="none" w:sz="0" w:space="0" w:color="auto"/>
                                                    <w:left w:val="none" w:sz="0" w:space="0" w:color="auto"/>
                                                    <w:bottom w:val="none" w:sz="0" w:space="0" w:color="auto"/>
                                                    <w:right w:val="none" w:sz="0" w:space="0" w:color="auto"/>
                                                  </w:divBdr>
                                                  <w:divsChild>
                                                    <w:div w:id="1452432811">
                                                      <w:marLeft w:val="0"/>
                                                      <w:marRight w:val="0"/>
                                                      <w:marTop w:val="0"/>
                                                      <w:marBottom w:val="0"/>
                                                      <w:divBdr>
                                                        <w:top w:val="none" w:sz="0" w:space="0" w:color="auto"/>
                                                        <w:left w:val="none" w:sz="0" w:space="0" w:color="auto"/>
                                                        <w:bottom w:val="none" w:sz="0" w:space="0" w:color="auto"/>
                                                        <w:right w:val="none" w:sz="0" w:space="0" w:color="auto"/>
                                                      </w:divBdr>
                                                      <w:divsChild>
                                                        <w:div w:id="1326860892">
                                                          <w:marLeft w:val="0"/>
                                                          <w:marRight w:val="0"/>
                                                          <w:marTop w:val="0"/>
                                                          <w:marBottom w:val="0"/>
                                                          <w:divBdr>
                                                            <w:top w:val="none" w:sz="0" w:space="0" w:color="auto"/>
                                                            <w:left w:val="none" w:sz="0" w:space="0" w:color="auto"/>
                                                            <w:bottom w:val="none" w:sz="0" w:space="0" w:color="auto"/>
                                                            <w:right w:val="none" w:sz="0" w:space="0" w:color="auto"/>
                                                          </w:divBdr>
                                                          <w:divsChild>
                                                            <w:div w:id="1793938503">
                                                              <w:marLeft w:val="0"/>
                                                              <w:marRight w:val="0"/>
                                                              <w:marTop w:val="0"/>
                                                              <w:marBottom w:val="0"/>
                                                              <w:divBdr>
                                                                <w:top w:val="none" w:sz="0" w:space="0" w:color="auto"/>
                                                                <w:left w:val="none" w:sz="0" w:space="0" w:color="auto"/>
                                                                <w:bottom w:val="none" w:sz="0" w:space="0" w:color="auto"/>
                                                                <w:right w:val="none" w:sz="0" w:space="0" w:color="auto"/>
                                                              </w:divBdr>
                                                              <w:divsChild>
                                                                <w:div w:id="1474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6111973">
      <w:bodyDiv w:val="1"/>
      <w:marLeft w:val="0"/>
      <w:marRight w:val="0"/>
      <w:marTop w:val="0"/>
      <w:marBottom w:val="0"/>
      <w:divBdr>
        <w:top w:val="none" w:sz="0" w:space="0" w:color="auto"/>
        <w:left w:val="none" w:sz="0" w:space="0" w:color="auto"/>
        <w:bottom w:val="none" w:sz="0" w:space="0" w:color="auto"/>
        <w:right w:val="none" w:sz="0" w:space="0" w:color="auto"/>
      </w:divBdr>
    </w:div>
    <w:div w:id="1971856858">
      <w:bodyDiv w:val="1"/>
      <w:marLeft w:val="0"/>
      <w:marRight w:val="0"/>
      <w:marTop w:val="0"/>
      <w:marBottom w:val="0"/>
      <w:divBdr>
        <w:top w:val="none" w:sz="0" w:space="0" w:color="auto"/>
        <w:left w:val="none" w:sz="0" w:space="0" w:color="auto"/>
        <w:bottom w:val="none" w:sz="0" w:space="0" w:color="auto"/>
        <w:right w:val="none" w:sz="0" w:space="0" w:color="auto"/>
      </w:divBdr>
    </w:div>
    <w:div w:id="1977179476">
      <w:bodyDiv w:val="1"/>
      <w:marLeft w:val="0"/>
      <w:marRight w:val="0"/>
      <w:marTop w:val="0"/>
      <w:marBottom w:val="0"/>
      <w:divBdr>
        <w:top w:val="none" w:sz="0" w:space="0" w:color="auto"/>
        <w:left w:val="none" w:sz="0" w:space="0" w:color="auto"/>
        <w:bottom w:val="none" w:sz="0" w:space="0" w:color="auto"/>
        <w:right w:val="none" w:sz="0" w:space="0" w:color="auto"/>
      </w:divBdr>
    </w:div>
    <w:div w:id="1977880036">
      <w:bodyDiv w:val="1"/>
      <w:marLeft w:val="0"/>
      <w:marRight w:val="0"/>
      <w:marTop w:val="0"/>
      <w:marBottom w:val="0"/>
      <w:divBdr>
        <w:top w:val="none" w:sz="0" w:space="0" w:color="auto"/>
        <w:left w:val="none" w:sz="0" w:space="0" w:color="auto"/>
        <w:bottom w:val="none" w:sz="0" w:space="0" w:color="auto"/>
        <w:right w:val="none" w:sz="0" w:space="0" w:color="auto"/>
      </w:divBdr>
    </w:div>
    <w:div w:id="1978299807">
      <w:bodyDiv w:val="1"/>
      <w:marLeft w:val="0"/>
      <w:marRight w:val="0"/>
      <w:marTop w:val="0"/>
      <w:marBottom w:val="0"/>
      <w:divBdr>
        <w:top w:val="none" w:sz="0" w:space="0" w:color="auto"/>
        <w:left w:val="none" w:sz="0" w:space="0" w:color="auto"/>
        <w:bottom w:val="none" w:sz="0" w:space="0" w:color="auto"/>
        <w:right w:val="none" w:sz="0" w:space="0" w:color="auto"/>
      </w:divBdr>
    </w:div>
    <w:div w:id="1978676905">
      <w:bodyDiv w:val="1"/>
      <w:marLeft w:val="0"/>
      <w:marRight w:val="0"/>
      <w:marTop w:val="0"/>
      <w:marBottom w:val="0"/>
      <w:divBdr>
        <w:top w:val="none" w:sz="0" w:space="0" w:color="auto"/>
        <w:left w:val="none" w:sz="0" w:space="0" w:color="auto"/>
        <w:bottom w:val="none" w:sz="0" w:space="0" w:color="auto"/>
        <w:right w:val="none" w:sz="0" w:space="0" w:color="auto"/>
      </w:divBdr>
    </w:div>
    <w:div w:id="1980650491">
      <w:bodyDiv w:val="1"/>
      <w:marLeft w:val="0"/>
      <w:marRight w:val="0"/>
      <w:marTop w:val="0"/>
      <w:marBottom w:val="0"/>
      <w:divBdr>
        <w:top w:val="none" w:sz="0" w:space="0" w:color="auto"/>
        <w:left w:val="none" w:sz="0" w:space="0" w:color="auto"/>
        <w:bottom w:val="none" w:sz="0" w:space="0" w:color="auto"/>
        <w:right w:val="none" w:sz="0" w:space="0" w:color="auto"/>
      </w:divBdr>
    </w:div>
    <w:div w:id="1983853125">
      <w:bodyDiv w:val="1"/>
      <w:marLeft w:val="0"/>
      <w:marRight w:val="0"/>
      <w:marTop w:val="0"/>
      <w:marBottom w:val="0"/>
      <w:divBdr>
        <w:top w:val="none" w:sz="0" w:space="0" w:color="auto"/>
        <w:left w:val="none" w:sz="0" w:space="0" w:color="auto"/>
        <w:bottom w:val="none" w:sz="0" w:space="0" w:color="auto"/>
        <w:right w:val="none" w:sz="0" w:space="0" w:color="auto"/>
      </w:divBdr>
    </w:div>
    <w:div w:id="1984696324">
      <w:bodyDiv w:val="1"/>
      <w:marLeft w:val="0"/>
      <w:marRight w:val="0"/>
      <w:marTop w:val="0"/>
      <w:marBottom w:val="0"/>
      <w:divBdr>
        <w:top w:val="none" w:sz="0" w:space="0" w:color="auto"/>
        <w:left w:val="none" w:sz="0" w:space="0" w:color="auto"/>
        <w:bottom w:val="none" w:sz="0" w:space="0" w:color="auto"/>
        <w:right w:val="none" w:sz="0" w:space="0" w:color="auto"/>
      </w:divBdr>
    </w:div>
    <w:div w:id="1986662343">
      <w:bodyDiv w:val="1"/>
      <w:marLeft w:val="0"/>
      <w:marRight w:val="0"/>
      <w:marTop w:val="0"/>
      <w:marBottom w:val="0"/>
      <w:divBdr>
        <w:top w:val="none" w:sz="0" w:space="0" w:color="auto"/>
        <w:left w:val="none" w:sz="0" w:space="0" w:color="auto"/>
        <w:bottom w:val="none" w:sz="0" w:space="0" w:color="auto"/>
        <w:right w:val="none" w:sz="0" w:space="0" w:color="auto"/>
      </w:divBdr>
      <w:divsChild>
        <w:div w:id="927664579">
          <w:marLeft w:val="706"/>
          <w:marRight w:val="0"/>
          <w:marTop w:val="96"/>
          <w:marBottom w:val="144"/>
          <w:divBdr>
            <w:top w:val="none" w:sz="0" w:space="0" w:color="auto"/>
            <w:left w:val="none" w:sz="0" w:space="0" w:color="auto"/>
            <w:bottom w:val="none" w:sz="0" w:space="0" w:color="auto"/>
            <w:right w:val="none" w:sz="0" w:space="0" w:color="auto"/>
          </w:divBdr>
        </w:div>
        <w:div w:id="1900821119">
          <w:marLeft w:val="706"/>
          <w:marRight w:val="0"/>
          <w:marTop w:val="96"/>
          <w:marBottom w:val="144"/>
          <w:divBdr>
            <w:top w:val="none" w:sz="0" w:space="0" w:color="auto"/>
            <w:left w:val="none" w:sz="0" w:space="0" w:color="auto"/>
            <w:bottom w:val="none" w:sz="0" w:space="0" w:color="auto"/>
            <w:right w:val="none" w:sz="0" w:space="0" w:color="auto"/>
          </w:divBdr>
        </w:div>
      </w:divsChild>
    </w:div>
    <w:div w:id="1989745108">
      <w:bodyDiv w:val="1"/>
      <w:marLeft w:val="0"/>
      <w:marRight w:val="0"/>
      <w:marTop w:val="0"/>
      <w:marBottom w:val="0"/>
      <w:divBdr>
        <w:top w:val="none" w:sz="0" w:space="0" w:color="auto"/>
        <w:left w:val="none" w:sz="0" w:space="0" w:color="auto"/>
        <w:bottom w:val="none" w:sz="0" w:space="0" w:color="auto"/>
        <w:right w:val="none" w:sz="0" w:space="0" w:color="auto"/>
      </w:divBdr>
    </w:div>
    <w:div w:id="1989898622">
      <w:bodyDiv w:val="1"/>
      <w:marLeft w:val="0"/>
      <w:marRight w:val="0"/>
      <w:marTop w:val="0"/>
      <w:marBottom w:val="0"/>
      <w:divBdr>
        <w:top w:val="none" w:sz="0" w:space="0" w:color="auto"/>
        <w:left w:val="none" w:sz="0" w:space="0" w:color="auto"/>
        <w:bottom w:val="none" w:sz="0" w:space="0" w:color="auto"/>
        <w:right w:val="none" w:sz="0" w:space="0" w:color="auto"/>
      </w:divBdr>
    </w:div>
    <w:div w:id="1990092552">
      <w:bodyDiv w:val="1"/>
      <w:marLeft w:val="0"/>
      <w:marRight w:val="0"/>
      <w:marTop w:val="0"/>
      <w:marBottom w:val="0"/>
      <w:divBdr>
        <w:top w:val="none" w:sz="0" w:space="0" w:color="auto"/>
        <w:left w:val="none" w:sz="0" w:space="0" w:color="auto"/>
        <w:bottom w:val="none" w:sz="0" w:space="0" w:color="auto"/>
        <w:right w:val="none" w:sz="0" w:space="0" w:color="auto"/>
      </w:divBdr>
    </w:div>
    <w:div w:id="1992445340">
      <w:bodyDiv w:val="1"/>
      <w:marLeft w:val="0"/>
      <w:marRight w:val="0"/>
      <w:marTop w:val="0"/>
      <w:marBottom w:val="0"/>
      <w:divBdr>
        <w:top w:val="none" w:sz="0" w:space="0" w:color="auto"/>
        <w:left w:val="none" w:sz="0" w:space="0" w:color="auto"/>
        <w:bottom w:val="none" w:sz="0" w:space="0" w:color="auto"/>
        <w:right w:val="none" w:sz="0" w:space="0" w:color="auto"/>
      </w:divBdr>
    </w:div>
    <w:div w:id="1993558392">
      <w:bodyDiv w:val="1"/>
      <w:marLeft w:val="0"/>
      <w:marRight w:val="0"/>
      <w:marTop w:val="0"/>
      <w:marBottom w:val="0"/>
      <w:divBdr>
        <w:top w:val="none" w:sz="0" w:space="0" w:color="auto"/>
        <w:left w:val="none" w:sz="0" w:space="0" w:color="auto"/>
        <w:bottom w:val="none" w:sz="0" w:space="0" w:color="auto"/>
        <w:right w:val="none" w:sz="0" w:space="0" w:color="auto"/>
      </w:divBdr>
    </w:div>
    <w:div w:id="1997804846">
      <w:bodyDiv w:val="1"/>
      <w:marLeft w:val="0"/>
      <w:marRight w:val="0"/>
      <w:marTop w:val="0"/>
      <w:marBottom w:val="0"/>
      <w:divBdr>
        <w:top w:val="none" w:sz="0" w:space="0" w:color="auto"/>
        <w:left w:val="none" w:sz="0" w:space="0" w:color="auto"/>
        <w:bottom w:val="none" w:sz="0" w:space="0" w:color="auto"/>
        <w:right w:val="none" w:sz="0" w:space="0" w:color="auto"/>
      </w:divBdr>
    </w:div>
    <w:div w:id="2003001550">
      <w:bodyDiv w:val="1"/>
      <w:marLeft w:val="0"/>
      <w:marRight w:val="0"/>
      <w:marTop w:val="0"/>
      <w:marBottom w:val="0"/>
      <w:divBdr>
        <w:top w:val="none" w:sz="0" w:space="0" w:color="auto"/>
        <w:left w:val="none" w:sz="0" w:space="0" w:color="auto"/>
        <w:bottom w:val="none" w:sz="0" w:space="0" w:color="auto"/>
        <w:right w:val="none" w:sz="0" w:space="0" w:color="auto"/>
      </w:divBdr>
    </w:div>
    <w:div w:id="2003116272">
      <w:bodyDiv w:val="1"/>
      <w:marLeft w:val="0"/>
      <w:marRight w:val="0"/>
      <w:marTop w:val="0"/>
      <w:marBottom w:val="0"/>
      <w:divBdr>
        <w:top w:val="none" w:sz="0" w:space="0" w:color="auto"/>
        <w:left w:val="none" w:sz="0" w:space="0" w:color="auto"/>
        <w:bottom w:val="none" w:sz="0" w:space="0" w:color="auto"/>
        <w:right w:val="none" w:sz="0" w:space="0" w:color="auto"/>
      </w:divBdr>
    </w:div>
    <w:div w:id="2009628119">
      <w:bodyDiv w:val="1"/>
      <w:marLeft w:val="0"/>
      <w:marRight w:val="0"/>
      <w:marTop w:val="0"/>
      <w:marBottom w:val="0"/>
      <w:divBdr>
        <w:top w:val="none" w:sz="0" w:space="0" w:color="auto"/>
        <w:left w:val="none" w:sz="0" w:space="0" w:color="auto"/>
        <w:bottom w:val="none" w:sz="0" w:space="0" w:color="auto"/>
        <w:right w:val="none" w:sz="0" w:space="0" w:color="auto"/>
      </w:divBdr>
    </w:div>
    <w:div w:id="2015716970">
      <w:bodyDiv w:val="1"/>
      <w:marLeft w:val="0"/>
      <w:marRight w:val="0"/>
      <w:marTop w:val="0"/>
      <w:marBottom w:val="0"/>
      <w:divBdr>
        <w:top w:val="none" w:sz="0" w:space="0" w:color="auto"/>
        <w:left w:val="none" w:sz="0" w:space="0" w:color="auto"/>
        <w:bottom w:val="none" w:sz="0" w:space="0" w:color="auto"/>
        <w:right w:val="none" w:sz="0" w:space="0" w:color="auto"/>
      </w:divBdr>
    </w:div>
    <w:div w:id="2015758884">
      <w:bodyDiv w:val="1"/>
      <w:marLeft w:val="0"/>
      <w:marRight w:val="0"/>
      <w:marTop w:val="0"/>
      <w:marBottom w:val="0"/>
      <w:divBdr>
        <w:top w:val="none" w:sz="0" w:space="0" w:color="auto"/>
        <w:left w:val="none" w:sz="0" w:space="0" w:color="auto"/>
        <w:bottom w:val="none" w:sz="0" w:space="0" w:color="auto"/>
        <w:right w:val="none" w:sz="0" w:space="0" w:color="auto"/>
      </w:divBdr>
    </w:div>
    <w:div w:id="2016418427">
      <w:bodyDiv w:val="1"/>
      <w:marLeft w:val="0"/>
      <w:marRight w:val="0"/>
      <w:marTop w:val="0"/>
      <w:marBottom w:val="0"/>
      <w:divBdr>
        <w:top w:val="none" w:sz="0" w:space="0" w:color="auto"/>
        <w:left w:val="none" w:sz="0" w:space="0" w:color="auto"/>
        <w:bottom w:val="none" w:sz="0" w:space="0" w:color="auto"/>
        <w:right w:val="none" w:sz="0" w:space="0" w:color="auto"/>
      </w:divBdr>
    </w:div>
    <w:div w:id="2020542288">
      <w:bodyDiv w:val="1"/>
      <w:marLeft w:val="0"/>
      <w:marRight w:val="0"/>
      <w:marTop w:val="0"/>
      <w:marBottom w:val="0"/>
      <w:divBdr>
        <w:top w:val="none" w:sz="0" w:space="0" w:color="auto"/>
        <w:left w:val="none" w:sz="0" w:space="0" w:color="auto"/>
        <w:bottom w:val="none" w:sz="0" w:space="0" w:color="auto"/>
        <w:right w:val="none" w:sz="0" w:space="0" w:color="auto"/>
      </w:divBdr>
    </w:div>
    <w:div w:id="2021420725">
      <w:bodyDiv w:val="1"/>
      <w:marLeft w:val="0"/>
      <w:marRight w:val="0"/>
      <w:marTop w:val="0"/>
      <w:marBottom w:val="0"/>
      <w:divBdr>
        <w:top w:val="none" w:sz="0" w:space="0" w:color="auto"/>
        <w:left w:val="none" w:sz="0" w:space="0" w:color="auto"/>
        <w:bottom w:val="none" w:sz="0" w:space="0" w:color="auto"/>
        <w:right w:val="none" w:sz="0" w:space="0" w:color="auto"/>
      </w:divBdr>
    </w:div>
    <w:div w:id="2026243932">
      <w:bodyDiv w:val="1"/>
      <w:marLeft w:val="0"/>
      <w:marRight w:val="0"/>
      <w:marTop w:val="0"/>
      <w:marBottom w:val="0"/>
      <w:divBdr>
        <w:top w:val="none" w:sz="0" w:space="0" w:color="auto"/>
        <w:left w:val="none" w:sz="0" w:space="0" w:color="auto"/>
        <w:bottom w:val="none" w:sz="0" w:space="0" w:color="auto"/>
        <w:right w:val="none" w:sz="0" w:space="0" w:color="auto"/>
      </w:divBdr>
    </w:div>
    <w:div w:id="2029133242">
      <w:bodyDiv w:val="1"/>
      <w:marLeft w:val="0"/>
      <w:marRight w:val="0"/>
      <w:marTop w:val="0"/>
      <w:marBottom w:val="0"/>
      <w:divBdr>
        <w:top w:val="none" w:sz="0" w:space="0" w:color="auto"/>
        <w:left w:val="none" w:sz="0" w:space="0" w:color="auto"/>
        <w:bottom w:val="none" w:sz="0" w:space="0" w:color="auto"/>
        <w:right w:val="none" w:sz="0" w:space="0" w:color="auto"/>
      </w:divBdr>
    </w:div>
    <w:div w:id="2029257692">
      <w:bodyDiv w:val="1"/>
      <w:marLeft w:val="0"/>
      <w:marRight w:val="0"/>
      <w:marTop w:val="0"/>
      <w:marBottom w:val="0"/>
      <w:divBdr>
        <w:top w:val="none" w:sz="0" w:space="0" w:color="auto"/>
        <w:left w:val="none" w:sz="0" w:space="0" w:color="auto"/>
        <w:bottom w:val="none" w:sz="0" w:space="0" w:color="auto"/>
        <w:right w:val="none" w:sz="0" w:space="0" w:color="auto"/>
      </w:divBdr>
    </w:div>
    <w:div w:id="2029519633">
      <w:bodyDiv w:val="1"/>
      <w:marLeft w:val="0"/>
      <w:marRight w:val="0"/>
      <w:marTop w:val="0"/>
      <w:marBottom w:val="0"/>
      <w:divBdr>
        <w:top w:val="none" w:sz="0" w:space="0" w:color="auto"/>
        <w:left w:val="none" w:sz="0" w:space="0" w:color="auto"/>
        <w:bottom w:val="none" w:sz="0" w:space="0" w:color="auto"/>
        <w:right w:val="none" w:sz="0" w:space="0" w:color="auto"/>
      </w:divBdr>
    </w:div>
    <w:div w:id="2029524240">
      <w:bodyDiv w:val="1"/>
      <w:marLeft w:val="0"/>
      <w:marRight w:val="0"/>
      <w:marTop w:val="0"/>
      <w:marBottom w:val="0"/>
      <w:divBdr>
        <w:top w:val="none" w:sz="0" w:space="0" w:color="auto"/>
        <w:left w:val="none" w:sz="0" w:space="0" w:color="auto"/>
        <w:bottom w:val="none" w:sz="0" w:space="0" w:color="auto"/>
        <w:right w:val="none" w:sz="0" w:space="0" w:color="auto"/>
      </w:divBdr>
    </w:div>
    <w:div w:id="2031908591">
      <w:bodyDiv w:val="1"/>
      <w:marLeft w:val="0"/>
      <w:marRight w:val="0"/>
      <w:marTop w:val="0"/>
      <w:marBottom w:val="0"/>
      <w:divBdr>
        <w:top w:val="none" w:sz="0" w:space="0" w:color="auto"/>
        <w:left w:val="none" w:sz="0" w:space="0" w:color="auto"/>
        <w:bottom w:val="none" w:sz="0" w:space="0" w:color="auto"/>
        <w:right w:val="none" w:sz="0" w:space="0" w:color="auto"/>
      </w:divBdr>
    </w:div>
    <w:div w:id="2032148715">
      <w:bodyDiv w:val="1"/>
      <w:marLeft w:val="0"/>
      <w:marRight w:val="0"/>
      <w:marTop w:val="0"/>
      <w:marBottom w:val="0"/>
      <w:divBdr>
        <w:top w:val="none" w:sz="0" w:space="0" w:color="auto"/>
        <w:left w:val="none" w:sz="0" w:space="0" w:color="auto"/>
        <w:bottom w:val="none" w:sz="0" w:space="0" w:color="auto"/>
        <w:right w:val="none" w:sz="0" w:space="0" w:color="auto"/>
      </w:divBdr>
    </w:div>
    <w:div w:id="2038236205">
      <w:bodyDiv w:val="1"/>
      <w:marLeft w:val="0"/>
      <w:marRight w:val="0"/>
      <w:marTop w:val="0"/>
      <w:marBottom w:val="0"/>
      <w:divBdr>
        <w:top w:val="none" w:sz="0" w:space="0" w:color="auto"/>
        <w:left w:val="none" w:sz="0" w:space="0" w:color="auto"/>
        <w:bottom w:val="none" w:sz="0" w:space="0" w:color="auto"/>
        <w:right w:val="none" w:sz="0" w:space="0" w:color="auto"/>
      </w:divBdr>
    </w:div>
    <w:div w:id="2038890953">
      <w:bodyDiv w:val="1"/>
      <w:marLeft w:val="0"/>
      <w:marRight w:val="0"/>
      <w:marTop w:val="0"/>
      <w:marBottom w:val="0"/>
      <w:divBdr>
        <w:top w:val="none" w:sz="0" w:space="0" w:color="auto"/>
        <w:left w:val="none" w:sz="0" w:space="0" w:color="auto"/>
        <w:bottom w:val="none" w:sz="0" w:space="0" w:color="auto"/>
        <w:right w:val="none" w:sz="0" w:space="0" w:color="auto"/>
      </w:divBdr>
    </w:div>
    <w:div w:id="2040353085">
      <w:bodyDiv w:val="1"/>
      <w:marLeft w:val="0"/>
      <w:marRight w:val="0"/>
      <w:marTop w:val="0"/>
      <w:marBottom w:val="0"/>
      <w:divBdr>
        <w:top w:val="none" w:sz="0" w:space="0" w:color="auto"/>
        <w:left w:val="none" w:sz="0" w:space="0" w:color="auto"/>
        <w:bottom w:val="none" w:sz="0" w:space="0" w:color="auto"/>
        <w:right w:val="none" w:sz="0" w:space="0" w:color="auto"/>
      </w:divBdr>
    </w:div>
    <w:div w:id="2042902300">
      <w:bodyDiv w:val="1"/>
      <w:marLeft w:val="0"/>
      <w:marRight w:val="0"/>
      <w:marTop w:val="0"/>
      <w:marBottom w:val="0"/>
      <w:divBdr>
        <w:top w:val="none" w:sz="0" w:space="0" w:color="auto"/>
        <w:left w:val="none" w:sz="0" w:space="0" w:color="auto"/>
        <w:bottom w:val="none" w:sz="0" w:space="0" w:color="auto"/>
        <w:right w:val="none" w:sz="0" w:space="0" w:color="auto"/>
      </w:divBdr>
    </w:div>
    <w:div w:id="2044405612">
      <w:bodyDiv w:val="1"/>
      <w:marLeft w:val="0"/>
      <w:marRight w:val="0"/>
      <w:marTop w:val="0"/>
      <w:marBottom w:val="0"/>
      <w:divBdr>
        <w:top w:val="none" w:sz="0" w:space="0" w:color="auto"/>
        <w:left w:val="none" w:sz="0" w:space="0" w:color="auto"/>
        <w:bottom w:val="none" w:sz="0" w:space="0" w:color="auto"/>
        <w:right w:val="none" w:sz="0" w:space="0" w:color="auto"/>
      </w:divBdr>
    </w:div>
    <w:div w:id="2044745538">
      <w:bodyDiv w:val="1"/>
      <w:marLeft w:val="0"/>
      <w:marRight w:val="0"/>
      <w:marTop w:val="0"/>
      <w:marBottom w:val="0"/>
      <w:divBdr>
        <w:top w:val="none" w:sz="0" w:space="0" w:color="auto"/>
        <w:left w:val="none" w:sz="0" w:space="0" w:color="auto"/>
        <w:bottom w:val="none" w:sz="0" w:space="0" w:color="auto"/>
        <w:right w:val="none" w:sz="0" w:space="0" w:color="auto"/>
      </w:divBdr>
    </w:div>
    <w:div w:id="2045133738">
      <w:bodyDiv w:val="1"/>
      <w:marLeft w:val="0"/>
      <w:marRight w:val="0"/>
      <w:marTop w:val="0"/>
      <w:marBottom w:val="0"/>
      <w:divBdr>
        <w:top w:val="none" w:sz="0" w:space="0" w:color="auto"/>
        <w:left w:val="none" w:sz="0" w:space="0" w:color="auto"/>
        <w:bottom w:val="none" w:sz="0" w:space="0" w:color="auto"/>
        <w:right w:val="none" w:sz="0" w:space="0" w:color="auto"/>
      </w:divBdr>
    </w:div>
    <w:div w:id="2045324981">
      <w:bodyDiv w:val="1"/>
      <w:marLeft w:val="0"/>
      <w:marRight w:val="0"/>
      <w:marTop w:val="0"/>
      <w:marBottom w:val="0"/>
      <w:divBdr>
        <w:top w:val="none" w:sz="0" w:space="0" w:color="auto"/>
        <w:left w:val="none" w:sz="0" w:space="0" w:color="auto"/>
        <w:bottom w:val="none" w:sz="0" w:space="0" w:color="auto"/>
        <w:right w:val="none" w:sz="0" w:space="0" w:color="auto"/>
      </w:divBdr>
    </w:div>
    <w:div w:id="2045327910">
      <w:bodyDiv w:val="1"/>
      <w:marLeft w:val="0"/>
      <w:marRight w:val="0"/>
      <w:marTop w:val="0"/>
      <w:marBottom w:val="0"/>
      <w:divBdr>
        <w:top w:val="none" w:sz="0" w:space="0" w:color="auto"/>
        <w:left w:val="none" w:sz="0" w:space="0" w:color="auto"/>
        <w:bottom w:val="none" w:sz="0" w:space="0" w:color="auto"/>
        <w:right w:val="none" w:sz="0" w:space="0" w:color="auto"/>
      </w:divBdr>
    </w:div>
    <w:div w:id="2047371045">
      <w:bodyDiv w:val="1"/>
      <w:marLeft w:val="0"/>
      <w:marRight w:val="0"/>
      <w:marTop w:val="0"/>
      <w:marBottom w:val="0"/>
      <w:divBdr>
        <w:top w:val="none" w:sz="0" w:space="0" w:color="auto"/>
        <w:left w:val="none" w:sz="0" w:space="0" w:color="auto"/>
        <w:bottom w:val="none" w:sz="0" w:space="0" w:color="auto"/>
        <w:right w:val="none" w:sz="0" w:space="0" w:color="auto"/>
      </w:divBdr>
    </w:div>
    <w:div w:id="2049333677">
      <w:bodyDiv w:val="1"/>
      <w:marLeft w:val="0"/>
      <w:marRight w:val="0"/>
      <w:marTop w:val="0"/>
      <w:marBottom w:val="0"/>
      <w:divBdr>
        <w:top w:val="none" w:sz="0" w:space="0" w:color="auto"/>
        <w:left w:val="none" w:sz="0" w:space="0" w:color="auto"/>
        <w:bottom w:val="none" w:sz="0" w:space="0" w:color="auto"/>
        <w:right w:val="none" w:sz="0" w:space="0" w:color="auto"/>
      </w:divBdr>
    </w:div>
    <w:div w:id="2049791245">
      <w:bodyDiv w:val="1"/>
      <w:marLeft w:val="0"/>
      <w:marRight w:val="0"/>
      <w:marTop w:val="0"/>
      <w:marBottom w:val="0"/>
      <w:divBdr>
        <w:top w:val="none" w:sz="0" w:space="0" w:color="auto"/>
        <w:left w:val="none" w:sz="0" w:space="0" w:color="auto"/>
        <w:bottom w:val="none" w:sz="0" w:space="0" w:color="auto"/>
        <w:right w:val="none" w:sz="0" w:space="0" w:color="auto"/>
      </w:divBdr>
    </w:div>
    <w:div w:id="2051027064">
      <w:bodyDiv w:val="1"/>
      <w:marLeft w:val="0"/>
      <w:marRight w:val="0"/>
      <w:marTop w:val="0"/>
      <w:marBottom w:val="0"/>
      <w:divBdr>
        <w:top w:val="none" w:sz="0" w:space="0" w:color="auto"/>
        <w:left w:val="none" w:sz="0" w:space="0" w:color="auto"/>
        <w:bottom w:val="none" w:sz="0" w:space="0" w:color="auto"/>
        <w:right w:val="none" w:sz="0" w:space="0" w:color="auto"/>
      </w:divBdr>
    </w:div>
    <w:div w:id="2053654838">
      <w:bodyDiv w:val="1"/>
      <w:marLeft w:val="0"/>
      <w:marRight w:val="0"/>
      <w:marTop w:val="0"/>
      <w:marBottom w:val="0"/>
      <w:divBdr>
        <w:top w:val="none" w:sz="0" w:space="0" w:color="auto"/>
        <w:left w:val="none" w:sz="0" w:space="0" w:color="auto"/>
        <w:bottom w:val="none" w:sz="0" w:space="0" w:color="auto"/>
        <w:right w:val="none" w:sz="0" w:space="0" w:color="auto"/>
      </w:divBdr>
    </w:div>
    <w:div w:id="2054579756">
      <w:bodyDiv w:val="1"/>
      <w:marLeft w:val="0"/>
      <w:marRight w:val="0"/>
      <w:marTop w:val="0"/>
      <w:marBottom w:val="0"/>
      <w:divBdr>
        <w:top w:val="none" w:sz="0" w:space="0" w:color="auto"/>
        <w:left w:val="none" w:sz="0" w:space="0" w:color="auto"/>
        <w:bottom w:val="none" w:sz="0" w:space="0" w:color="auto"/>
        <w:right w:val="none" w:sz="0" w:space="0" w:color="auto"/>
      </w:divBdr>
    </w:div>
    <w:div w:id="2056813291">
      <w:bodyDiv w:val="1"/>
      <w:marLeft w:val="0"/>
      <w:marRight w:val="0"/>
      <w:marTop w:val="0"/>
      <w:marBottom w:val="0"/>
      <w:divBdr>
        <w:top w:val="none" w:sz="0" w:space="0" w:color="auto"/>
        <w:left w:val="none" w:sz="0" w:space="0" w:color="auto"/>
        <w:bottom w:val="none" w:sz="0" w:space="0" w:color="auto"/>
        <w:right w:val="none" w:sz="0" w:space="0" w:color="auto"/>
      </w:divBdr>
    </w:div>
    <w:div w:id="2058699011">
      <w:bodyDiv w:val="1"/>
      <w:marLeft w:val="0"/>
      <w:marRight w:val="0"/>
      <w:marTop w:val="0"/>
      <w:marBottom w:val="0"/>
      <w:divBdr>
        <w:top w:val="none" w:sz="0" w:space="0" w:color="auto"/>
        <w:left w:val="none" w:sz="0" w:space="0" w:color="auto"/>
        <w:bottom w:val="none" w:sz="0" w:space="0" w:color="auto"/>
        <w:right w:val="none" w:sz="0" w:space="0" w:color="auto"/>
      </w:divBdr>
    </w:div>
    <w:div w:id="2059160288">
      <w:bodyDiv w:val="1"/>
      <w:marLeft w:val="0"/>
      <w:marRight w:val="0"/>
      <w:marTop w:val="0"/>
      <w:marBottom w:val="0"/>
      <w:divBdr>
        <w:top w:val="none" w:sz="0" w:space="0" w:color="auto"/>
        <w:left w:val="none" w:sz="0" w:space="0" w:color="auto"/>
        <w:bottom w:val="none" w:sz="0" w:space="0" w:color="auto"/>
        <w:right w:val="none" w:sz="0" w:space="0" w:color="auto"/>
      </w:divBdr>
    </w:div>
    <w:div w:id="2061391798">
      <w:bodyDiv w:val="1"/>
      <w:marLeft w:val="0"/>
      <w:marRight w:val="0"/>
      <w:marTop w:val="0"/>
      <w:marBottom w:val="0"/>
      <w:divBdr>
        <w:top w:val="none" w:sz="0" w:space="0" w:color="auto"/>
        <w:left w:val="none" w:sz="0" w:space="0" w:color="auto"/>
        <w:bottom w:val="none" w:sz="0" w:space="0" w:color="auto"/>
        <w:right w:val="none" w:sz="0" w:space="0" w:color="auto"/>
      </w:divBdr>
    </w:div>
    <w:div w:id="2063864826">
      <w:bodyDiv w:val="1"/>
      <w:marLeft w:val="0"/>
      <w:marRight w:val="0"/>
      <w:marTop w:val="0"/>
      <w:marBottom w:val="0"/>
      <w:divBdr>
        <w:top w:val="none" w:sz="0" w:space="0" w:color="auto"/>
        <w:left w:val="none" w:sz="0" w:space="0" w:color="auto"/>
        <w:bottom w:val="none" w:sz="0" w:space="0" w:color="auto"/>
        <w:right w:val="none" w:sz="0" w:space="0" w:color="auto"/>
      </w:divBdr>
    </w:div>
    <w:div w:id="2064983762">
      <w:bodyDiv w:val="1"/>
      <w:marLeft w:val="0"/>
      <w:marRight w:val="0"/>
      <w:marTop w:val="0"/>
      <w:marBottom w:val="0"/>
      <w:divBdr>
        <w:top w:val="none" w:sz="0" w:space="0" w:color="auto"/>
        <w:left w:val="none" w:sz="0" w:space="0" w:color="auto"/>
        <w:bottom w:val="none" w:sz="0" w:space="0" w:color="auto"/>
        <w:right w:val="none" w:sz="0" w:space="0" w:color="auto"/>
      </w:divBdr>
    </w:div>
    <w:div w:id="2065445146">
      <w:bodyDiv w:val="1"/>
      <w:marLeft w:val="0"/>
      <w:marRight w:val="0"/>
      <w:marTop w:val="0"/>
      <w:marBottom w:val="0"/>
      <w:divBdr>
        <w:top w:val="none" w:sz="0" w:space="0" w:color="auto"/>
        <w:left w:val="none" w:sz="0" w:space="0" w:color="auto"/>
        <w:bottom w:val="none" w:sz="0" w:space="0" w:color="auto"/>
        <w:right w:val="none" w:sz="0" w:space="0" w:color="auto"/>
      </w:divBdr>
    </w:div>
    <w:div w:id="2070029531">
      <w:bodyDiv w:val="1"/>
      <w:marLeft w:val="0"/>
      <w:marRight w:val="0"/>
      <w:marTop w:val="0"/>
      <w:marBottom w:val="0"/>
      <w:divBdr>
        <w:top w:val="none" w:sz="0" w:space="0" w:color="auto"/>
        <w:left w:val="none" w:sz="0" w:space="0" w:color="auto"/>
        <w:bottom w:val="none" w:sz="0" w:space="0" w:color="auto"/>
        <w:right w:val="none" w:sz="0" w:space="0" w:color="auto"/>
      </w:divBdr>
    </w:div>
    <w:div w:id="2074967015">
      <w:bodyDiv w:val="1"/>
      <w:marLeft w:val="0"/>
      <w:marRight w:val="0"/>
      <w:marTop w:val="0"/>
      <w:marBottom w:val="0"/>
      <w:divBdr>
        <w:top w:val="none" w:sz="0" w:space="0" w:color="auto"/>
        <w:left w:val="none" w:sz="0" w:space="0" w:color="auto"/>
        <w:bottom w:val="none" w:sz="0" w:space="0" w:color="auto"/>
        <w:right w:val="none" w:sz="0" w:space="0" w:color="auto"/>
      </w:divBdr>
    </w:div>
    <w:div w:id="2076320630">
      <w:bodyDiv w:val="1"/>
      <w:marLeft w:val="0"/>
      <w:marRight w:val="0"/>
      <w:marTop w:val="0"/>
      <w:marBottom w:val="0"/>
      <w:divBdr>
        <w:top w:val="none" w:sz="0" w:space="0" w:color="auto"/>
        <w:left w:val="none" w:sz="0" w:space="0" w:color="auto"/>
        <w:bottom w:val="none" w:sz="0" w:space="0" w:color="auto"/>
        <w:right w:val="none" w:sz="0" w:space="0" w:color="auto"/>
      </w:divBdr>
    </w:div>
    <w:div w:id="2078045707">
      <w:bodyDiv w:val="1"/>
      <w:marLeft w:val="0"/>
      <w:marRight w:val="0"/>
      <w:marTop w:val="0"/>
      <w:marBottom w:val="0"/>
      <w:divBdr>
        <w:top w:val="none" w:sz="0" w:space="0" w:color="auto"/>
        <w:left w:val="none" w:sz="0" w:space="0" w:color="auto"/>
        <w:bottom w:val="none" w:sz="0" w:space="0" w:color="auto"/>
        <w:right w:val="none" w:sz="0" w:space="0" w:color="auto"/>
      </w:divBdr>
    </w:div>
    <w:div w:id="2082872390">
      <w:bodyDiv w:val="1"/>
      <w:marLeft w:val="0"/>
      <w:marRight w:val="0"/>
      <w:marTop w:val="0"/>
      <w:marBottom w:val="0"/>
      <w:divBdr>
        <w:top w:val="none" w:sz="0" w:space="0" w:color="auto"/>
        <w:left w:val="none" w:sz="0" w:space="0" w:color="auto"/>
        <w:bottom w:val="none" w:sz="0" w:space="0" w:color="auto"/>
        <w:right w:val="none" w:sz="0" w:space="0" w:color="auto"/>
      </w:divBdr>
    </w:div>
    <w:div w:id="2083020713">
      <w:bodyDiv w:val="1"/>
      <w:marLeft w:val="0"/>
      <w:marRight w:val="0"/>
      <w:marTop w:val="0"/>
      <w:marBottom w:val="0"/>
      <w:divBdr>
        <w:top w:val="none" w:sz="0" w:space="0" w:color="auto"/>
        <w:left w:val="none" w:sz="0" w:space="0" w:color="auto"/>
        <w:bottom w:val="none" w:sz="0" w:space="0" w:color="auto"/>
        <w:right w:val="none" w:sz="0" w:space="0" w:color="auto"/>
      </w:divBdr>
    </w:div>
    <w:div w:id="2087994177">
      <w:bodyDiv w:val="1"/>
      <w:marLeft w:val="0"/>
      <w:marRight w:val="0"/>
      <w:marTop w:val="0"/>
      <w:marBottom w:val="0"/>
      <w:divBdr>
        <w:top w:val="none" w:sz="0" w:space="0" w:color="auto"/>
        <w:left w:val="none" w:sz="0" w:space="0" w:color="auto"/>
        <w:bottom w:val="none" w:sz="0" w:space="0" w:color="auto"/>
        <w:right w:val="none" w:sz="0" w:space="0" w:color="auto"/>
      </w:divBdr>
    </w:div>
    <w:div w:id="2089420786">
      <w:bodyDiv w:val="1"/>
      <w:marLeft w:val="0"/>
      <w:marRight w:val="0"/>
      <w:marTop w:val="0"/>
      <w:marBottom w:val="0"/>
      <w:divBdr>
        <w:top w:val="none" w:sz="0" w:space="0" w:color="auto"/>
        <w:left w:val="none" w:sz="0" w:space="0" w:color="auto"/>
        <w:bottom w:val="none" w:sz="0" w:space="0" w:color="auto"/>
        <w:right w:val="none" w:sz="0" w:space="0" w:color="auto"/>
      </w:divBdr>
    </w:div>
    <w:div w:id="2089495102">
      <w:bodyDiv w:val="1"/>
      <w:marLeft w:val="0"/>
      <w:marRight w:val="0"/>
      <w:marTop w:val="0"/>
      <w:marBottom w:val="0"/>
      <w:divBdr>
        <w:top w:val="none" w:sz="0" w:space="0" w:color="auto"/>
        <w:left w:val="none" w:sz="0" w:space="0" w:color="auto"/>
        <w:bottom w:val="none" w:sz="0" w:space="0" w:color="auto"/>
        <w:right w:val="none" w:sz="0" w:space="0" w:color="auto"/>
      </w:divBdr>
    </w:div>
    <w:div w:id="2096314930">
      <w:bodyDiv w:val="1"/>
      <w:marLeft w:val="0"/>
      <w:marRight w:val="0"/>
      <w:marTop w:val="0"/>
      <w:marBottom w:val="0"/>
      <w:divBdr>
        <w:top w:val="none" w:sz="0" w:space="0" w:color="auto"/>
        <w:left w:val="none" w:sz="0" w:space="0" w:color="auto"/>
        <w:bottom w:val="none" w:sz="0" w:space="0" w:color="auto"/>
        <w:right w:val="none" w:sz="0" w:space="0" w:color="auto"/>
      </w:divBdr>
    </w:div>
    <w:div w:id="2106731019">
      <w:bodyDiv w:val="1"/>
      <w:marLeft w:val="0"/>
      <w:marRight w:val="0"/>
      <w:marTop w:val="0"/>
      <w:marBottom w:val="0"/>
      <w:divBdr>
        <w:top w:val="none" w:sz="0" w:space="0" w:color="auto"/>
        <w:left w:val="none" w:sz="0" w:space="0" w:color="auto"/>
        <w:bottom w:val="none" w:sz="0" w:space="0" w:color="auto"/>
        <w:right w:val="none" w:sz="0" w:space="0" w:color="auto"/>
      </w:divBdr>
    </w:div>
    <w:div w:id="2107380149">
      <w:bodyDiv w:val="1"/>
      <w:marLeft w:val="0"/>
      <w:marRight w:val="0"/>
      <w:marTop w:val="0"/>
      <w:marBottom w:val="0"/>
      <w:divBdr>
        <w:top w:val="none" w:sz="0" w:space="0" w:color="auto"/>
        <w:left w:val="none" w:sz="0" w:space="0" w:color="auto"/>
        <w:bottom w:val="none" w:sz="0" w:space="0" w:color="auto"/>
        <w:right w:val="none" w:sz="0" w:space="0" w:color="auto"/>
      </w:divBdr>
    </w:div>
    <w:div w:id="2111197590">
      <w:bodyDiv w:val="1"/>
      <w:marLeft w:val="0"/>
      <w:marRight w:val="0"/>
      <w:marTop w:val="0"/>
      <w:marBottom w:val="0"/>
      <w:divBdr>
        <w:top w:val="none" w:sz="0" w:space="0" w:color="auto"/>
        <w:left w:val="none" w:sz="0" w:space="0" w:color="auto"/>
        <w:bottom w:val="none" w:sz="0" w:space="0" w:color="auto"/>
        <w:right w:val="none" w:sz="0" w:space="0" w:color="auto"/>
      </w:divBdr>
    </w:div>
    <w:div w:id="2112310926">
      <w:bodyDiv w:val="1"/>
      <w:marLeft w:val="0"/>
      <w:marRight w:val="0"/>
      <w:marTop w:val="0"/>
      <w:marBottom w:val="0"/>
      <w:divBdr>
        <w:top w:val="none" w:sz="0" w:space="0" w:color="auto"/>
        <w:left w:val="none" w:sz="0" w:space="0" w:color="auto"/>
        <w:bottom w:val="none" w:sz="0" w:space="0" w:color="auto"/>
        <w:right w:val="none" w:sz="0" w:space="0" w:color="auto"/>
      </w:divBdr>
    </w:div>
    <w:div w:id="2113236266">
      <w:bodyDiv w:val="1"/>
      <w:marLeft w:val="0"/>
      <w:marRight w:val="0"/>
      <w:marTop w:val="0"/>
      <w:marBottom w:val="0"/>
      <w:divBdr>
        <w:top w:val="none" w:sz="0" w:space="0" w:color="auto"/>
        <w:left w:val="none" w:sz="0" w:space="0" w:color="auto"/>
        <w:bottom w:val="none" w:sz="0" w:space="0" w:color="auto"/>
        <w:right w:val="none" w:sz="0" w:space="0" w:color="auto"/>
      </w:divBdr>
    </w:div>
    <w:div w:id="2113428994">
      <w:bodyDiv w:val="1"/>
      <w:marLeft w:val="0"/>
      <w:marRight w:val="0"/>
      <w:marTop w:val="0"/>
      <w:marBottom w:val="0"/>
      <w:divBdr>
        <w:top w:val="none" w:sz="0" w:space="0" w:color="auto"/>
        <w:left w:val="none" w:sz="0" w:space="0" w:color="auto"/>
        <w:bottom w:val="none" w:sz="0" w:space="0" w:color="auto"/>
        <w:right w:val="none" w:sz="0" w:space="0" w:color="auto"/>
      </w:divBdr>
    </w:div>
    <w:div w:id="2117170094">
      <w:bodyDiv w:val="1"/>
      <w:marLeft w:val="0"/>
      <w:marRight w:val="0"/>
      <w:marTop w:val="0"/>
      <w:marBottom w:val="0"/>
      <w:divBdr>
        <w:top w:val="none" w:sz="0" w:space="0" w:color="auto"/>
        <w:left w:val="none" w:sz="0" w:space="0" w:color="auto"/>
        <w:bottom w:val="none" w:sz="0" w:space="0" w:color="auto"/>
        <w:right w:val="none" w:sz="0" w:space="0" w:color="auto"/>
      </w:divBdr>
    </w:div>
    <w:div w:id="2117361222">
      <w:bodyDiv w:val="1"/>
      <w:marLeft w:val="0"/>
      <w:marRight w:val="0"/>
      <w:marTop w:val="0"/>
      <w:marBottom w:val="0"/>
      <w:divBdr>
        <w:top w:val="none" w:sz="0" w:space="0" w:color="auto"/>
        <w:left w:val="none" w:sz="0" w:space="0" w:color="auto"/>
        <w:bottom w:val="none" w:sz="0" w:space="0" w:color="auto"/>
        <w:right w:val="none" w:sz="0" w:space="0" w:color="auto"/>
      </w:divBdr>
    </w:div>
    <w:div w:id="2119718988">
      <w:bodyDiv w:val="1"/>
      <w:marLeft w:val="0"/>
      <w:marRight w:val="0"/>
      <w:marTop w:val="0"/>
      <w:marBottom w:val="0"/>
      <w:divBdr>
        <w:top w:val="none" w:sz="0" w:space="0" w:color="auto"/>
        <w:left w:val="none" w:sz="0" w:space="0" w:color="auto"/>
        <w:bottom w:val="none" w:sz="0" w:space="0" w:color="auto"/>
        <w:right w:val="none" w:sz="0" w:space="0" w:color="auto"/>
      </w:divBdr>
    </w:div>
    <w:div w:id="2121608418">
      <w:bodyDiv w:val="1"/>
      <w:marLeft w:val="0"/>
      <w:marRight w:val="0"/>
      <w:marTop w:val="0"/>
      <w:marBottom w:val="0"/>
      <w:divBdr>
        <w:top w:val="none" w:sz="0" w:space="0" w:color="auto"/>
        <w:left w:val="none" w:sz="0" w:space="0" w:color="auto"/>
        <w:bottom w:val="none" w:sz="0" w:space="0" w:color="auto"/>
        <w:right w:val="none" w:sz="0" w:space="0" w:color="auto"/>
      </w:divBdr>
    </w:div>
    <w:div w:id="2124616024">
      <w:bodyDiv w:val="1"/>
      <w:marLeft w:val="0"/>
      <w:marRight w:val="0"/>
      <w:marTop w:val="0"/>
      <w:marBottom w:val="0"/>
      <w:divBdr>
        <w:top w:val="none" w:sz="0" w:space="0" w:color="auto"/>
        <w:left w:val="none" w:sz="0" w:space="0" w:color="auto"/>
        <w:bottom w:val="none" w:sz="0" w:space="0" w:color="auto"/>
        <w:right w:val="none" w:sz="0" w:space="0" w:color="auto"/>
      </w:divBdr>
    </w:div>
    <w:div w:id="2126580880">
      <w:bodyDiv w:val="1"/>
      <w:marLeft w:val="0"/>
      <w:marRight w:val="0"/>
      <w:marTop w:val="0"/>
      <w:marBottom w:val="0"/>
      <w:divBdr>
        <w:top w:val="none" w:sz="0" w:space="0" w:color="auto"/>
        <w:left w:val="none" w:sz="0" w:space="0" w:color="auto"/>
        <w:bottom w:val="none" w:sz="0" w:space="0" w:color="auto"/>
        <w:right w:val="none" w:sz="0" w:space="0" w:color="auto"/>
      </w:divBdr>
    </w:div>
    <w:div w:id="2128312864">
      <w:bodyDiv w:val="1"/>
      <w:marLeft w:val="0"/>
      <w:marRight w:val="0"/>
      <w:marTop w:val="0"/>
      <w:marBottom w:val="0"/>
      <w:divBdr>
        <w:top w:val="none" w:sz="0" w:space="0" w:color="auto"/>
        <w:left w:val="none" w:sz="0" w:space="0" w:color="auto"/>
        <w:bottom w:val="none" w:sz="0" w:space="0" w:color="auto"/>
        <w:right w:val="none" w:sz="0" w:space="0" w:color="auto"/>
      </w:divBdr>
    </w:div>
    <w:div w:id="2145076757">
      <w:bodyDiv w:val="1"/>
      <w:marLeft w:val="0"/>
      <w:marRight w:val="0"/>
      <w:marTop w:val="0"/>
      <w:marBottom w:val="0"/>
      <w:divBdr>
        <w:top w:val="none" w:sz="0" w:space="0" w:color="auto"/>
        <w:left w:val="none" w:sz="0" w:space="0" w:color="auto"/>
        <w:bottom w:val="none" w:sz="0" w:space="0" w:color="auto"/>
        <w:right w:val="none" w:sz="0" w:space="0" w:color="auto"/>
      </w:divBdr>
    </w:div>
    <w:div w:id="2145417874">
      <w:bodyDiv w:val="1"/>
      <w:marLeft w:val="0"/>
      <w:marRight w:val="0"/>
      <w:marTop w:val="0"/>
      <w:marBottom w:val="0"/>
      <w:divBdr>
        <w:top w:val="none" w:sz="0" w:space="0" w:color="auto"/>
        <w:left w:val="none" w:sz="0" w:space="0" w:color="auto"/>
        <w:bottom w:val="none" w:sz="0" w:space="0" w:color="auto"/>
        <w:right w:val="none" w:sz="0" w:space="0" w:color="auto"/>
      </w:divBdr>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header" Target="header12.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image" Target="media/image12.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footer" Target="footer7.xml"/><Relationship Id="rId45"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14.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s://www.minfin.bg/upload/60535/RMC28.pdf" TargetMode="External"/><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image" Target="media/image13.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databrowser/view/gov_cl_liab__custom_18387252/default/table" TargetMode="External"/><Relationship Id="rId1" Type="http://schemas.openxmlformats.org/officeDocument/2006/relationships/hyperlink" Target="https://eur-lex.europa.eu/legal-content/BG/TXT/PDF/?uri=OJ:L_202401265"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1123561415155"/>
          <c:y val="2.6369523282262306E-2"/>
          <c:w val="0.80405643295864337"/>
          <c:h val="0.9240148690446145"/>
        </c:manualLayout>
      </c:layout>
      <c:barChart>
        <c:barDir val="bar"/>
        <c:grouping val="clustered"/>
        <c:varyColors val="0"/>
        <c:ser>
          <c:idx val="0"/>
          <c:order val="0"/>
          <c:spPr>
            <a:solidFill>
              <a:schemeClr val="accent1"/>
            </a:solidFill>
          </c:spPr>
          <c:invertIfNegative val="0"/>
          <c:dPt>
            <c:idx val="24"/>
            <c:invertIfNegative val="0"/>
            <c:bubble3D val="0"/>
            <c:spPr>
              <a:solidFill>
                <a:srgbClr val="0070C0"/>
              </a:solidFill>
              <a:ln>
                <a:solidFill>
                  <a:srgbClr val="00B0F0"/>
                </a:solidFill>
              </a:ln>
            </c:spPr>
            <c:extLst>
              <c:ext xmlns:c16="http://schemas.microsoft.com/office/drawing/2014/chart" uri="{C3380CC4-5D6E-409C-BE32-E72D297353CC}">
                <c16:uniqueId val="{00000001-1BFC-4D4C-8E26-A107D0AF4880}"/>
              </c:ext>
            </c:extLst>
          </c:dPt>
          <c:dPt>
            <c:idx val="25"/>
            <c:invertIfNegative val="0"/>
            <c:bubble3D val="0"/>
            <c:spPr>
              <a:solidFill>
                <a:schemeClr val="accent1"/>
              </a:solidFill>
              <a:ln>
                <a:solidFill>
                  <a:schemeClr val="tx2">
                    <a:lumMod val="75000"/>
                  </a:schemeClr>
                </a:solidFill>
              </a:ln>
            </c:spPr>
            <c:extLst>
              <c:ext xmlns:c16="http://schemas.microsoft.com/office/drawing/2014/chart" uri="{C3380CC4-5D6E-409C-BE32-E72D297353CC}">
                <c16:uniqueId val="{00000003-1BFC-4D4C-8E26-A107D0AF4880}"/>
              </c:ext>
            </c:extLst>
          </c:dPt>
          <c:dPt>
            <c:idx val="26"/>
            <c:invertIfNegative val="0"/>
            <c:bubble3D val="0"/>
            <c:extLst>
              <c:ext xmlns:c16="http://schemas.microsoft.com/office/drawing/2014/chart" uri="{C3380CC4-5D6E-409C-BE32-E72D297353CC}">
                <c16:uniqueId val="{00000004-1BFC-4D4C-8E26-A107D0AF488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FC-4D4C-8E26-A107D0AF488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FC-4D4C-8E26-A107D0AF488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FC-4D4C-8E26-A107D0AF4880}"/>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FC-4D4C-8E26-A107D0AF488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FC-4D4C-8E26-A107D0AF4880}"/>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FC-4D4C-8E26-A107D0AF4880}"/>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FC-4D4C-8E26-A107D0AF4880}"/>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FC-4D4C-8E26-A107D0AF4880}"/>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FC-4D4C-8E26-A107D0AF4880}"/>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FC-4D4C-8E26-A107D0AF4880}"/>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FC-4D4C-8E26-A107D0AF4880}"/>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FC-4D4C-8E26-A107D0AF4880}"/>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FC-4D4C-8E26-A107D0AF4880}"/>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BFC-4D4C-8E26-A107D0AF4880}"/>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FC-4D4C-8E26-A107D0AF4880}"/>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FC-4D4C-8E26-A107D0AF4880}"/>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FC-4D4C-8E26-A107D0AF4880}"/>
                </c:ext>
              </c:extLst>
            </c:dLbl>
            <c:dLbl>
              <c:idx val="1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FC-4D4C-8E26-A107D0AF4880}"/>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BFC-4D4C-8E26-A107D0AF4880}"/>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BFC-4D4C-8E26-A107D0AF4880}"/>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FC-4D4C-8E26-A107D0AF4880}"/>
                </c:ext>
              </c:extLst>
            </c:dLbl>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BFC-4D4C-8E26-A107D0AF4880}"/>
                </c:ext>
              </c:extLst>
            </c:dLbl>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BFC-4D4C-8E26-A107D0AF4880}"/>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BFC-4D4C-8E26-A107D0AF4880}"/>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FC-4D4C-8E26-A107D0AF4880}"/>
                </c:ext>
              </c:extLst>
            </c:dLbl>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FC-4D4C-8E26-A107D0AF4880}"/>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FC-4D4C-8E26-A107D0AF4880}"/>
                </c:ext>
              </c:extLst>
            </c:dLbl>
            <c:dLbl>
              <c:idx val="27"/>
              <c:spPr>
                <a:noFill/>
                <a:ln>
                  <a:noFill/>
                </a:ln>
                <a:effectLst/>
              </c:spPr>
              <c:txPr>
                <a:bodyPr wrap="square" lIns="38100" tIns="19050" rIns="38100" bIns="19050" anchor="ctr">
                  <a:noAutofit/>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BFC-4D4C-8E26-A107D0AF488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bg-BG"/>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Sheet1!$A$3:$A$29</c:f>
              <c:strCache>
                <c:ptCount val="27"/>
                <c:pt idx="0">
                  <c:v>Гърция</c:v>
                </c:pt>
                <c:pt idx="1">
                  <c:v>Италия </c:v>
                </c:pt>
                <c:pt idx="2">
                  <c:v>Франция</c:v>
                </c:pt>
                <c:pt idx="3">
                  <c:v>Белгия</c:v>
                </c:pt>
                <c:pt idx="4">
                  <c:v>Испания</c:v>
                </c:pt>
                <c:pt idx="5">
                  <c:v>Португалия</c:v>
                </c:pt>
                <c:pt idx="6">
                  <c:v>Финландия</c:v>
                </c:pt>
                <c:pt idx="7">
                  <c:v>Австрия</c:v>
                </c:pt>
                <c:pt idx="8">
                  <c:v>Унгария</c:v>
                </c:pt>
                <c:pt idx="9">
                  <c:v>Словения</c:v>
                </c:pt>
                <c:pt idx="10">
                  <c:v>Словакия</c:v>
                </c:pt>
                <c:pt idx="11">
                  <c:v>Германия</c:v>
                </c:pt>
                <c:pt idx="12">
                  <c:v>Кипър</c:v>
                </c:pt>
                <c:pt idx="13">
                  <c:v>Полша</c:v>
                </c:pt>
                <c:pt idx="14">
                  <c:v>Хърватия</c:v>
                </c:pt>
                <c:pt idx="15">
                  <c:v>Румъния</c:v>
                </c:pt>
                <c:pt idx="16">
                  <c:v>Латвия</c:v>
                </c:pt>
                <c:pt idx="17">
                  <c:v>Малта</c:v>
                </c:pt>
                <c:pt idx="18">
                  <c:v>Чехия</c:v>
                </c:pt>
                <c:pt idx="19">
                  <c:v>Нидерландия</c:v>
                </c:pt>
                <c:pt idx="20">
                  <c:v>Литва</c:v>
                </c:pt>
                <c:pt idx="21">
                  <c:v>Швеция</c:v>
                </c:pt>
                <c:pt idx="22">
                  <c:v>Ирландия</c:v>
                </c:pt>
                <c:pt idx="23">
                  <c:v>Дания</c:v>
                </c:pt>
                <c:pt idx="24">
                  <c:v>България</c:v>
                </c:pt>
                <c:pt idx="25">
                  <c:v>Люксембург</c:v>
                </c:pt>
                <c:pt idx="26">
                  <c:v>Естония</c:v>
                </c:pt>
              </c:strCache>
            </c:strRef>
          </c:cat>
          <c:val>
            <c:numRef>
              <c:f>Sheet1!$B$3:$B$29</c:f>
              <c:numCache>
                <c:formatCode>General</c:formatCode>
                <c:ptCount val="27"/>
                <c:pt idx="0">
                  <c:v>151.19999999999999</c:v>
                </c:pt>
                <c:pt idx="1">
                  <c:v>138.30000000000001</c:v>
                </c:pt>
                <c:pt idx="2">
                  <c:v>115.8</c:v>
                </c:pt>
                <c:pt idx="3">
                  <c:v>106.2</c:v>
                </c:pt>
                <c:pt idx="4">
                  <c:v>103.4</c:v>
                </c:pt>
                <c:pt idx="5" formatCode="0.0">
                  <c:v>96.8</c:v>
                </c:pt>
                <c:pt idx="6">
                  <c:v>88.4</c:v>
                </c:pt>
                <c:pt idx="7">
                  <c:v>82.3</c:v>
                </c:pt>
                <c:pt idx="8">
                  <c:v>76.2</c:v>
                </c:pt>
                <c:pt idx="9">
                  <c:v>69.400000000000006</c:v>
                </c:pt>
                <c:pt idx="10">
                  <c:v>62.9</c:v>
                </c:pt>
                <c:pt idx="11">
                  <c:v>62.4</c:v>
                </c:pt>
                <c:pt idx="12">
                  <c:v>61.2</c:v>
                </c:pt>
                <c:pt idx="13">
                  <c:v>58.1</c:v>
                </c:pt>
                <c:pt idx="14">
                  <c:v>57.5</c:v>
                </c:pt>
                <c:pt idx="15">
                  <c:v>57.3</c:v>
                </c:pt>
                <c:pt idx="16">
                  <c:v>48</c:v>
                </c:pt>
                <c:pt idx="17" formatCode="0.0">
                  <c:v>46.9</c:v>
                </c:pt>
                <c:pt idx="18">
                  <c:v>43.8</c:v>
                </c:pt>
                <c:pt idx="19">
                  <c:v>42.7</c:v>
                </c:pt>
                <c:pt idx="20">
                  <c:v>39.1</c:v>
                </c:pt>
                <c:pt idx="21">
                  <c:v>34</c:v>
                </c:pt>
                <c:pt idx="22">
                  <c:v>33.299999999999997</c:v>
                </c:pt>
                <c:pt idx="23">
                  <c:v>29.7</c:v>
                </c:pt>
                <c:pt idx="24">
                  <c:v>26.3</c:v>
                </c:pt>
                <c:pt idx="25">
                  <c:v>25.1</c:v>
                </c:pt>
                <c:pt idx="26">
                  <c:v>23.2</c:v>
                </c:pt>
              </c:numCache>
            </c:numRef>
          </c:val>
          <c:extLst>
            <c:ext xmlns:c16="http://schemas.microsoft.com/office/drawing/2014/chart" uri="{C3380CC4-5D6E-409C-BE32-E72D297353CC}">
              <c16:uniqueId val="{0000001E-1BFC-4D4C-8E26-A107D0AF4880}"/>
            </c:ext>
          </c:extLst>
        </c:ser>
        <c:dLbls>
          <c:showLegendKey val="0"/>
          <c:showVal val="0"/>
          <c:showCatName val="0"/>
          <c:showSerName val="0"/>
          <c:showPercent val="0"/>
          <c:showBubbleSize val="0"/>
        </c:dLbls>
        <c:gapWidth val="150"/>
        <c:axId val="36858112"/>
        <c:axId val="36868096"/>
      </c:barChart>
      <c:catAx>
        <c:axId val="36858112"/>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36868096"/>
        <c:crosses val="autoZero"/>
        <c:auto val="1"/>
        <c:lblAlgn val="ctr"/>
        <c:lblOffset val="100"/>
        <c:noMultiLvlLbl val="0"/>
      </c:catAx>
      <c:valAx>
        <c:axId val="3686809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36858112"/>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0.12139</cdr:x>
      <cdr:y>0.8996</cdr:y>
    </cdr:from>
    <cdr:to>
      <cdr:x>0.12373</cdr:x>
      <cdr:y>0.93439</cdr:y>
    </cdr:to>
    <cdr:sp macro="" textlink="">
      <cdr:nvSpPr>
        <cdr:cNvPr id="4098" name="Text Box 2"/>
        <cdr:cNvSpPr txBox="1">
          <a:spLocks xmlns:a="http://schemas.openxmlformats.org/drawingml/2006/main" noChangeArrowheads="1"/>
        </cdr:cNvSpPr>
      </cdr:nvSpPr>
      <cdr:spPr bwMode="auto">
        <a:xfrm xmlns:a="http://schemas.openxmlformats.org/drawingml/2006/main">
          <a:off x="960835" y="4644230"/>
          <a:ext cx="18531"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endParaRPr lang="bg-BG"/>
        </a:p>
      </cdr:txBody>
    </cdr:sp>
  </cdr:relSizeAnchor>
</c:userShape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blank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blank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F2DDD-FE79-4132-B8A5-7EEDCB2E5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176</Pages>
  <Words>65848</Words>
  <Characters>378466</Characters>
  <Application>Microsoft Office Word</Application>
  <DocSecurity>0</DocSecurity>
  <Lines>3153</Lines>
  <Paragraphs>886</Paragraphs>
  <ScaleCrop>false</ScaleCrop>
  <HeadingPairs>
    <vt:vector size="2" baseType="variant">
      <vt:variant>
        <vt:lpstr>Title</vt:lpstr>
      </vt:variant>
      <vt:variant>
        <vt:i4>1</vt:i4>
      </vt:variant>
    </vt:vector>
  </HeadingPairs>
  <TitlesOfParts>
    <vt:vector size="1" baseType="lpstr">
      <vt:lpstr>Мотиви - АСБП 2026-2028</vt:lpstr>
    </vt:vector>
  </TitlesOfParts>
  <Company/>
  <LinksUpToDate>false</LinksUpToDate>
  <CharactersWithSpaces>443428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Мотиви - АСБП 2026-2028</dc:title>
  <dc:subject/>
  <dc:creator>Бюджет</dc:creator>
  <cp:keywords/>
  <dc:description/>
  <cp:lastModifiedBy>Галина Смелова</cp:lastModifiedBy>
  <cp:revision>2</cp:revision>
  <cp:lastPrinted>2025-12-05T20:23:00Z</cp:lastPrinted>
  <dcterms:created xsi:type="dcterms:W3CDTF">2025-12-08T13:10:00Z</dcterms:created>
  <dcterms:modified xsi:type="dcterms:W3CDTF">2025-12-08T13:10:00Z</dcterms:modified>
</cp:coreProperties>
</file>