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6DC9" w14:textId="77777777" w:rsidR="00804255" w:rsidRPr="00683CAC" w:rsidRDefault="00804255">
      <w:pPr>
        <w:jc w:val="center"/>
        <w:rPr>
          <w:rFonts w:ascii="Times New Roman" w:hAnsi="Times New Roman"/>
          <w:b/>
          <w:sz w:val="28"/>
          <w:szCs w:val="28"/>
          <w:lang w:val="bg-BG"/>
        </w:rPr>
      </w:pPr>
    </w:p>
    <w:p w14:paraId="4EE791A2" w14:textId="77777777" w:rsidR="00D80E80" w:rsidRPr="00683CAC" w:rsidRDefault="00D80E80">
      <w:pPr>
        <w:jc w:val="center"/>
        <w:rPr>
          <w:rFonts w:ascii="Times New Roman" w:hAnsi="Times New Roman"/>
          <w:b/>
          <w:sz w:val="28"/>
          <w:szCs w:val="28"/>
          <w:lang w:val="bg-BG"/>
        </w:rPr>
      </w:pPr>
    </w:p>
    <w:p w14:paraId="24CAD6FC" w14:textId="77777777" w:rsidR="005033E0" w:rsidRPr="00683CAC" w:rsidRDefault="00D80E80">
      <w:pPr>
        <w:jc w:val="center"/>
        <w:rPr>
          <w:rFonts w:ascii="Arial" w:hAnsi="Arial"/>
          <w:b/>
          <w:sz w:val="28"/>
          <w:szCs w:val="28"/>
          <w:lang w:val="bg-BG"/>
        </w:rPr>
      </w:pPr>
      <w:r w:rsidRPr="00683CAC">
        <w:rPr>
          <w:rFonts w:ascii="Arial" w:hAnsi="Arial"/>
          <w:b/>
          <w:sz w:val="28"/>
          <w:szCs w:val="28"/>
          <w:lang w:val="bg-BG"/>
        </w:rPr>
        <w:t>М</w:t>
      </w:r>
      <w:r w:rsidR="005033E0" w:rsidRPr="00683CAC">
        <w:rPr>
          <w:rFonts w:ascii="Arial" w:hAnsi="Arial"/>
          <w:b/>
          <w:sz w:val="28"/>
          <w:szCs w:val="28"/>
          <w:lang w:val="bg-BG"/>
        </w:rPr>
        <w:t xml:space="preserve">  </w:t>
      </w:r>
      <w:r w:rsidRPr="00683CAC">
        <w:rPr>
          <w:rFonts w:ascii="Arial" w:hAnsi="Arial"/>
          <w:b/>
          <w:sz w:val="28"/>
          <w:szCs w:val="28"/>
          <w:lang w:val="bg-BG"/>
        </w:rPr>
        <w:t>О</w:t>
      </w:r>
      <w:r w:rsidR="005033E0" w:rsidRPr="00683CAC">
        <w:rPr>
          <w:rFonts w:ascii="Arial" w:hAnsi="Arial"/>
          <w:b/>
          <w:sz w:val="28"/>
          <w:szCs w:val="28"/>
          <w:lang w:val="bg-BG"/>
        </w:rPr>
        <w:t xml:space="preserve">  </w:t>
      </w:r>
      <w:r w:rsidRPr="00683CAC">
        <w:rPr>
          <w:rFonts w:ascii="Arial" w:hAnsi="Arial"/>
          <w:b/>
          <w:sz w:val="28"/>
          <w:szCs w:val="28"/>
          <w:lang w:val="bg-BG"/>
        </w:rPr>
        <w:t>Т</w:t>
      </w:r>
      <w:r w:rsidR="005033E0" w:rsidRPr="00683CAC">
        <w:rPr>
          <w:rFonts w:ascii="Arial" w:hAnsi="Arial"/>
          <w:b/>
          <w:sz w:val="28"/>
          <w:szCs w:val="28"/>
          <w:lang w:val="bg-BG"/>
        </w:rPr>
        <w:t xml:space="preserve">  </w:t>
      </w:r>
      <w:r w:rsidRPr="00683CAC">
        <w:rPr>
          <w:rFonts w:ascii="Arial" w:hAnsi="Arial"/>
          <w:b/>
          <w:sz w:val="28"/>
          <w:szCs w:val="28"/>
          <w:lang w:val="bg-BG"/>
        </w:rPr>
        <w:t>И</w:t>
      </w:r>
      <w:r w:rsidR="005033E0" w:rsidRPr="00683CAC">
        <w:rPr>
          <w:rFonts w:ascii="Arial" w:hAnsi="Arial"/>
          <w:b/>
          <w:sz w:val="28"/>
          <w:szCs w:val="28"/>
          <w:lang w:val="bg-BG"/>
        </w:rPr>
        <w:t xml:space="preserve">  </w:t>
      </w:r>
      <w:r w:rsidRPr="00683CAC">
        <w:rPr>
          <w:rFonts w:ascii="Arial" w:hAnsi="Arial"/>
          <w:b/>
          <w:sz w:val="28"/>
          <w:szCs w:val="28"/>
          <w:lang w:val="bg-BG"/>
        </w:rPr>
        <w:t>В</w:t>
      </w:r>
      <w:r w:rsidR="005033E0" w:rsidRPr="00683CAC">
        <w:rPr>
          <w:rFonts w:ascii="Arial" w:hAnsi="Arial"/>
          <w:b/>
          <w:sz w:val="28"/>
          <w:szCs w:val="28"/>
          <w:lang w:val="bg-BG"/>
        </w:rPr>
        <w:t xml:space="preserve">  </w:t>
      </w:r>
      <w:r w:rsidRPr="00683CAC">
        <w:rPr>
          <w:rFonts w:ascii="Arial" w:hAnsi="Arial"/>
          <w:b/>
          <w:sz w:val="28"/>
          <w:szCs w:val="28"/>
          <w:lang w:val="bg-BG"/>
        </w:rPr>
        <w:t>И</w:t>
      </w:r>
    </w:p>
    <w:p w14:paraId="14A640F0" w14:textId="77777777" w:rsidR="005033E0" w:rsidRPr="00683CAC" w:rsidRDefault="005033E0">
      <w:pPr>
        <w:jc w:val="center"/>
        <w:rPr>
          <w:rFonts w:ascii="Times New Roman" w:hAnsi="Times New Roman"/>
          <w:b/>
          <w:sz w:val="28"/>
          <w:szCs w:val="28"/>
          <w:lang w:val="bg-BG"/>
        </w:rPr>
      </w:pPr>
    </w:p>
    <w:p w14:paraId="4916044A" w14:textId="4371055B" w:rsidR="00E522E9" w:rsidRPr="00683CAC" w:rsidRDefault="00E522E9" w:rsidP="00E522E9">
      <w:pPr>
        <w:spacing w:line="288" w:lineRule="auto"/>
        <w:jc w:val="center"/>
        <w:rPr>
          <w:rFonts w:ascii="Arial" w:hAnsi="Arial" w:cs="Arial"/>
          <w:b/>
          <w:sz w:val="26"/>
          <w:szCs w:val="26"/>
          <w:lang w:val="bg-BG"/>
        </w:rPr>
      </w:pPr>
      <w:r w:rsidRPr="00683CAC">
        <w:rPr>
          <w:rFonts w:ascii="Arial" w:hAnsi="Arial" w:cs="Arial"/>
          <w:b/>
          <w:sz w:val="26"/>
          <w:szCs w:val="26"/>
          <w:lang w:val="bg-BG"/>
        </w:rPr>
        <w:t xml:space="preserve">към проекта на Закон за </w:t>
      </w:r>
      <w:r w:rsidR="000A581F">
        <w:rPr>
          <w:rFonts w:ascii="Arial" w:hAnsi="Arial" w:cs="Arial"/>
          <w:b/>
          <w:sz w:val="26"/>
          <w:szCs w:val="26"/>
          <w:lang w:val="bg-BG"/>
        </w:rPr>
        <w:t>бюджета на държавното обществено осигуряване за 202</w:t>
      </w:r>
      <w:r w:rsidR="00493144">
        <w:rPr>
          <w:rFonts w:ascii="Arial" w:hAnsi="Arial" w:cs="Arial"/>
          <w:b/>
          <w:sz w:val="26"/>
          <w:szCs w:val="26"/>
          <w:lang w:val="bg-BG"/>
        </w:rPr>
        <w:t>6</w:t>
      </w:r>
      <w:r w:rsidR="000A581F">
        <w:rPr>
          <w:rFonts w:ascii="Arial" w:hAnsi="Arial" w:cs="Arial"/>
          <w:b/>
          <w:sz w:val="26"/>
          <w:szCs w:val="26"/>
          <w:lang w:val="bg-BG"/>
        </w:rPr>
        <w:t xml:space="preserve"> г.</w:t>
      </w:r>
    </w:p>
    <w:p w14:paraId="6CAF6133" w14:textId="77777777" w:rsidR="005033E0" w:rsidRPr="00683CAC" w:rsidRDefault="005033E0" w:rsidP="00D013AB">
      <w:pPr>
        <w:spacing w:line="288" w:lineRule="auto"/>
        <w:jc w:val="center"/>
        <w:rPr>
          <w:rFonts w:ascii="Arial" w:hAnsi="Arial" w:cs="Arial"/>
          <w:b/>
          <w:sz w:val="26"/>
          <w:szCs w:val="26"/>
          <w:lang w:val="bg-BG"/>
        </w:rPr>
      </w:pPr>
    </w:p>
    <w:p w14:paraId="1F30C4F6" w14:textId="77777777" w:rsidR="005033E0" w:rsidRPr="00683CAC" w:rsidRDefault="005033E0" w:rsidP="00D013AB">
      <w:pPr>
        <w:spacing w:line="288" w:lineRule="auto"/>
        <w:jc w:val="center"/>
        <w:rPr>
          <w:rFonts w:ascii="Arial" w:hAnsi="Arial" w:cs="Arial"/>
          <w:b/>
          <w:sz w:val="26"/>
          <w:szCs w:val="26"/>
          <w:lang w:val="bg-BG"/>
        </w:rPr>
      </w:pPr>
    </w:p>
    <w:p w14:paraId="5D408804" w14:textId="77777777" w:rsidR="00983733" w:rsidRPr="00983733" w:rsidRDefault="00983733" w:rsidP="00983733">
      <w:pPr>
        <w:ind w:firstLine="720"/>
        <w:jc w:val="both"/>
        <w:rPr>
          <w:rFonts w:ascii="Times New Roman" w:hAnsi="Times New Roman"/>
          <w:bCs/>
          <w:szCs w:val="24"/>
          <w:lang w:val="bg-BG"/>
        </w:rPr>
      </w:pPr>
      <w:r w:rsidRPr="00983733">
        <w:rPr>
          <w:rFonts w:ascii="Times New Roman" w:hAnsi="Times New Roman"/>
          <w:bCs/>
          <w:szCs w:val="24"/>
          <w:lang w:val="bg-BG"/>
        </w:rPr>
        <w:t>Проектът на бюджета на държавното обществено осигуряване (ДОО) за 2026 г. е разработен в изпълнение на Решение № 474 на Министерския съвет на Република България от 17 юли 2025 г. за бюджетната процедура за 2026 г., Указания БЮ № 3 от 17 септември 2025 г. на министъра на финансите за подготовката и представянето на проектобюджетите на първостепенните разпоредители с бюджет за 2026 г. и на актуализираните им бюджетни прогнози за периода 2027 – 2028 г. и указания на министъра на финансите, предоставени с писма с изх. № 33-01-75 от 27.10.2025 г., № 33-01-75 от 31.10.2025 г. и № 33-01-86 от 05.12.2025 г.</w:t>
      </w:r>
    </w:p>
    <w:p w14:paraId="0FAEEF3A" w14:textId="77777777" w:rsidR="00983733" w:rsidRPr="00983733" w:rsidRDefault="00983733" w:rsidP="00983733">
      <w:pPr>
        <w:ind w:firstLine="720"/>
        <w:jc w:val="both"/>
        <w:rPr>
          <w:rFonts w:ascii="Times New Roman" w:hAnsi="Times New Roman"/>
          <w:szCs w:val="24"/>
          <w:lang w:val="bg-BG"/>
        </w:rPr>
      </w:pPr>
      <w:r w:rsidRPr="00983733">
        <w:rPr>
          <w:rFonts w:ascii="Times New Roman" w:hAnsi="Times New Roman"/>
          <w:szCs w:val="24"/>
          <w:lang w:val="bg-BG"/>
        </w:rPr>
        <w:t>Параметрите по проекта на бюджет на държавното обществено осигуряване за 2026 г., са в съответствие с постигнатите договорености в рамките на проведените работни срещи със синдикалните и работодателските организации.</w:t>
      </w:r>
    </w:p>
    <w:p w14:paraId="451C3B84" w14:textId="77777777" w:rsidR="00983733" w:rsidRPr="00983733" w:rsidRDefault="00983733" w:rsidP="00983733">
      <w:pPr>
        <w:ind w:firstLine="720"/>
        <w:jc w:val="both"/>
        <w:rPr>
          <w:rFonts w:ascii="Times New Roman" w:hAnsi="Times New Roman"/>
          <w:bCs/>
          <w:szCs w:val="24"/>
          <w:lang w:val="bg-BG"/>
        </w:rPr>
      </w:pPr>
      <w:r w:rsidRPr="00983733">
        <w:rPr>
          <w:rFonts w:ascii="Times New Roman" w:hAnsi="Times New Roman"/>
          <w:bCs/>
          <w:szCs w:val="24"/>
          <w:lang w:val="bg-BG"/>
        </w:rPr>
        <w:t>Проектът на бюджета на ДОО за 2026 г. е изготвен в евро при официален валутен курс съгласно чл. 5 от Закона за въвеждане на еврото в Република България (1,95583 лева за 1 евро) и спазване на правилата на чл. 12 от същия закон.</w:t>
      </w:r>
    </w:p>
    <w:p w14:paraId="672420AD" w14:textId="77777777" w:rsidR="00983733" w:rsidRPr="00983733" w:rsidRDefault="00983733" w:rsidP="00983733">
      <w:pPr>
        <w:ind w:firstLine="720"/>
        <w:jc w:val="both"/>
        <w:rPr>
          <w:rFonts w:ascii="Times New Roman" w:hAnsi="Times New Roman"/>
          <w:bCs/>
          <w:szCs w:val="24"/>
          <w:lang w:val="bg-BG"/>
        </w:rPr>
      </w:pPr>
      <w:r w:rsidRPr="00983733">
        <w:rPr>
          <w:rFonts w:ascii="Times New Roman" w:hAnsi="Times New Roman"/>
          <w:bCs/>
          <w:szCs w:val="24"/>
          <w:lang w:val="bg-BG"/>
        </w:rPr>
        <w:t>Разчетите по приходната част на проекта на ЗБДОО за 2026 г. са съгласувани с Националната агенция за приходите (НАП) по отношение задължителните осигурителни вноски както и за други приходи, събирани от НАП.</w:t>
      </w:r>
    </w:p>
    <w:p w14:paraId="70067200"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xml:space="preserve">В проекта на Закона за бюджета на държавното обществено осигуряване за 2026 г. са заложени следните политики по приходите: </w:t>
      </w:r>
    </w:p>
    <w:p w14:paraId="42504C15" w14:textId="77777777" w:rsidR="00983733" w:rsidRPr="00983733" w:rsidRDefault="00983733" w:rsidP="00983733">
      <w:pPr>
        <w:numPr>
          <w:ilvl w:val="0"/>
          <w:numId w:val="2"/>
        </w:numPr>
        <w:ind w:left="0" w:firstLine="709"/>
        <w:contextualSpacing/>
        <w:jc w:val="both"/>
        <w:rPr>
          <w:rFonts w:ascii="Times New Roman" w:hAnsi="Times New Roman"/>
          <w:bCs/>
          <w:szCs w:val="24"/>
          <w:lang w:val="bg-BG"/>
        </w:rPr>
      </w:pPr>
      <w:r w:rsidRPr="00983733">
        <w:rPr>
          <w:rFonts w:ascii="Times New Roman" w:hAnsi="Times New Roman"/>
          <w:bCs/>
          <w:szCs w:val="24"/>
          <w:lang w:val="bg-BG"/>
        </w:rPr>
        <w:t xml:space="preserve">Предвидено е увеличение от 1 януари 2026 г. на минималната работна заплата за страната в размер на 620,20 евро. </w:t>
      </w:r>
    </w:p>
    <w:p w14:paraId="1D8392A1" w14:textId="77777777" w:rsidR="00983733" w:rsidRPr="00983733" w:rsidRDefault="00983733" w:rsidP="00983733">
      <w:pPr>
        <w:numPr>
          <w:ilvl w:val="0"/>
          <w:numId w:val="2"/>
        </w:numPr>
        <w:ind w:left="0" w:firstLine="709"/>
        <w:contextualSpacing/>
        <w:jc w:val="both"/>
        <w:rPr>
          <w:rFonts w:ascii="Times New Roman" w:hAnsi="Times New Roman"/>
          <w:bCs/>
          <w:szCs w:val="24"/>
          <w:lang w:val="bg-BG"/>
        </w:rPr>
      </w:pPr>
      <w:r w:rsidRPr="00983733">
        <w:rPr>
          <w:rFonts w:ascii="Times New Roman" w:hAnsi="Times New Roman"/>
          <w:bCs/>
          <w:szCs w:val="24"/>
          <w:lang w:val="bg-BG"/>
        </w:rPr>
        <w:t xml:space="preserve">По отношение на минималните осигурителни доходи (МОД) по икономически дейности и квалификационни групи професии е приложен досегашният подход за приравняване към размера на минималната работна заплата от 620,20 евро на всички доходи, които са по-ниски от нея, при което 98,7% или 734 от общо 744 позиции в Приложение № 1 към ЗБДОО са равни на минималната работна заплата, а по-висок минимален осигурителен доход е определен само за 10 от тях. </w:t>
      </w:r>
    </w:p>
    <w:p w14:paraId="5B9CEB86" w14:textId="77777777" w:rsidR="00983733" w:rsidRPr="00983733" w:rsidRDefault="00983733" w:rsidP="00983733">
      <w:pPr>
        <w:numPr>
          <w:ilvl w:val="0"/>
          <w:numId w:val="2"/>
        </w:numPr>
        <w:ind w:left="0" w:firstLine="709"/>
        <w:contextualSpacing/>
        <w:jc w:val="both"/>
        <w:rPr>
          <w:rFonts w:ascii="Times New Roman" w:hAnsi="Times New Roman"/>
          <w:bCs/>
          <w:szCs w:val="24"/>
          <w:lang w:val="bg-BG"/>
        </w:rPr>
      </w:pPr>
      <w:r w:rsidRPr="00983733">
        <w:rPr>
          <w:rFonts w:ascii="Times New Roman" w:hAnsi="Times New Roman"/>
          <w:bCs/>
          <w:szCs w:val="24"/>
          <w:lang w:val="bg-BG"/>
        </w:rPr>
        <w:t xml:space="preserve">Минималният осигурителен доход за самоосигуряващите се лица от 1 януари 2026 г. се определя в размер на 620,20 евро. </w:t>
      </w:r>
    </w:p>
    <w:p w14:paraId="2E0466FF" w14:textId="77777777" w:rsidR="00983733" w:rsidRPr="00983733" w:rsidRDefault="00983733" w:rsidP="00983733">
      <w:pPr>
        <w:numPr>
          <w:ilvl w:val="0"/>
          <w:numId w:val="2"/>
        </w:numPr>
        <w:ind w:left="0" w:firstLine="709"/>
        <w:contextualSpacing/>
        <w:jc w:val="both"/>
        <w:rPr>
          <w:rFonts w:ascii="Times New Roman" w:hAnsi="Times New Roman"/>
          <w:bCs/>
          <w:szCs w:val="24"/>
          <w:lang w:val="bg-BG"/>
        </w:rPr>
      </w:pPr>
      <w:r w:rsidRPr="00983733">
        <w:rPr>
          <w:rFonts w:ascii="Times New Roman" w:hAnsi="Times New Roman"/>
          <w:bCs/>
          <w:szCs w:val="24"/>
          <w:lang w:val="bg-BG"/>
        </w:rPr>
        <w:t>Максималният осигурителен доход за всички осигурени лица от 1 януари 2026 г. се определя в размер на 2 300 евро.</w:t>
      </w:r>
    </w:p>
    <w:p w14:paraId="79F00D04" w14:textId="77777777" w:rsidR="00983733" w:rsidRPr="00983733" w:rsidRDefault="00983733" w:rsidP="00983733">
      <w:pPr>
        <w:numPr>
          <w:ilvl w:val="0"/>
          <w:numId w:val="2"/>
        </w:numPr>
        <w:ind w:left="0" w:firstLine="709"/>
        <w:contextualSpacing/>
        <w:jc w:val="both"/>
        <w:rPr>
          <w:rFonts w:ascii="Times New Roman" w:hAnsi="Times New Roman"/>
          <w:bCs/>
          <w:szCs w:val="24"/>
          <w:lang w:val="bg-BG"/>
        </w:rPr>
      </w:pPr>
      <w:r w:rsidRPr="00983733">
        <w:rPr>
          <w:rFonts w:ascii="Times New Roman" w:hAnsi="Times New Roman"/>
          <w:bCs/>
          <w:szCs w:val="24"/>
          <w:lang w:val="bg-BG"/>
        </w:rPr>
        <w:t xml:space="preserve">Запазва се размерът на осигурителната вноска за фонд „Пенсии” на нивото от 2025 г., както и съотношението между осигурителя и осигуреното лице. </w:t>
      </w:r>
    </w:p>
    <w:p w14:paraId="09303E21" w14:textId="77777777" w:rsidR="00983733" w:rsidRPr="00983733" w:rsidRDefault="00983733" w:rsidP="00983733">
      <w:pPr>
        <w:numPr>
          <w:ilvl w:val="0"/>
          <w:numId w:val="2"/>
        </w:numPr>
        <w:ind w:left="0" w:firstLine="709"/>
        <w:contextualSpacing/>
        <w:jc w:val="both"/>
        <w:rPr>
          <w:rFonts w:ascii="Times New Roman" w:hAnsi="Times New Roman"/>
          <w:bCs/>
          <w:szCs w:val="24"/>
          <w:lang w:val="bg-BG"/>
        </w:rPr>
      </w:pPr>
      <w:r w:rsidRPr="00983733">
        <w:rPr>
          <w:rFonts w:ascii="Times New Roman" w:hAnsi="Times New Roman"/>
          <w:bCs/>
          <w:szCs w:val="24"/>
          <w:lang w:val="bg-BG"/>
        </w:rPr>
        <w:t>Размерите на осигурителните вноски за останалите фондове на ДОО, както и съотношението при разпределянето им между осигурител и осигурено лице се запазват на нивата от 2025 г.</w:t>
      </w:r>
    </w:p>
    <w:p w14:paraId="1ACC2C37" w14:textId="77777777" w:rsidR="00983733" w:rsidRPr="00983733" w:rsidRDefault="00983733" w:rsidP="00983733">
      <w:pPr>
        <w:numPr>
          <w:ilvl w:val="0"/>
          <w:numId w:val="2"/>
        </w:numPr>
        <w:ind w:left="0" w:firstLine="709"/>
        <w:contextualSpacing/>
        <w:jc w:val="both"/>
        <w:rPr>
          <w:rFonts w:ascii="Times New Roman" w:hAnsi="Times New Roman"/>
          <w:bCs/>
          <w:szCs w:val="24"/>
          <w:lang w:val="bg-BG"/>
        </w:rPr>
      </w:pPr>
      <w:r w:rsidRPr="00983733">
        <w:rPr>
          <w:rFonts w:ascii="Times New Roman" w:hAnsi="Times New Roman"/>
          <w:bCs/>
          <w:szCs w:val="24"/>
          <w:lang w:val="bg-BG"/>
        </w:rPr>
        <w:t>За 2026 г. не се внасят вноски за фонд „Гарантирани вземания на работниците и служителите”.</w:t>
      </w:r>
    </w:p>
    <w:p w14:paraId="25C9049C" w14:textId="77777777" w:rsidR="00983733" w:rsidRPr="00983733" w:rsidRDefault="00983733" w:rsidP="00983733">
      <w:pPr>
        <w:numPr>
          <w:ilvl w:val="0"/>
          <w:numId w:val="2"/>
        </w:numPr>
        <w:ind w:left="0" w:firstLine="709"/>
        <w:contextualSpacing/>
        <w:jc w:val="both"/>
        <w:rPr>
          <w:rFonts w:ascii="Times New Roman" w:hAnsi="Times New Roman"/>
          <w:bCs/>
          <w:szCs w:val="24"/>
          <w:lang w:val="bg-BG"/>
        </w:rPr>
      </w:pPr>
      <w:r w:rsidRPr="00983733">
        <w:rPr>
          <w:rFonts w:ascii="Times New Roman" w:hAnsi="Times New Roman"/>
          <w:bCs/>
          <w:szCs w:val="24"/>
          <w:lang w:val="bg-BG"/>
        </w:rPr>
        <w:t xml:space="preserve">Определят се за приход в бюджета на Националния осигурителен институт 46 000 евро от приходите на фонд „Гарантирани вземания на работниците и </w:t>
      </w:r>
      <w:r w:rsidRPr="00983733">
        <w:rPr>
          <w:rFonts w:ascii="Times New Roman" w:hAnsi="Times New Roman"/>
          <w:bCs/>
          <w:szCs w:val="24"/>
          <w:lang w:val="bg-BG"/>
        </w:rPr>
        <w:lastRenderedPageBreak/>
        <w:t xml:space="preserve">служителите” – за дейностите по чл. 13 от Закона за гарантираните вземания на работниците и служителите при несъстоятелност на работодателя (ЗГВРСНР). </w:t>
      </w:r>
    </w:p>
    <w:p w14:paraId="2BC2AB37" w14:textId="77777777" w:rsidR="00983733" w:rsidRPr="00983733" w:rsidRDefault="00983733" w:rsidP="00983733">
      <w:pPr>
        <w:ind w:firstLine="708"/>
        <w:jc w:val="both"/>
        <w:rPr>
          <w:rFonts w:ascii="Times New Roman" w:hAnsi="Times New Roman"/>
          <w:bCs/>
          <w:szCs w:val="24"/>
          <w:lang w:val="bg-BG"/>
        </w:rPr>
      </w:pPr>
      <w:r w:rsidRPr="00983733">
        <w:rPr>
          <w:rFonts w:ascii="Times New Roman" w:hAnsi="Times New Roman"/>
          <w:bCs/>
          <w:szCs w:val="24"/>
          <w:lang w:val="bg-BG"/>
        </w:rPr>
        <w:t xml:space="preserve">В проекта са заложени следните политики по разходите: </w:t>
      </w:r>
    </w:p>
    <w:p w14:paraId="662F2EF3"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xml:space="preserve">• Повишават се изискуемите възраст и осигурителен стаж при пенсиониране за работещите при условията на трета категория труд, както и минималната възраст за пенсиониране на лицата по чл.69, чл. 69а и чл. 69б от КСО, съгласно промените в КСО от 2015 г. </w:t>
      </w:r>
    </w:p>
    <w:p w14:paraId="3B29158A"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xml:space="preserve">• Пенсиите за трудова дейност, отпуснати до 31 декември 2025 г., се осъвременяват от 1 юли 2026 г. с решение на Надзорния съвет на НОИ с процент, определен по правилото на чл. 100 от КСО. По предварителни данни процентът по чл. 100 се очаква да бъде между 7,0 и 8,0%. Точната стойност ще бъде определена след получаване на отчетните стойности за двата показателя.  </w:t>
      </w:r>
    </w:p>
    <w:p w14:paraId="322C333D"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Считано от 1 юли 2026 г. минималният размер на пенсията за осигурителен стаж и възраст и свързаните с нея минимални размери на пенсиите за трудова дейност се увеличават с процента, определен по чл. 100 от КСО. В чл. 10 от законопроекта е предвидено повишаване на минималния размер на пенсията а осигурителен стаж и възраст от 322,37 на 346,87 евро.</w:t>
      </w:r>
    </w:p>
    <w:p w14:paraId="64B67869"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xml:space="preserve">• Считано от 1 юли 2026 г. размерът на социалната пенсия за старост и свързаните с нея пенсии и добавки се увеличава с процента, определен по чл. 100 от КСО. </w:t>
      </w:r>
    </w:p>
    <w:p w14:paraId="47363866"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През 2026 г. максималният месечен размер на получаваните една или повече пенсии се запазва на нивото от 2025 г. – 1 738,40 евро (3400 лв.).</w:t>
      </w:r>
    </w:p>
    <w:p w14:paraId="061E7C3F"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xml:space="preserve">• Запазва се минималният дневен размер на паричното обезщетение за безработица – 9,21 евро, както и максималният дневен размер – 54,78 евро. </w:t>
      </w:r>
    </w:p>
    <w:p w14:paraId="5A913289"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Запазва се периодът на изплащане на паричното обезщетение за бременност и раждане – 410 дни, както и периодът от два месеца на изплащане на паричното обезщетение за отглеждане на дете до 8-годишна възраст от бащата (осиновителя).</w:t>
      </w:r>
    </w:p>
    <w:p w14:paraId="0F4C8DB6"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Размерът на обезщетението за отглеждане на дете до 2-годишна възраст и за отглеждане на дете до 8-годишна възраст от бащата (осиновителя) се увеличава от 1 януари 2026 г. от 398,81 евро (780 лв.) на 460,17 евро (900 лв.).</w:t>
      </w:r>
    </w:p>
    <w:p w14:paraId="06E52DBA"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xml:space="preserve">• Предвидено е размерите на обезщетенията при </w:t>
      </w:r>
      <w:proofErr w:type="spellStart"/>
      <w:r w:rsidRPr="00983733">
        <w:rPr>
          <w:rFonts w:ascii="Times New Roman" w:hAnsi="Times New Roman"/>
          <w:bCs/>
          <w:szCs w:val="24"/>
          <w:lang w:val="bg-BG"/>
        </w:rPr>
        <w:t>неизползване</w:t>
      </w:r>
      <w:proofErr w:type="spellEnd"/>
      <w:r w:rsidRPr="00983733">
        <w:rPr>
          <w:rFonts w:ascii="Times New Roman" w:hAnsi="Times New Roman"/>
          <w:bCs/>
          <w:szCs w:val="24"/>
          <w:lang w:val="bg-BG"/>
        </w:rPr>
        <w:t xml:space="preserve"> на отпуските за бременност и раждане, при осиновяване на дете до 5-годишна възраст и за отглеждане на дете до 2-годишна възраст от 1 януари 2026 г. да се повишат от 50 на 75 на сто от получаваното през време на отпуска обезщетение.</w:t>
      </w:r>
    </w:p>
    <w:p w14:paraId="2117EB4D"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xml:space="preserve">• Запазва се режимът на изплащане на паричните обезщетения за временна неработоспособност съгласно чл. 40, ал. 5 от КСО – първите два работни дни се изплащат от осигурителя, а от 3-тия ден на настъпване на временната неработоспособност – от ДОО. </w:t>
      </w:r>
    </w:p>
    <w:p w14:paraId="2DAA9B53"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xml:space="preserve">• Запазва се периодът, доходът за който се взема предвид при изчисляване размерите на паричните обезщетения – 18 календарни месеца за паричните обезщетения при временна неработоспособност, а за бременност и раждане и безработица – 24 месеца. </w:t>
      </w:r>
    </w:p>
    <w:p w14:paraId="05159B65"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xml:space="preserve">• Запазва се размерът на еднократната помощ при смърт на осигурено лице – 276,10 евро. </w:t>
      </w:r>
    </w:p>
    <w:p w14:paraId="28F715CF"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Прилага се разпоредбата на чл. 22, ал. 2 от ЗГВРСНР, съгласно която максималният месечен размер на гарантираното вземане не може да бъде по-малък от 2,5 минимални работни заплати. При минимална работна заплата от 620,20 евро, считано от 1 януари 2026 г., максималният месечен размер на гарантираните вземания, изплащани от фонд „Гарантирани вземания на работниците и служителите“, се определя на 1 550,50 евро.</w:t>
      </w:r>
    </w:p>
    <w:p w14:paraId="2A0C6ECE" w14:textId="77777777" w:rsidR="00983733" w:rsidRPr="00983733" w:rsidRDefault="00983733" w:rsidP="00983733">
      <w:pPr>
        <w:ind w:firstLine="709"/>
        <w:jc w:val="both"/>
        <w:rPr>
          <w:rFonts w:ascii="Times New Roman" w:hAnsi="Times New Roman"/>
          <w:szCs w:val="24"/>
          <w:lang w:val="bg-BG"/>
        </w:rPr>
      </w:pPr>
      <w:r w:rsidRPr="00983733">
        <w:rPr>
          <w:rFonts w:ascii="Times New Roman" w:hAnsi="Times New Roman"/>
          <w:szCs w:val="24"/>
          <w:lang w:val="bg-BG"/>
        </w:rPr>
        <w:t>Приходите на КБДОО са както следва:</w:t>
      </w:r>
    </w:p>
    <w:p w14:paraId="3A03AF0D" w14:textId="77777777" w:rsidR="00983733" w:rsidRPr="00983733" w:rsidRDefault="00983733" w:rsidP="00983733">
      <w:pPr>
        <w:ind w:firstLine="709"/>
        <w:jc w:val="both"/>
        <w:rPr>
          <w:rFonts w:ascii="Times New Roman" w:hAnsi="Times New Roman"/>
          <w:szCs w:val="24"/>
          <w:lang w:val="bg-BG"/>
        </w:rPr>
      </w:pPr>
      <w:r w:rsidRPr="00983733">
        <w:rPr>
          <w:rFonts w:ascii="Times New Roman" w:hAnsi="Times New Roman"/>
          <w:szCs w:val="24"/>
          <w:lang w:val="bg-BG"/>
        </w:rPr>
        <w:lastRenderedPageBreak/>
        <w:t>2025 г.  –  7 779,7 млн. евро ЗБДОО,</w:t>
      </w:r>
    </w:p>
    <w:p w14:paraId="3A5F53E0" w14:textId="77777777" w:rsidR="00983733" w:rsidRPr="00983733" w:rsidRDefault="00983733" w:rsidP="00983733">
      <w:pPr>
        <w:ind w:firstLine="709"/>
        <w:jc w:val="both"/>
        <w:rPr>
          <w:rFonts w:ascii="Times New Roman" w:hAnsi="Times New Roman"/>
          <w:szCs w:val="24"/>
          <w:lang w:val="bg-BG"/>
        </w:rPr>
      </w:pPr>
      <w:r w:rsidRPr="00983733">
        <w:rPr>
          <w:rFonts w:ascii="Times New Roman" w:hAnsi="Times New Roman"/>
          <w:szCs w:val="24"/>
          <w:lang w:val="bg-BG"/>
        </w:rPr>
        <w:t>2026 г.  –  8 427,4 млн. евро проект.</w:t>
      </w:r>
    </w:p>
    <w:p w14:paraId="76217D28" w14:textId="77777777" w:rsidR="00983733" w:rsidRPr="00983733" w:rsidRDefault="00983733" w:rsidP="00983733">
      <w:pPr>
        <w:ind w:firstLine="709"/>
        <w:jc w:val="both"/>
        <w:rPr>
          <w:rFonts w:ascii="Times New Roman" w:hAnsi="Times New Roman"/>
          <w:szCs w:val="24"/>
          <w:lang w:val="bg-BG"/>
        </w:rPr>
      </w:pPr>
      <w:r w:rsidRPr="00983733">
        <w:rPr>
          <w:rFonts w:ascii="Times New Roman" w:hAnsi="Times New Roman"/>
          <w:szCs w:val="24"/>
          <w:lang w:val="bg-BG"/>
        </w:rPr>
        <w:t>В проектобюджета на ДОО за 2026 г.</w:t>
      </w:r>
      <w:r w:rsidRPr="00983733">
        <w:rPr>
          <w:rFonts w:ascii="Times New Roman" w:hAnsi="Times New Roman"/>
          <w:b/>
          <w:szCs w:val="24"/>
          <w:lang w:val="bg-BG"/>
        </w:rPr>
        <w:t xml:space="preserve"> </w:t>
      </w:r>
      <w:r w:rsidRPr="00983733">
        <w:rPr>
          <w:rFonts w:ascii="Times New Roman" w:hAnsi="Times New Roman"/>
          <w:szCs w:val="24"/>
          <w:lang w:val="bg-BG"/>
        </w:rPr>
        <w:t>приходите са увеличени общо със 647,7 млн. евро спрямо ЗБДОО за 2025 г. при изменения, както следва:</w:t>
      </w:r>
    </w:p>
    <w:p w14:paraId="7DCB5DFD" w14:textId="77777777" w:rsidR="00983733" w:rsidRPr="00983733" w:rsidRDefault="00983733" w:rsidP="00983733">
      <w:pPr>
        <w:numPr>
          <w:ilvl w:val="0"/>
          <w:numId w:val="4"/>
        </w:numPr>
        <w:tabs>
          <w:tab w:val="left" w:pos="993"/>
        </w:tabs>
        <w:ind w:left="0" w:firstLine="709"/>
        <w:jc w:val="both"/>
        <w:rPr>
          <w:rFonts w:ascii="Times New Roman" w:hAnsi="Times New Roman"/>
          <w:szCs w:val="24"/>
          <w:lang w:val="bg-BG"/>
        </w:rPr>
      </w:pPr>
      <w:r w:rsidRPr="00983733">
        <w:rPr>
          <w:rFonts w:ascii="Times New Roman" w:hAnsi="Times New Roman"/>
          <w:szCs w:val="24"/>
          <w:lang w:val="bg-BG"/>
        </w:rPr>
        <w:t xml:space="preserve">649,2 млн. евро увеличение на приходите от осигурителни вноски в съответствие с основните допускания и актуализираните разчети в прогнозата на НАП за 2026 г. по отношение на приходите от осигурителни вноски, разчетите за осигурителните вноски по реда на чл. 159 от Закона за публичните финанси, планираната обща политика по доходите за 2026 г – 10%, както и продължаване на политиката за увеличение на заплатите на педагогическите специалисти за достигане на средна работна заплата не по-малко от 125 % от средната работна заплата за страната; </w:t>
      </w:r>
    </w:p>
    <w:p w14:paraId="7DE1B9DA" w14:textId="77777777" w:rsidR="00983733" w:rsidRPr="00983733" w:rsidRDefault="00983733" w:rsidP="00983733">
      <w:pPr>
        <w:numPr>
          <w:ilvl w:val="0"/>
          <w:numId w:val="4"/>
        </w:numPr>
        <w:tabs>
          <w:tab w:val="left" w:pos="993"/>
        </w:tabs>
        <w:ind w:left="0" w:firstLine="709"/>
        <w:jc w:val="both"/>
        <w:rPr>
          <w:rFonts w:ascii="Times New Roman" w:hAnsi="Times New Roman"/>
          <w:szCs w:val="24"/>
          <w:lang w:val="bg-BG"/>
        </w:rPr>
      </w:pPr>
      <w:r w:rsidRPr="00983733">
        <w:rPr>
          <w:rFonts w:ascii="Times New Roman" w:hAnsi="Times New Roman"/>
          <w:szCs w:val="24"/>
          <w:lang w:val="bg-BG"/>
        </w:rPr>
        <w:t>1,5 млн. евро намаление на неданъчните приходи в резултат основно на по-ниския размер на планираните суми на приходите по договори за предоставяне на информация, които НОИ сключва с други субекти.</w:t>
      </w:r>
    </w:p>
    <w:p w14:paraId="57A3E5A4" w14:textId="77777777" w:rsidR="00983733" w:rsidRPr="00983733" w:rsidRDefault="00983733" w:rsidP="00983733">
      <w:pPr>
        <w:ind w:firstLine="720"/>
        <w:jc w:val="both"/>
        <w:rPr>
          <w:rFonts w:ascii="Times New Roman" w:hAnsi="Times New Roman"/>
          <w:szCs w:val="24"/>
          <w:lang w:val="bg-BG"/>
        </w:rPr>
      </w:pPr>
      <w:r w:rsidRPr="00983733">
        <w:rPr>
          <w:rFonts w:ascii="Times New Roman" w:hAnsi="Times New Roman"/>
          <w:szCs w:val="24"/>
          <w:lang w:val="bg-BG"/>
        </w:rPr>
        <w:t>Общият размер на приходите и получените трансфери за 2026 г. е 15 259,5 млн. евро, в т. ч. получени трансфери от централния бюджет – 6 832,1 млн. евро (за пенсии и добавки към тях, и парични обезщетения и помощи за сметка на държавния бюджет – 267,2 млн. евро и за покриване на недостига от средства – 6 564,9 млн. евро).</w:t>
      </w:r>
    </w:p>
    <w:p w14:paraId="45ADB1C0" w14:textId="77777777" w:rsidR="00983733" w:rsidRPr="00983733" w:rsidRDefault="00983733" w:rsidP="00983733">
      <w:pPr>
        <w:ind w:firstLine="720"/>
        <w:jc w:val="both"/>
        <w:rPr>
          <w:rFonts w:ascii="Times New Roman" w:hAnsi="Times New Roman"/>
          <w:szCs w:val="24"/>
          <w:lang w:val="bg-BG"/>
        </w:rPr>
      </w:pPr>
      <w:r w:rsidRPr="00983733">
        <w:rPr>
          <w:rFonts w:ascii="Times New Roman" w:hAnsi="Times New Roman"/>
          <w:szCs w:val="24"/>
          <w:lang w:val="bg-BG"/>
        </w:rPr>
        <w:t>В сравнение със ЗБДОО за 2025 г. е планирано увеличение на трансфера от централния бюджет за покриване на недостига от средства с 579,8 млн. евро. Като процент от общите разходи на ДОО трансферът за покриване на недостига ще се увеличи от 42,7% през 2025 г. до 43,0% през 2026 г.</w:t>
      </w:r>
    </w:p>
    <w:p w14:paraId="3388DF2E" w14:textId="77777777" w:rsidR="00983733" w:rsidRPr="00983733" w:rsidRDefault="00983733" w:rsidP="00983733">
      <w:pPr>
        <w:ind w:firstLine="720"/>
        <w:jc w:val="both"/>
        <w:rPr>
          <w:rFonts w:ascii="Times New Roman" w:hAnsi="Times New Roman"/>
          <w:szCs w:val="24"/>
          <w:lang w:val="bg-BG"/>
        </w:rPr>
      </w:pPr>
      <w:r w:rsidRPr="00983733">
        <w:rPr>
          <w:rFonts w:ascii="Times New Roman" w:hAnsi="Times New Roman"/>
          <w:szCs w:val="24"/>
          <w:lang w:val="bg-BG"/>
        </w:rPr>
        <w:t>Разходите по КБДОО са както следва:</w:t>
      </w:r>
    </w:p>
    <w:p w14:paraId="24E6A5AE" w14:textId="77777777" w:rsidR="00983733" w:rsidRPr="00983733" w:rsidRDefault="00983733" w:rsidP="00983733">
      <w:pPr>
        <w:ind w:left="720"/>
        <w:jc w:val="both"/>
        <w:rPr>
          <w:rFonts w:ascii="Times New Roman" w:hAnsi="Times New Roman"/>
          <w:b/>
          <w:bCs/>
          <w:szCs w:val="24"/>
          <w:lang w:val="bg-BG"/>
        </w:rPr>
      </w:pPr>
      <w:r w:rsidRPr="00983733">
        <w:rPr>
          <w:rFonts w:ascii="Times New Roman" w:hAnsi="Times New Roman"/>
          <w:szCs w:val="24"/>
          <w:lang w:val="bg-BG"/>
        </w:rPr>
        <w:t>2025 г.  –  14 000,2 млн. евро ЗБДОО,</w:t>
      </w:r>
    </w:p>
    <w:p w14:paraId="3F6EC001" w14:textId="77777777" w:rsidR="00983733" w:rsidRPr="00983733" w:rsidRDefault="00983733" w:rsidP="00983733">
      <w:pPr>
        <w:ind w:left="720"/>
        <w:jc w:val="both"/>
        <w:rPr>
          <w:rFonts w:ascii="Times New Roman" w:hAnsi="Times New Roman"/>
          <w:b/>
          <w:bCs/>
          <w:szCs w:val="24"/>
          <w:lang w:val="bg-BG"/>
        </w:rPr>
      </w:pPr>
      <w:r w:rsidRPr="00983733">
        <w:rPr>
          <w:rFonts w:ascii="Times New Roman" w:hAnsi="Times New Roman"/>
          <w:szCs w:val="24"/>
          <w:lang w:val="bg-BG"/>
        </w:rPr>
        <w:t>2026 г.  –  15 255,8 млн. евро проект.</w:t>
      </w:r>
    </w:p>
    <w:p w14:paraId="16C8BE42" w14:textId="77777777" w:rsidR="00983733" w:rsidRPr="00983733" w:rsidRDefault="00983733" w:rsidP="00983733">
      <w:pPr>
        <w:spacing w:before="120"/>
        <w:ind w:firstLine="720"/>
        <w:jc w:val="both"/>
        <w:rPr>
          <w:rFonts w:ascii="Times New Roman" w:hAnsi="Times New Roman"/>
          <w:szCs w:val="24"/>
          <w:lang w:val="bg-BG"/>
        </w:rPr>
      </w:pPr>
      <w:r w:rsidRPr="00983733">
        <w:rPr>
          <w:rFonts w:ascii="Times New Roman" w:hAnsi="Times New Roman"/>
          <w:szCs w:val="24"/>
          <w:lang w:val="bg-BG"/>
        </w:rPr>
        <w:t>Общият размер на разходите и предоставените трансфери за 2026 г. е 15 259,5 млн. евро, в т.ч. предоставени трансфери в размер на 3 783,6 хил. евро, от които 1 610,6 хил. евро за Министерство на здравеопазването, 2 045,2 хил. евро за Министерство на труда и социалната политика и 127,8 хил. евро за Министерство на транспорта и съобщенията.</w:t>
      </w:r>
    </w:p>
    <w:p w14:paraId="2E379FED"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При планиране на разходите за пенсии е взето предвид влиянието на демографските процеси, посочените параметри на пенсионната политика и промените в условията за пенсиониране за всички категории труд върху броя на пенсионерите и размерите на пенсиите.</w:t>
      </w:r>
    </w:p>
    <w:p w14:paraId="26FF188C"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xml:space="preserve">Средният брой на пенсионерите за 2026 г. се очаква да нарасне до около 2 066 700 лица. По-високият брой на пенсионерите спрямо ЗБДОО за 2025 г. с около 7 хиляди лица се обуславя от започналата през 2023 г. нарастваща тенденция в броя на новоотпуснатите пенсии, която се очаква да продължи и през 2026 г. </w:t>
      </w:r>
    </w:p>
    <w:p w14:paraId="235D7759"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Причините за нарастващия брой новоотпуснати пенсии са няколко.</w:t>
      </w:r>
    </w:p>
    <w:p w14:paraId="53B8458E"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xml:space="preserve">Със Закона за допълнение на Кодекса за социално осигуряване (ЗД на КСО),  обн. ДВ, бр. 8/25.01.2023 г., в сила от 29 януари 2023 г., е допълнена нормата на § 1,  ал. 1, т. 12 от Допълнителните разпоредби на Кодекса за социално осигуряване, по силата на която за действителен стаж се признава и периодът на наборна или мирновременна алтернативна служба, както и периодите по чл. 7 от Закона за политическа и гражданска реабилитация на репресирани лица. </w:t>
      </w:r>
    </w:p>
    <w:p w14:paraId="5F514994"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xml:space="preserve">Понятието „действителен стаж” е от значение за отпускането на пенсии за осигурителен стаж и възраст по чл. 68, ал. 3 от КСО, както и на пенсии за инвалидност поради общо заболяване, с оглед изискванията на чл. 74 от КСО. И двете разпоредби обвързват придобиването на право на пенсия с наличието на действителен стаж с </w:t>
      </w:r>
      <w:r w:rsidRPr="00983733">
        <w:rPr>
          <w:rFonts w:ascii="Times New Roman" w:hAnsi="Times New Roman"/>
          <w:bCs/>
          <w:szCs w:val="24"/>
          <w:lang w:val="bg-BG"/>
        </w:rPr>
        <w:lastRenderedPageBreak/>
        <w:t>определена минимална продължителност. Поради това, разширяването на периодите, които се зачитат за действителен стаж, води до увеличение в броя на правоимащите лица, които изпълняват изискването за наличие на действителен стаж, равен или с по-висока от минималната продължителност.</w:t>
      </w:r>
    </w:p>
    <w:p w14:paraId="4C80894F"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На следващо място, с ПМС № 13 за изменение и допълнение на Наредбата за медицинската експертиза (обн., ДВ, бр. 10 от 31.01.2023 г.) е променена Методиката за определяне на трайно намалената работоспособност. Преди промяната на Методиката, основното правило при определяне на трайно намалената работоспособност/вид и степен на увреждане при множество увреждания е да се вземе най-високия процент по съответната отправна точка на най-тежкото увреждане, а останалите проценти, които съответстват на съпътстващите увреждания да не се вземат предвид. След промяната на Методиката общият процент трайно намалена работоспособност/вид и степен на увреждане се определя, като към най-високия процент на най-тежкото увреждане се прибавят 20% от сбора на процентите на всички съпътстващи увреждания. Това обстоятелство допринася за увеличаването на броя на новоотпуснатите пенсии за инвалидност, както и на разходите на държавното обществено осигуряване.</w:t>
      </w:r>
    </w:p>
    <w:p w14:paraId="7A206DAB"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xml:space="preserve">Средният размер на пенсията на един пенсионер през 2026 г. се предвижда да достигне 541,20 евро. Номиналното нарастване е 8,5 на сто при среден размер в ЗБДОО за 2025 г. – 498,61 евро. Очаква се реален ръст на пенсиите от 4,8 на сто през 2026 г., при прогнозирана стойност на средногодишната инфлация по хармонизирания индекс на потребителските цени от 3,5 на сто за 2026 г. </w:t>
      </w:r>
    </w:p>
    <w:p w14:paraId="491C2E62"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xml:space="preserve">Брутният коефициент на заместване на дохода за 2026 г. се очаква да бъде 53,1 на сто, а нетният коефициент на заместване се очаква да достигне 69,1 на сто. </w:t>
      </w:r>
    </w:p>
    <w:p w14:paraId="592C49C8"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Разходите за пенсии през 2026 г. се очаква да бъдат в размер на 13 421,6 млн. евро. В планираните средства са включени разходите за пенсии от ДОО и държавния бюджет, както и добавките към пенсиите на ветераните от войните, добавките към пенсиите на репресираните лица по чл. 9 от ЗПГРРЛ, добавката по чл. 4 от ЗУНТОПБГ. Предвидените разходи са с 1 097,6 млн. евро или с 8,9% повече средства за пенсии спрямо ЗБДОО за 2025 г. Разликата се дължи основно на предвидени допълнителни средства за:</w:t>
      </w:r>
    </w:p>
    <w:p w14:paraId="131751E1"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целогодишното изплащане на увеличените от 1 юли 2025 г. с 8,6% размери на пенсиите за трудова дейност, на минималния размер на пенсията за осигурителен стаж и възраст и на социалната пенсия за старост, както и на обвързаните с тях минимални размери на пенсии и добавки – 514,0 млн. евро допълнително;</w:t>
      </w:r>
    </w:p>
    <w:p w14:paraId="00ACDE83"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осъвременяване на пенсиите от 1 юли 2026 г. с процента по чл. 100 от КСО, увеличаване със същия процент на минималния размер на пенсията за осигурителен стаж и възраст и на социалната пенсия за старост, както и на обвързаните с тях минимални размери на пенсии и добавки – 491,1 млн. евро допълнително;</w:t>
      </w:r>
    </w:p>
    <w:p w14:paraId="02E0FCCB"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изплащане на социална пенсия за старост в съответствие с направената през 2023 г. промяна в чл. 89а от КСО относно определяне правото за получаване на този вид пенсия – 4,1 млн. евро допълнително;</w:t>
      </w:r>
    </w:p>
    <w:p w14:paraId="0C4EA9E1"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изплащане на добавка за чужда помощ с съответствие с направената през 2023 г. промяна в чл. 103 от КСО, с която се увеличава обхвата на правоимащите лица, получаващи добавка за чужда помощ – 20,5 млн. евро допълнително;</w:t>
      </w:r>
    </w:p>
    <w:p w14:paraId="40D7C935"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увеличение на броя на новоотпуснатите пенсии по чл. 68, ал.3 и по чл. 74 от КСО в резултат на разширяването на дефиницията на понятието „Действителен стаж“ в § 1, ал. 1, т. 12 от Допълнителните разпоредби на КСО и на промяната в Методиката за определяне процента на трайно намалена работоспособност – 35,8 млн. евро допълнително;</w:t>
      </w:r>
    </w:p>
    <w:p w14:paraId="314EC4C0"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lastRenderedPageBreak/>
        <w:t>• служебно преизчисляване от 1 април всяка година за положен осигурителен стаж след упражняване правото на пенсия – 35,8 млн. евро допълнително;</w:t>
      </w:r>
    </w:p>
    <w:p w14:paraId="35DED9F5"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естествен ръст на разходите за пенсии, дължащ се на по-високите размери на новоотпуснатите пенсии в сравнение с размерите на прекратените, както и на изменението на някои пенсии от по-нисък в по-висок размер – 11,2 млн. евро допълнително.</w:t>
      </w:r>
    </w:p>
    <w:p w14:paraId="415C6E89"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xml:space="preserve">• </w:t>
      </w:r>
      <w:proofErr w:type="spellStart"/>
      <w:r w:rsidRPr="00983733">
        <w:rPr>
          <w:rFonts w:ascii="Times New Roman" w:hAnsi="Times New Roman"/>
          <w:bCs/>
          <w:szCs w:val="24"/>
          <w:lang w:val="bg-BG"/>
        </w:rPr>
        <w:t>превалутиране</w:t>
      </w:r>
      <w:proofErr w:type="spellEnd"/>
      <w:r w:rsidRPr="00983733">
        <w:rPr>
          <w:rFonts w:ascii="Times New Roman" w:hAnsi="Times New Roman"/>
          <w:bCs/>
          <w:szCs w:val="24"/>
          <w:lang w:val="bg-BG"/>
        </w:rPr>
        <w:t xml:space="preserve"> на пенсиите по чл. 45 от Закона за въвеждане на еврото в Република България от 1 януари 2026 г. – 0,4 млн. евро.</w:t>
      </w:r>
    </w:p>
    <w:p w14:paraId="12095224"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xml:space="preserve">Финансовият ефект от промяната в условията за пенсиониране е оценен на около 15,3 млн. евро намаление на разходите за пенсии. </w:t>
      </w:r>
    </w:p>
    <w:p w14:paraId="0AA0F6CA" w14:textId="77777777" w:rsidR="00983733" w:rsidRPr="00983733" w:rsidRDefault="00983733" w:rsidP="00983733">
      <w:pPr>
        <w:ind w:firstLine="709"/>
        <w:jc w:val="both"/>
        <w:rPr>
          <w:rFonts w:ascii="Times New Roman" w:hAnsi="Times New Roman"/>
          <w:bCs/>
          <w:szCs w:val="24"/>
          <w:lang w:val="bg-BG"/>
        </w:rPr>
      </w:pPr>
      <w:r w:rsidRPr="00983733">
        <w:rPr>
          <w:rFonts w:ascii="Times New Roman" w:hAnsi="Times New Roman"/>
          <w:bCs/>
          <w:szCs w:val="24"/>
          <w:lang w:val="bg-BG"/>
        </w:rPr>
        <w:t xml:space="preserve">Разходът за пенсии през 2026 г. се очаква да бъде около 11,3% от прогнозния БВП за същата година. </w:t>
      </w:r>
    </w:p>
    <w:p w14:paraId="5C285057"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xml:space="preserve">Разходите за паричните обезщетения и помощи за 2026 г. са съобразени с прогнозирания брой на осигурените лица и осигурителния им доход. </w:t>
      </w:r>
    </w:p>
    <w:p w14:paraId="119EF2D9"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xml:space="preserve">За 2026 г. общият разход за парични обезщетения и помощи възлиза на 1 721,9 млн. евро, което е с 9,6% повече спрямо ЗБДОО за 2025 г. </w:t>
      </w:r>
    </w:p>
    <w:p w14:paraId="19D72F20"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Разходите за основните групи краткосрочни обезщетения и парични помощи по КСО са:</w:t>
      </w:r>
    </w:p>
    <w:p w14:paraId="6F378C41"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Обезщетения за временна неработоспособност поради общо заболяване, гледане на болен член от семейството и карантина и нетрудови злополуки – 736,5 млн. евро. Планирани са обезщетения за 20 351,3 хиляди дни при среднодневно обезщетение от 36,19 евро;</w:t>
      </w:r>
    </w:p>
    <w:p w14:paraId="410C8B34"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Обезщетения за трудова злополука и професионална болест – 8,1 млн. евро. Планирани са обезщетения за 200,6 хиляди дни за временна неработоспособност поради трудова злополука и професионална болест при среднодневно обезщетение от 40,32 евро;</w:t>
      </w:r>
    </w:p>
    <w:p w14:paraId="194531D2"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Обезщетения за бременност и раждане – 444,5 млн. евро. Планирани са обезщетения за 9 685,1 хиляди дни за временна неработоспособност поради бременност и раждане при среднодневно обезщетение от 45,90 евро;</w:t>
      </w:r>
    </w:p>
    <w:p w14:paraId="0E94F64C"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Обезщетения за отглеждане на дете до двегодишна възраст – планираните обезщетения за отглеждане на дете до двегодишна възраст са разчетени при размер на обезщетението от 460,17 евро и възлизат на 176,7 млн. евро;</w:t>
      </w:r>
    </w:p>
    <w:p w14:paraId="03B96D26"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Обезщетения за осиновяване на дете до петгодишна възраст – 2,5 млн. евро.</w:t>
      </w:r>
    </w:p>
    <w:p w14:paraId="7B9CEC5F"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Обезщетения за отглеждане на дете до осемгодишна възраст от бащата/осиновителя – 1,3 млн. евро;</w:t>
      </w:r>
    </w:p>
    <w:p w14:paraId="4E24E0BD"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Парични обезщетения за безработица – 331,9 млн. евро. Планираните обезщетения са за 67,0 хиляди правоимащи лица средно на месец през годината, със средномесечен размер на обезщетението от 412,63 евро;</w:t>
      </w:r>
    </w:p>
    <w:p w14:paraId="77CE7F9C"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Финансиране на дейността по профилактика и рехабилитация – 19,1 млн. евро.</w:t>
      </w:r>
    </w:p>
    <w:p w14:paraId="4802726A"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Планираните разходи за групата “Програми, дейности и служби по социалното осигуряване, подпомагане и заетостта” са в размер на 110,9 млн. евро. Относителният дял на разходите за тази група, спрямо всички разходи на КБДОО за 2026 г. е 0,73 на сто.</w:t>
      </w:r>
    </w:p>
    <w:p w14:paraId="20EC3855"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Разходите за персонал са в размер на 79,7 млн. евро. Спрямо ЗБДОО 2025 г. е предвидено увеличение на разходите за персонал със 7,6 млн. евро, като резултат от:</w:t>
      </w:r>
    </w:p>
    <w:p w14:paraId="2139D6F8"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увеличението на размера на минималната работна заплата и размера на максималния осигурителен доход през 2026 г.;</w:t>
      </w:r>
    </w:p>
    <w:p w14:paraId="42F8A383"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планираната обща политика по доходите през 2026 г. – 10%.</w:t>
      </w:r>
    </w:p>
    <w:p w14:paraId="57A5B400"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xml:space="preserve">Разходите за административна издръжка са в размер на 28,5 млн. евро. Предвидените средства за капиталови разходи за 2026 г. в размер 2,3 млн. евро са </w:t>
      </w:r>
      <w:r w:rsidRPr="00983733">
        <w:rPr>
          <w:rFonts w:ascii="Times New Roman" w:hAnsi="Times New Roman"/>
          <w:bCs/>
          <w:color w:val="000000"/>
          <w:szCs w:val="24"/>
          <w:lang w:val="bg-BG"/>
        </w:rPr>
        <w:lastRenderedPageBreak/>
        <w:t>съобразени с необходимите действия за стопанисване, управление и обновяване на материалната база.</w:t>
      </w:r>
    </w:p>
    <w:p w14:paraId="0AF754EC"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За 2026 г. планираните средства за дейности 282 „Отбранително-мобилизационна подготовка, поддържане на запаси и мощности” и 283 „Превантивна дейност за намаляване на вредните последствия от бедствия и аварии” са в размер на 131 100 евро и са предназначени, както следва:</w:t>
      </w:r>
    </w:p>
    <w:p w14:paraId="4D818AF2" w14:textId="77777777" w:rsidR="00983733" w:rsidRPr="00983733" w:rsidRDefault="00983733" w:rsidP="00983733">
      <w:pPr>
        <w:numPr>
          <w:ilvl w:val="0"/>
          <w:numId w:val="3"/>
        </w:numPr>
        <w:tabs>
          <w:tab w:val="num" w:pos="993"/>
        </w:tabs>
        <w:ind w:left="0"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по Дейност 282 – финансиране на възнаграждения на персонала и осигурителните вноски за тях, издръжка на дейността, закупуване на индивидуални средства за защита.</w:t>
      </w:r>
    </w:p>
    <w:p w14:paraId="7DBC3C01" w14:textId="77777777" w:rsidR="00983733" w:rsidRPr="00983733" w:rsidRDefault="00983733" w:rsidP="00983733">
      <w:pPr>
        <w:numPr>
          <w:ilvl w:val="0"/>
          <w:numId w:val="3"/>
        </w:numPr>
        <w:tabs>
          <w:tab w:val="num" w:pos="993"/>
        </w:tabs>
        <w:ind w:left="0"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по Дейност 283 – за финансово осигуряване на ресурси за провеждане на превантивни мероприятия и организиране на начални спасителни и други неотложни мероприятия при възникването на бедствия (кризи, аварии и катастрофи) засягащи ЦУ на НОИ, неговите териториални поделения и системата на социалното осигуряване в страната.</w:t>
      </w:r>
    </w:p>
    <w:p w14:paraId="3956E741"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По проектобюджетите на отделните фондове за 2026 г. резултатите са следните:</w:t>
      </w:r>
    </w:p>
    <w:p w14:paraId="55F269E0" w14:textId="77777777" w:rsidR="00983733" w:rsidRPr="00983733" w:rsidRDefault="00983733" w:rsidP="00983733">
      <w:pPr>
        <w:numPr>
          <w:ilvl w:val="1"/>
          <w:numId w:val="1"/>
        </w:numPr>
        <w:ind w:left="993" w:hanging="284"/>
        <w:jc w:val="both"/>
        <w:rPr>
          <w:rFonts w:ascii="Times New Roman" w:hAnsi="Times New Roman"/>
          <w:szCs w:val="24"/>
          <w:lang w:val="bg-BG"/>
        </w:rPr>
      </w:pPr>
      <w:r w:rsidRPr="00983733">
        <w:rPr>
          <w:rFonts w:ascii="Times New Roman" w:hAnsi="Times New Roman"/>
          <w:szCs w:val="24"/>
          <w:lang w:val="bg-BG"/>
        </w:rPr>
        <w:t>Фонд „Пенсии” – недостиг от 6 518,5 млн. евро;</w:t>
      </w:r>
    </w:p>
    <w:p w14:paraId="4FD4983B" w14:textId="77777777" w:rsidR="00983733" w:rsidRPr="00983733" w:rsidRDefault="00983733" w:rsidP="00983733">
      <w:pPr>
        <w:numPr>
          <w:ilvl w:val="1"/>
          <w:numId w:val="1"/>
        </w:numPr>
        <w:ind w:left="993" w:hanging="284"/>
        <w:jc w:val="both"/>
        <w:rPr>
          <w:rFonts w:ascii="Times New Roman" w:hAnsi="Times New Roman"/>
          <w:szCs w:val="24"/>
          <w:lang w:val="bg-BG"/>
        </w:rPr>
      </w:pPr>
      <w:r w:rsidRPr="00983733">
        <w:rPr>
          <w:rFonts w:ascii="Times New Roman" w:hAnsi="Times New Roman"/>
          <w:szCs w:val="24"/>
          <w:lang w:val="bg-BG"/>
        </w:rPr>
        <w:t>Фонд „Пенсии за лицата по чл. 69” – недостиг от 58,0 млн. евро;</w:t>
      </w:r>
    </w:p>
    <w:p w14:paraId="29E0F1D1" w14:textId="77777777" w:rsidR="00983733" w:rsidRPr="00983733" w:rsidRDefault="00983733" w:rsidP="00983733">
      <w:pPr>
        <w:numPr>
          <w:ilvl w:val="1"/>
          <w:numId w:val="1"/>
        </w:numPr>
        <w:ind w:left="993" w:hanging="284"/>
        <w:jc w:val="both"/>
        <w:rPr>
          <w:rFonts w:ascii="Times New Roman" w:hAnsi="Times New Roman"/>
          <w:szCs w:val="24"/>
          <w:lang w:val="bg-BG"/>
        </w:rPr>
      </w:pPr>
      <w:r w:rsidRPr="00983733">
        <w:rPr>
          <w:rFonts w:ascii="Times New Roman" w:hAnsi="Times New Roman"/>
          <w:szCs w:val="24"/>
          <w:lang w:val="bg-BG"/>
        </w:rPr>
        <w:t>Фонд „Пенсии, несвързани с трудова дейност” – недостиг от</w:t>
      </w:r>
      <w:r w:rsidRPr="00983733">
        <w:rPr>
          <w:rFonts w:ascii="Times New Roman" w:hAnsi="Times New Roman"/>
          <w:szCs w:val="24"/>
          <w:lang w:val="bg-BG"/>
        </w:rPr>
        <w:br/>
        <w:t>0,02 млн. евро;</w:t>
      </w:r>
    </w:p>
    <w:p w14:paraId="35A9A55C" w14:textId="77777777" w:rsidR="00983733" w:rsidRPr="00983733" w:rsidRDefault="00983733" w:rsidP="00983733">
      <w:pPr>
        <w:numPr>
          <w:ilvl w:val="1"/>
          <w:numId w:val="1"/>
        </w:numPr>
        <w:ind w:left="993" w:hanging="284"/>
        <w:jc w:val="both"/>
        <w:rPr>
          <w:rFonts w:ascii="Times New Roman" w:hAnsi="Times New Roman"/>
          <w:szCs w:val="24"/>
          <w:lang w:val="bg-BG"/>
        </w:rPr>
      </w:pPr>
      <w:r w:rsidRPr="00983733">
        <w:rPr>
          <w:rFonts w:ascii="Times New Roman" w:hAnsi="Times New Roman"/>
          <w:szCs w:val="24"/>
          <w:lang w:val="bg-BG"/>
        </w:rPr>
        <w:t>Фонд „Трудова злополука и професионална болест” – излишък от</w:t>
      </w:r>
      <w:r w:rsidRPr="00983733">
        <w:rPr>
          <w:rFonts w:ascii="Times New Roman" w:hAnsi="Times New Roman"/>
          <w:szCs w:val="24"/>
          <w:lang w:val="bg-BG"/>
        </w:rPr>
        <w:br/>
        <w:t>187,2 млн. евро;</w:t>
      </w:r>
    </w:p>
    <w:p w14:paraId="48398A5F" w14:textId="77777777" w:rsidR="00983733" w:rsidRPr="00983733" w:rsidRDefault="00983733" w:rsidP="00983733">
      <w:pPr>
        <w:numPr>
          <w:ilvl w:val="1"/>
          <w:numId w:val="1"/>
        </w:numPr>
        <w:ind w:left="993" w:hanging="284"/>
        <w:jc w:val="both"/>
        <w:rPr>
          <w:rFonts w:ascii="Times New Roman" w:hAnsi="Times New Roman"/>
          <w:szCs w:val="24"/>
          <w:lang w:val="bg-BG"/>
        </w:rPr>
      </w:pPr>
      <w:r w:rsidRPr="00983733">
        <w:rPr>
          <w:rFonts w:ascii="Times New Roman" w:hAnsi="Times New Roman"/>
          <w:szCs w:val="24"/>
          <w:lang w:val="bg-BG"/>
        </w:rPr>
        <w:t>Фонд „Общо заболяване и майчинство“ – недостиг от 111,8 млн. евро;</w:t>
      </w:r>
    </w:p>
    <w:p w14:paraId="627E3115" w14:textId="77777777" w:rsidR="00983733" w:rsidRPr="00983733" w:rsidRDefault="00983733" w:rsidP="00983733">
      <w:pPr>
        <w:numPr>
          <w:ilvl w:val="1"/>
          <w:numId w:val="1"/>
        </w:numPr>
        <w:ind w:left="993" w:hanging="284"/>
        <w:jc w:val="both"/>
        <w:rPr>
          <w:rFonts w:ascii="Times New Roman" w:hAnsi="Times New Roman"/>
          <w:szCs w:val="24"/>
          <w:lang w:val="bg-BG"/>
        </w:rPr>
      </w:pPr>
      <w:r w:rsidRPr="00983733">
        <w:rPr>
          <w:rFonts w:ascii="Times New Roman" w:hAnsi="Times New Roman"/>
          <w:szCs w:val="24"/>
          <w:lang w:val="bg-BG"/>
        </w:rPr>
        <w:t>Фонд „Безработица” – недостиг от 2,0 млн. евро;</w:t>
      </w:r>
    </w:p>
    <w:p w14:paraId="1E2DD2EA" w14:textId="77777777" w:rsidR="00983733" w:rsidRPr="00983733" w:rsidRDefault="00983733" w:rsidP="00983733">
      <w:pPr>
        <w:numPr>
          <w:ilvl w:val="1"/>
          <w:numId w:val="1"/>
        </w:numPr>
        <w:ind w:left="993" w:hanging="284"/>
        <w:jc w:val="both"/>
        <w:rPr>
          <w:rFonts w:ascii="Times New Roman" w:hAnsi="Times New Roman"/>
          <w:szCs w:val="24"/>
          <w:lang w:val="bg-BG"/>
        </w:rPr>
      </w:pPr>
      <w:r w:rsidRPr="00983733">
        <w:rPr>
          <w:rFonts w:ascii="Times New Roman" w:hAnsi="Times New Roman"/>
          <w:szCs w:val="24"/>
          <w:lang w:val="bg-BG"/>
        </w:rPr>
        <w:t>Бюджет на НОИ – излишък от 6 503,1 млн. евро.</w:t>
      </w:r>
    </w:p>
    <w:p w14:paraId="5F011E24"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Общият резултат по фондовете и по бюджета на НОИ се балансира на нула.</w:t>
      </w:r>
    </w:p>
    <w:p w14:paraId="48EE41B0" w14:textId="77777777" w:rsidR="00983733" w:rsidRPr="00983733" w:rsidRDefault="00983733" w:rsidP="00983733">
      <w:pPr>
        <w:ind w:firstLine="709"/>
        <w:jc w:val="both"/>
        <w:rPr>
          <w:rFonts w:ascii="Times New Roman" w:hAnsi="Times New Roman"/>
          <w:bCs/>
          <w:color w:val="000000"/>
          <w:szCs w:val="24"/>
          <w:lang w:val="bg-BG"/>
        </w:rPr>
      </w:pPr>
    </w:p>
    <w:p w14:paraId="775AEB61"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xml:space="preserve">В преходните и заключителните разпоредби (ПЗР) на Закона за бюджета на държавното обществено осигуряване за 2026 г. се предлагат промени, свързани с осъществяването на политиката в областта на държавното обществено осигуряване. Предвидено е, че през 2026 г. не се прилага § 6 от ПЗР на Кодекса за социално осигуряване (КСО), който урежда механизма за определяне на максималния размер на получаваните една или повече пенсии без добавките към тях (40 на сто от максималния месечен размер на осигурителния доход). За 2026 г. максималният размер на получаваните една или повече пенсии без добавките към тях се запазва на нивото от 2025 г. и се определя в размер 1 738,40 евро.  </w:t>
      </w:r>
    </w:p>
    <w:p w14:paraId="7604DE66"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С § 5 от ПЗР на законопроекта са предлагат изменения на разпоредби в КСО.</w:t>
      </w:r>
    </w:p>
    <w:p w14:paraId="33D4DA21"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xml:space="preserve">С промяната на ал. 10 в чл. 6 от КСО се уеднаквява режимът на осигуряване на регистрираните земеделски стопани и тютюнопроизводители, произвеждащи непреработена растителна и/или животинска продукция с този на останалите самоосигуряващи се лица, вкл. регистрираните земеделски стопани и тютюнопроизводители, произвеждащи преработена растителна и/или животинска продукция. По този начин се постига  равнопоставеност с останалите самоосигуряващи се лица, които определят окончателен размер на осигурителния доход. Очакван ефект от промяната е и повишаването на  приходите от осигурителни вноски за фондовете на държавното обществено осигуряване и допълнителното задължително пенсионно осигуряване. </w:t>
      </w:r>
    </w:p>
    <w:p w14:paraId="07C0ED32"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xml:space="preserve">Промените в чл. 33, ал. 5, т. 11 и  чл. 37, ал. 5, т. 9 от КСО прецизират действащи разпоредби, които регламентират функциите и правомощията на НОИ и управителя на НОИ. </w:t>
      </w:r>
    </w:p>
    <w:p w14:paraId="0F585C67"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lastRenderedPageBreak/>
        <w:t xml:space="preserve">Съгласно т. 2 на Решение № 615 от 03.09.2025 г. на Министерския съвет, НОИ е определен като един от административните органи, които при изпълнение на своите функции възлагат изпълнението на тези дейности на „Информационно обслужване” АД.  Поради това е отменена ал. 9 на чл. 33 от КСО, като за всички въпроси, свързани със създаването, обработването, съхраняването и предоставянето на достъп до информацията, представляваща служебна тайна, се прилага Законът за защита на класифицираната информация. </w:t>
      </w:r>
    </w:p>
    <w:p w14:paraId="4BDD8899"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xml:space="preserve">Измененията в чл. 33, ал. 5, т. 12 и в чл. 40а от КСО са свързани с разработвания съвместно с Министерството на електронното управление, Министерството на здравеопазването и НОИ процес на пълна електронизация на издаването на болнични листове. Той е част от приоритетите в Програмата за управление на Република България, в която в областта на Електронното управление е заложено „Намаляване на бюрократичната и регулаторна тежест“ с цел „Намаляване на бюрократичната и регулаторна тежест при предоставянето на административни услуги“. Една от предвидените мерки е премахването на необходимостта от предоставяне на документи на хартиен носител при използването на 20 услуги, включително болничните листове. Чрез предложените изменения се осигурява достъп на осигурителите до издадените болнични листове на осигурените от тях лица. </w:t>
      </w:r>
    </w:p>
    <w:p w14:paraId="0CCE43BB"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xml:space="preserve">Действащото законодателство въвежда задължение за осигурените лица за представяне на болничния лист на хартия на техните осигурители за изплащане на паричните обезщетения за временна неработоспособност и бременност и раждане. С оглед електронизацията на процесите и желанието за намаляване административната тежест за гражданите и бизнеса, се предвижда създаването на възможност и специална административна услуга, посредством която осигурителите да узнават за издадени болнични листове на осигурените от тях лица, въз основа на данните в Електронния регистър на болничните листове и решенията по обжалването им и след съпоставяне с информацията в Единния електронен трудов запис и в Регистъра на осигурените лица. С оглед създаването на правно основание за предоставянето на тази услуга е предложено изменението в чл. 33, ал. 5, т. 12 КСО. </w:t>
      </w:r>
    </w:p>
    <w:p w14:paraId="600910DB"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xml:space="preserve">Срокът за представяне от осигурителите на документи и данни за изплащане на паричните обезщетения от НОИ също се привежда в съответствие с отпадането на задължението за представяне на болничен лист на хартия от осигурените лица. По този начин се гарантират правата на  осигурителите и осигурените относно датата, от която започва да тече срокът за представяне на необходимата информация в НОИ. </w:t>
      </w:r>
    </w:p>
    <w:p w14:paraId="56D89D0A"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В законодателството ни е уредено правото на платен отпуск и на съответните парични обезщетения при бременност и раждане, за отглеждане на дете до 2-годишна възраст, при осиновяване на дете до 5-годишна възраст и за отглеждане на дете до 8-годишна възраст от бащата (осиновителя). Регламентирано е и правото на парично обезщетение на родителите и осиновителите, които се завръщат на работа, без да ползват посочените отпуски. По-високият размер на това обезщетение увеличава стимулите на майките да се завърнат по-бързо на работа и осигурява възможност изцяло или частично да се компенсират разходите, свързани с отглеждането на детето. Според доклада „Икономически преглед на България“ на Организацията за икономическо сътрудничество и развитие от 2023 г., повишаването размера на обезщетението от 50 на 75 на сто от обезщетението за бременност и раждане би повишило и желанието на жените да раждат и да отглеждат деца. В тази връзка е отправена препоръка към България за такава промяна.</w:t>
      </w:r>
    </w:p>
    <w:p w14:paraId="4F0D6FA9"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xml:space="preserve">Факт е, че колкото по-продължително е отсъствието на родителите от работа, толкова по-вероятно е те да се деквалифицират, но са безспорни и ползите за ранното детско развитие от отглеждането на детето в семейна среда. Във всички случаи </w:t>
      </w:r>
      <w:r w:rsidRPr="00983733">
        <w:rPr>
          <w:rFonts w:ascii="Times New Roman" w:hAnsi="Times New Roman"/>
          <w:bCs/>
          <w:color w:val="000000"/>
          <w:szCs w:val="24"/>
          <w:lang w:val="bg-BG"/>
        </w:rPr>
        <w:lastRenderedPageBreak/>
        <w:t xml:space="preserve">решението дали да ползват отпуските за отглеждане на детето или да се върнат на работа е предоставено на родителите и осиновителите. </w:t>
      </w:r>
    </w:p>
    <w:p w14:paraId="518176DE"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xml:space="preserve">В тази връзка, с чл. 12 се определя размер от 460,17 евро на обезщетението за отглеждане на дете до 2-годишна възраст и за отглеждане на дете до 8-годишна възраст от бащата (осиновителя). С промените в чл. 50а, чл. 53г и чл. 54 от КСО, предложени с § 5, т. 5-7 от преходните и заключителните разпоредби на законопроекта се повишава размерът на обезщетенията при </w:t>
      </w:r>
      <w:proofErr w:type="spellStart"/>
      <w:r w:rsidRPr="00983733">
        <w:rPr>
          <w:rFonts w:ascii="Times New Roman" w:hAnsi="Times New Roman"/>
          <w:bCs/>
          <w:color w:val="000000"/>
          <w:szCs w:val="24"/>
          <w:lang w:val="bg-BG"/>
        </w:rPr>
        <w:t>неползване</w:t>
      </w:r>
      <w:proofErr w:type="spellEnd"/>
      <w:r w:rsidRPr="00983733">
        <w:rPr>
          <w:rFonts w:ascii="Times New Roman" w:hAnsi="Times New Roman"/>
          <w:bCs/>
          <w:color w:val="000000"/>
          <w:szCs w:val="24"/>
          <w:lang w:val="bg-BG"/>
        </w:rPr>
        <w:t xml:space="preserve"> на отпуските при майчинство от 50 на 75 на сто. По този начин се осигурява необходимата социална закрила и подкрепа за родителите при отглеждане на децата както в семейна среда, така и при завръщането на работа. </w:t>
      </w:r>
    </w:p>
    <w:p w14:paraId="6EB9FFA2"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С параграф 6 от ПЗР на законопроекта се предлагат промени в Закона за здравето (ЗЗ).</w:t>
      </w:r>
      <w:r w:rsidRPr="00983733">
        <w:rPr>
          <w:rFonts w:ascii="Times New Roman" w:hAnsi="Times New Roman"/>
          <w:bCs/>
          <w:szCs w:val="24"/>
          <w:lang w:val="bg-BG"/>
        </w:rPr>
        <w:t xml:space="preserve"> Те са предложени както с оглед правилното определяне правото и размера на паричните обезщетения и пенсиите, така и за осигуряване на възможност за осъществяването на стриктен контрол върху обществените средства във фондовете на държавното обществено осигуряване. Освен това, в съвременното общество, което все повече се електронизира и дигитализира, осигуряването на свързаност между системи и регистри, което води до ускоряване на административните производства и до намаляване на хартиения документооборот е от съществено значение. </w:t>
      </w:r>
      <w:r w:rsidRPr="00983733">
        <w:rPr>
          <w:rFonts w:ascii="Times New Roman" w:hAnsi="Times New Roman"/>
          <w:bCs/>
          <w:color w:val="000000"/>
          <w:szCs w:val="24"/>
          <w:lang w:val="bg-BG"/>
        </w:rPr>
        <w:t xml:space="preserve"> </w:t>
      </w:r>
    </w:p>
    <w:p w14:paraId="7090D3A6"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xml:space="preserve">В тази връзка с разпоредбата на чл. 28д, ал. 1 от ЗЗ е регламентирано кои институции имат право на достъп до Националната здравноинформационна система (НЗИС) - системата, в която се съдържа първичната медицинска документация, служеща като основание за определяне на процента трайно намалена работоспособност/вид и степен на увреждане, датата на </w:t>
      </w:r>
      <w:proofErr w:type="spellStart"/>
      <w:r w:rsidRPr="00983733">
        <w:rPr>
          <w:rFonts w:ascii="Times New Roman" w:hAnsi="Times New Roman"/>
          <w:bCs/>
          <w:color w:val="000000"/>
          <w:szCs w:val="24"/>
          <w:lang w:val="bg-BG"/>
        </w:rPr>
        <w:t>инвалидизиране</w:t>
      </w:r>
      <w:proofErr w:type="spellEnd"/>
      <w:r w:rsidRPr="00983733">
        <w:rPr>
          <w:rFonts w:ascii="Times New Roman" w:hAnsi="Times New Roman"/>
          <w:bCs/>
          <w:color w:val="000000"/>
          <w:szCs w:val="24"/>
          <w:lang w:val="bg-BG"/>
        </w:rPr>
        <w:t xml:space="preserve"> и срока на инвалидността в експертните решения на ТЕЛК/НЕЛК. Експертното решение на ТЕЛК/НЕЛК, в което е удостоверена трайно намалена работоспособност/вид и степен на увреждане над 50 на сто е документът, който служи като основание за отпускане на пенсии за инвалидност. С оглед упражняване на контрол за законосъобразност върху решенията на ТЕЛК/НЕЛК, в чл. 98 от КСО е дадена възможност на председателя на медицинската комисия към съответното териториално поделение на НОИ да обжалва експертното решение, когато е налице съмнение за неговата законосъобразност. За да бъде обоснована преценката дали експертното решение съответства на законовите изисквания е необходимо да бъде извършен преглед на първичната медицинска документация, която се съдържа в НЗИС. Поради това се предлага да бъде регламентиран достъп до системата на медицинските комисии към териториалните поделения на НОИ. По този начин ще се осигури по-голяма бързина на административните производства и ще се изпълнят основните принципи, залегнали в Закона за електронното управление.  </w:t>
      </w:r>
    </w:p>
    <w:p w14:paraId="7F14736C"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 xml:space="preserve">Предлага се и промяна в ЗЗ, свързана с установени случаи, при които след постановяване на експертното решение на ТЕЛК/НЕЛК, както и след изтичане на срока за неговото обжалване, се откриват нови факти и обстоятелства, в това число в хода на  наказателни производства, които са от значение за формиране на преценката за процента трайно намалена работоспособност/вид и степен на увреждане, срока на инвалидността и датата на </w:t>
      </w:r>
      <w:proofErr w:type="spellStart"/>
      <w:r w:rsidRPr="00983733">
        <w:rPr>
          <w:rFonts w:ascii="Times New Roman" w:hAnsi="Times New Roman"/>
          <w:bCs/>
          <w:color w:val="000000"/>
          <w:szCs w:val="24"/>
          <w:lang w:val="bg-BG"/>
        </w:rPr>
        <w:t>инвалидизиране</w:t>
      </w:r>
      <w:proofErr w:type="spellEnd"/>
      <w:r w:rsidRPr="00983733">
        <w:rPr>
          <w:rFonts w:ascii="Times New Roman" w:hAnsi="Times New Roman"/>
          <w:bCs/>
          <w:color w:val="000000"/>
          <w:szCs w:val="24"/>
          <w:lang w:val="bg-BG"/>
        </w:rPr>
        <w:t xml:space="preserve"> и съответно - за правото и размера на пенсията. При настоящата нормативна уредба не съществува правен механизъм за преразглеждане на експертните решения, извън хипотезите по чл. 99 от Административнопроцесуалния кодекс, който също е с ограничено приложение. Поради това се предлага създаването на чл. 113а в ЗЗ, който регламентира възможност в ограничени случаи ТЕЛК, по искане на НОИ, да може да се произнесе отново относно освидетелстване на лице с оглед новооткритите факти и обстоятелства, след представяне на актуална медицинска документация и извършване на преглед. </w:t>
      </w:r>
    </w:p>
    <w:p w14:paraId="4E9CFAA2"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lastRenderedPageBreak/>
        <w:t>Проектът на ЗБДОО за 2026 г. има за цел да осигури финансовата основа и да гарантира своевременното отпускане и изплащане на пенсиите, обезщетенията и помощите от държавното обществено осигуряване и по-доброто изпълнение на основните функции на Националния осигурителен институт.</w:t>
      </w:r>
    </w:p>
    <w:p w14:paraId="7747F130"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Очакваните резултати от прилагането на проекта на ЗБДОО за 2026 г. са свързани с подобряване на финансовата стабилност на държавното обществено осигуряване и повишаване на доходите от социалноосигурителни плащания.</w:t>
      </w:r>
    </w:p>
    <w:p w14:paraId="1DFCC490" w14:textId="77777777" w:rsidR="00983733" w:rsidRPr="00983733" w:rsidRDefault="00983733" w:rsidP="00983733">
      <w:pPr>
        <w:ind w:firstLine="709"/>
        <w:jc w:val="both"/>
        <w:rPr>
          <w:rFonts w:ascii="Times New Roman" w:hAnsi="Times New Roman"/>
          <w:bCs/>
          <w:color w:val="000000"/>
          <w:szCs w:val="24"/>
          <w:lang w:val="bg-BG"/>
        </w:rPr>
      </w:pPr>
      <w:r w:rsidRPr="00983733">
        <w:rPr>
          <w:rFonts w:ascii="Times New Roman" w:hAnsi="Times New Roman"/>
          <w:bCs/>
          <w:color w:val="000000"/>
          <w:szCs w:val="24"/>
          <w:lang w:val="bg-BG"/>
        </w:rPr>
        <w:t>За приемането на проекта на нормативен акт не са необходими допълнителни разходи/трансфери/други плащания. Предложеният проект на акт не води до въздействие върху държавния бюджет. Към проекта на акт е изготвена финансова обосновка, съгласно образеца по приложение № 2.2 към чл. 35, ал. 1, т. 4, буква „б“  от УПМСНА.</w:t>
      </w:r>
    </w:p>
    <w:p w14:paraId="050D8130" w14:textId="77777777" w:rsidR="00983733" w:rsidRPr="00983733" w:rsidRDefault="00983733" w:rsidP="00983733">
      <w:pPr>
        <w:widowControl w:val="0"/>
        <w:tabs>
          <w:tab w:val="left" w:pos="7580"/>
        </w:tabs>
        <w:autoSpaceDE w:val="0"/>
        <w:autoSpaceDN w:val="0"/>
        <w:adjustRightInd w:val="0"/>
        <w:ind w:firstLine="709"/>
        <w:jc w:val="both"/>
        <w:rPr>
          <w:rFonts w:ascii="Times New Roman" w:hAnsi="Times New Roman"/>
          <w:bCs/>
          <w:szCs w:val="24"/>
          <w:lang w:val="bg-BG" w:eastAsia="bg-BG"/>
        </w:rPr>
      </w:pPr>
      <w:r w:rsidRPr="00983733">
        <w:rPr>
          <w:rFonts w:ascii="Times New Roman" w:hAnsi="Times New Roman"/>
          <w:bCs/>
          <w:szCs w:val="24"/>
          <w:lang w:val="bg-BG" w:eastAsia="bg-BG"/>
        </w:rPr>
        <w:t xml:space="preserve">Съгласно § 1а, т. 1 от ДР на Закона за нормативните актове, глави втора и трета от същия закон, с изключение на изискването за мотиви по чл. 28, ал. 1, не се прилагат за законопроектите за държавния бюджет, за бюджета на държавното обществено осигуряване и за бюджета на Националната здравноосигурителна каса, както и за проекти на подзаконови нормативни актове, свързани с изпълнението на държавния бюджет. В тази връзка не е необходимо да бъде извършена оценка на въздействието, да се провеждат обществени консултации и да бъде изготвена справка за съответствието с Конвенцията за защита на правата на човека и основните свободи и с практиката на Европейския съд по правата на човека на проекта на ЗБДОО за 2026 г.  </w:t>
      </w:r>
    </w:p>
    <w:p w14:paraId="2D00C658" w14:textId="7221BCBE" w:rsidR="007F2214" w:rsidRDefault="00983733" w:rsidP="00983733">
      <w:pPr>
        <w:spacing w:before="120" w:line="288" w:lineRule="auto"/>
        <w:ind w:firstLine="1134"/>
        <w:jc w:val="both"/>
        <w:rPr>
          <w:rFonts w:ascii="Arial" w:hAnsi="Arial" w:cs="Arial"/>
          <w:sz w:val="26"/>
          <w:szCs w:val="26"/>
          <w:lang w:val="en-US"/>
        </w:rPr>
      </w:pPr>
      <w:r w:rsidRPr="00983733">
        <w:rPr>
          <w:rFonts w:ascii="Times New Roman" w:hAnsi="Times New Roman"/>
          <w:bCs/>
          <w:szCs w:val="24"/>
          <w:lang w:val="bg-BG" w:eastAsia="bg-BG"/>
        </w:rPr>
        <w:t>Приемането на предложения законопроект не налага да бъде изготвена справка за съответствие с европейското право, тъй като с материята, която регламентира актът, не се хармонизират актове на Европейския съюз.</w:t>
      </w:r>
    </w:p>
    <w:p w14:paraId="34C0A02F" w14:textId="77777777" w:rsidR="00A541D4" w:rsidRPr="00A541D4" w:rsidRDefault="00A541D4" w:rsidP="0010171F">
      <w:pPr>
        <w:spacing w:before="120" w:line="288" w:lineRule="auto"/>
        <w:ind w:firstLine="1134"/>
        <w:jc w:val="both"/>
        <w:rPr>
          <w:rFonts w:ascii="Arial" w:hAnsi="Arial" w:cs="Arial"/>
          <w:sz w:val="26"/>
          <w:szCs w:val="26"/>
          <w:lang w:val="en-US"/>
        </w:rPr>
      </w:pPr>
    </w:p>
    <w:p w14:paraId="11C5E18F" w14:textId="77777777" w:rsidR="000245C5" w:rsidRDefault="000245C5" w:rsidP="00D013AB">
      <w:pPr>
        <w:spacing w:before="120" w:line="288" w:lineRule="auto"/>
        <w:ind w:firstLine="1134"/>
        <w:jc w:val="both"/>
        <w:rPr>
          <w:rFonts w:ascii="Arial" w:hAnsi="Arial" w:cs="Arial"/>
          <w:sz w:val="26"/>
          <w:szCs w:val="26"/>
          <w:lang w:val="bg-BG"/>
        </w:rPr>
      </w:pPr>
    </w:p>
    <w:p w14:paraId="6F6AD847" w14:textId="77777777" w:rsidR="000245C5" w:rsidRPr="00683CAC" w:rsidRDefault="000245C5" w:rsidP="00D013AB">
      <w:pPr>
        <w:spacing w:before="120" w:line="288" w:lineRule="auto"/>
        <w:ind w:firstLine="1134"/>
        <w:jc w:val="both"/>
        <w:rPr>
          <w:rFonts w:ascii="Arial" w:hAnsi="Arial" w:cs="Arial"/>
          <w:sz w:val="26"/>
          <w:szCs w:val="26"/>
          <w:lang w:val="bg-BG"/>
        </w:rPr>
      </w:pPr>
    </w:p>
    <w:p w14:paraId="70F817DF" w14:textId="77777777" w:rsidR="00422E35" w:rsidRPr="00683CAC" w:rsidRDefault="00422E35" w:rsidP="00422E35">
      <w:pPr>
        <w:pStyle w:val="1"/>
        <w:tabs>
          <w:tab w:val="left" w:pos="709"/>
          <w:tab w:val="left" w:pos="851"/>
        </w:tabs>
        <w:spacing w:before="120" w:after="0" w:line="288" w:lineRule="auto"/>
        <w:ind w:left="0" w:firstLine="1134"/>
        <w:jc w:val="both"/>
        <w:rPr>
          <w:rFonts w:ascii="Times New Roman" w:hAnsi="Times New Roman"/>
          <w:b/>
          <w:sz w:val="26"/>
          <w:szCs w:val="26"/>
        </w:rPr>
      </w:pPr>
    </w:p>
    <w:p w14:paraId="78B8BE6B" w14:textId="77777777" w:rsidR="00422E35" w:rsidRPr="00683CAC" w:rsidRDefault="00422E35" w:rsidP="00422E35">
      <w:pPr>
        <w:tabs>
          <w:tab w:val="left" w:pos="1790"/>
        </w:tabs>
        <w:ind w:left="1134"/>
        <w:rPr>
          <w:rFonts w:ascii="Times New Roman" w:hAnsi="Times New Roman"/>
          <w:b/>
          <w:sz w:val="26"/>
          <w:szCs w:val="26"/>
          <w:lang w:val="bg-BG"/>
        </w:rPr>
      </w:pPr>
      <w:bookmarkStart w:id="0" w:name="_Hlk92799938"/>
      <w:r w:rsidRPr="00683CAC">
        <w:rPr>
          <w:rFonts w:ascii="Times New Roman" w:hAnsi="Times New Roman"/>
          <w:b/>
          <w:sz w:val="26"/>
          <w:szCs w:val="26"/>
          <w:lang w:val="bg-BG"/>
        </w:rPr>
        <w:t>МИНИСТЪР-ПРЕДСЕДАТЕЛ:</w:t>
      </w:r>
    </w:p>
    <w:bookmarkEnd w:id="0"/>
    <w:p w14:paraId="626E0B2D" w14:textId="68F6A2B5" w:rsidR="00422E35" w:rsidRPr="00683CAC" w:rsidRDefault="00BB1E56" w:rsidP="00422E35">
      <w:pPr>
        <w:tabs>
          <w:tab w:val="left" w:pos="1790"/>
        </w:tabs>
        <w:jc w:val="right"/>
        <w:rPr>
          <w:sz w:val="26"/>
          <w:szCs w:val="26"/>
          <w:lang w:val="bg-BG"/>
        </w:rPr>
      </w:pPr>
      <w:r>
        <w:rPr>
          <w:noProof/>
          <w:sz w:val="26"/>
          <w:szCs w:val="26"/>
          <w:lang w:val="bg-BG"/>
        </w:rPr>
        <w:pict w14:anchorId="58CCEB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25pt;height:95.75pt">
            <v:imagedata r:id="rId8" o:title=""/>
            <o:lock v:ext="edit" ungrouping="t" rotation="t" cropping="t" verticies="t" text="t" grouping="t"/>
            <o:signatureline v:ext="edit" id="{DFD14773-31B3-46C8-A149-1EF52BA38857}" provid="{00000000-0000-0000-0000-000000000000}" issignatureline="t"/>
          </v:shape>
        </w:pict>
      </w:r>
    </w:p>
    <w:p w14:paraId="32AFA460" w14:textId="77777777" w:rsidR="001C765C" w:rsidRDefault="001C765C" w:rsidP="00422E35">
      <w:pPr>
        <w:spacing w:before="120" w:line="288" w:lineRule="auto"/>
        <w:ind w:firstLine="1134"/>
        <w:jc w:val="both"/>
        <w:rPr>
          <w:lang w:val="bg-BG"/>
        </w:rPr>
      </w:pPr>
    </w:p>
    <w:p w14:paraId="1741C75A" w14:textId="77777777" w:rsidR="00E65BA3" w:rsidRPr="00683CAC" w:rsidRDefault="00E65BA3" w:rsidP="00422E35">
      <w:pPr>
        <w:spacing w:before="120" w:line="288" w:lineRule="auto"/>
        <w:ind w:firstLine="1134"/>
        <w:jc w:val="both"/>
        <w:rPr>
          <w:lang w:val="bg-BG"/>
        </w:rPr>
      </w:pPr>
    </w:p>
    <w:sectPr w:rsidR="00E65BA3" w:rsidRPr="00683CAC" w:rsidSect="0052153C">
      <w:headerReference w:type="even" r:id="rId9"/>
      <w:headerReference w:type="default" r:id="rId10"/>
      <w:footerReference w:type="default" r:id="rId11"/>
      <w:footerReference w:type="first" r:id="rId12"/>
      <w:pgSz w:w="11907" w:h="16840" w:code="9"/>
      <w:pgMar w:top="1134" w:right="1463" w:bottom="1418" w:left="1463"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7F394" w14:textId="77777777" w:rsidR="00B22ACD" w:rsidRDefault="00B22ACD">
      <w:r>
        <w:separator/>
      </w:r>
    </w:p>
  </w:endnote>
  <w:endnote w:type="continuationSeparator" w:id="0">
    <w:p w14:paraId="5EF83CBC" w14:textId="77777777" w:rsidR="00B22ACD" w:rsidRDefault="00B2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Bahnschrift Light"/>
    <w:charset w:val="00"/>
    <w:family w:val="swiss"/>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0AC3" w14:textId="55CA8FDC" w:rsidR="0052153C" w:rsidRPr="0052153C" w:rsidRDefault="0052153C" w:rsidP="0052153C">
    <w:pPr>
      <w:jc w:val="right"/>
      <w:rPr>
        <w:rFonts w:ascii="Times New Roman" w:hAnsi="Times New Roman"/>
        <w:i/>
        <w:caps/>
        <w:sz w:val="16"/>
        <w:szCs w:val="16"/>
        <w:lang w:val="ru-RU"/>
      </w:rPr>
    </w:pPr>
    <w:r w:rsidRPr="0052153C">
      <w:rPr>
        <w:rFonts w:ascii="Times New Roman" w:hAnsi="Times New Roman"/>
        <w:i/>
        <w:caps/>
        <w:sz w:val="16"/>
        <w:szCs w:val="16"/>
        <w:lang w:val="bg-BG"/>
      </w:rPr>
      <w:fldChar w:fldCharType="begin"/>
    </w:r>
    <w:r w:rsidRPr="0052153C">
      <w:rPr>
        <w:rFonts w:ascii="Times New Roman" w:hAnsi="Times New Roman"/>
        <w:i/>
        <w:caps/>
        <w:sz w:val="16"/>
        <w:szCs w:val="16"/>
        <w:lang w:val="bg-BG"/>
      </w:rPr>
      <w:instrText xml:space="preserve"> FILENAME  \* MERGEFORMAT </w:instrText>
    </w:r>
    <w:r w:rsidRPr="0052153C">
      <w:rPr>
        <w:rFonts w:ascii="Times New Roman" w:hAnsi="Times New Roman"/>
        <w:i/>
        <w:caps/>
        <w:sz w:val="16"/>
        <w:szCs w:val="16"/>
        <w:lang w:val="bg-BG"/>
      </w:rPr>
      <w:fldChar w:fldCharType="separate"/>
    </w:r>
    <w:r w:rsidR="00493144" w:rsidRPr="00493144">
      <w:rPr>
        <w:rFonts w:ascii="Times New Roman" w:hAnsi="Times New Roman"/>
        <w:i/>
        <w:caps/>
        <w:noProof/>
        <w:sz w:val="16"/>
        <w:szCs w:val="16"/>
        <w:lang w:val="ru-RU"/>
      </w:rPr>
      <w:t>rms-z-MOTIVI.docx</w:t>
    </w:r>
    <w:r w:rsidRPr="0052153C">
      <w:rPr>
        <w:rFonts w:ascii="Times New Roman" w:hAnsi="Times New Roman"/>
        <w:i/>
        <w:caps/>
        <w:sz w:val="16"/>
        <w:szCs w:val="16"/>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171D" w14:textId="628046D8" w:rsidR="00446581" w:rsidRPr="0052153C" w:rsidRDefault="00446581" w:rsidP="0052153C">
    <w:pPr>
      <w:jc w:val="right"/>
      <w:rPr>
        <w:rFonts w:ascii="Times New Roman" w:hAnsi="Times New Roman"/>
        <w:i/>
        <w:caps/>
        <w:sz w:val="16"/>
        <w:szCs w:val="16"/>
        <w:lang w:val="ru-RU"/>
      </w:rPr>
    </w:pPr>
    <w:r w:rsidRPr="0052153C">
      <w:rPr>
        <w:rFonts w:ascii="Times New Roman" w:hAnsi="Times New Roman"/>
        <w:i/>
        <w:caps/>
        <w:sz w:val="16"/>
        <w:szCs w:val="16"/>
        <w:lang w:val="bg-BG"/>
      </w:rPr>
      <w:fldChar w:fldCharType="begin"/>
    </w:r>
    <w:r w:rsidRPr="0052153C">
      <w:rPr>
        <w:rFonts w:ascii="Times New Roman" w:hAnsi="Times New Roman"/>
        <w:i/>
        <w:caps/>
        <w:sz w:val="16"/>
        <w:szCs w:val="16"/>
        <w:lang w:val="bg-BG"/>
      </w:rPr>
      <w:instrText xml:space="preserve"> FILENAME  \* MERGEFORMAT </w:instrText>
    </w:r>
    <w:r w:rsidRPr="0052153C">
      <w:rPr>
        <w:rFonts w:ascii="Times New Roman" w:hAnsi="Times New Roman"/>
        <w:i/>
        <w:caps/>
        <w:sz w:val="16"/>
        <w:szCs w:val="16"/>
        <w:lang w:val="bg-BG"/>
      </w:rPr>
      <w:fldChar w:fldCharType="separate"/>
    </w:r>
    <w:r w:rsidR="00493144" w:rsidRPr="00493144">
      <w:rPr>
        <w:rFonts w:ascii="Times New Roman" w:hAnsi="Times New Roman"/>
        <w:i/>
        <w:caps/>
        <w:noProof/>
        <w:sz w:val="16"/>
        <w:szCs w:val="16"/>
        <w:lang w:val="ru-RU"/>
      </w:rPr>
      <w:t>rms-z-MOTIVI.docx</w:t>
    </w:r>
    <w:r w:rsidRPr="0052153C">
      <w:rPr>
        <w:rFonts w:ascii="Times New Roman" w:hAnsi="Times New Roman"/>
        <w:i/>
        <w:caps/>
        <w:sz w:val="16"/>
        <w:szCs w:val="16"/>
        <w:lang w:val="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05093" w14:textId="77777777" w:rsidR="00B22ACD" w:rsidRDefault="00B22ACD">
      <w:r>
        <w:separator/>
      </w:r>
    </w:p>
  </w:footnote>
  <w:footnote w:type="continuationSeparator" w:id="0">
    <w:p w14:paraId="1CB746AF" w14:textId="77777777" w:rsidR="00B22ACD" w:rsidRDefault="00B22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710D" w14:textId="77777777" w:rsidR="00446581" w:rsidRDefault="004465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D1BC31" w14:textId="77777777" w:rsidR="00446581" w:rsidRDefault="00446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89CC" w14:textId="77777777" w:rsidR="00446581" w:rsidRDefault="004465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5BA3">
      <w:rPr>
        <w:rStyle w:val="PageNumber"/>
        <w:noProof/>
      </w:rPr>
      <w:t>2</w:t>
    </w:r>
    <w:r>
      <w:rPr>
        <w:rStyle w:val="PageNumber"/>
      </w:rPr>
      <w:fldChar w:fldCharType="end"/>
    </w:r>
  </w:p>
  <w:p w14:paraId="39142BEE" w14:textId="77777777" w:rsidR="00446581" w:rsidRDefault="00446581">
    <w:pPr>
      <w:pStyle w:val="Header"/>
      <w:rPr>
        <w:lang w:val="bg-BG"/>
      </w:rPr>
    </w:pPr>
  </w:p>
  <w:p w14:paraId="55E6149D" w14:textId="77777777" w:rsidR="00050D9F" w:rsidRPr="00050D9F" w:rsidRDefault="00050D9F">
    <w:pPr>
      <w:pStyle w:val="Header"/>
      <w:rPr>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C6929"/>
    <w:multiLevelType w:val="hybridMultilevel"/>
    <w:tmpl w:val="273E00B0"/>
    <w:lvl w:ilvl="0" w:tplc="6DAAA006">
      <w:numFmt w:val="bullet"/>
      <w:lvlText w:val="•"/>
      <w:lvlJc w:val="left"/>
      <w:pPr>
        <w:ind w:left="1429" w:hanging="360"/>
      </w:pPr>
      <w:rPr>
        <w:rFonts w:hint="default"/>
        <w:lang w:val="bg-BG" w:eastAsia="en-US" w:bidi="ar-SA"/>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 w15:restartNumberingAfterBreak="0">
    <w:nsid w:val="383E7047"/>
    <w:multiLevelType w:val="hybridMultilevel"/>
    <w:tmpl w:val="56BA9E24"/>
    <w:lvl w:ilvl="0" w:tplc="0E669DA0">
      <w:start w:val="1"/>
      <w:numFmt w:val="bullet"/>
      <w:lvlText w:val=""/>
      <w:lvlJc w:val="left"/>
      <w:pPr>
        <w:tabs>
          <w:tab w:val="num" w:pos="910"/>
        </w:tabs>
        <w:ind w:left="910" w:hanging="360"/>
      </w:pPr>
      <w:rPr>
        <w:rFonts w:ascii="Wingdings" w:hAnsi="Wingdings" w:hint="default"/>
      </w:rPr>
    </w:lvl>
    <w:lvl w:ilvl="1" w:tplc="EC925186">
      <w:start w:val="1"/>
      <w:numFmt w:val="bullet"/>
      <w:lvlText w:val=""/>
      <w:lvlJc w:val="left"/>
      <w:pPr>
        <w:tabs>
          <w:tab w:val="num" w:pos="1729"/>
        </w:tabs>
        <w:ind w:left="1729" w:hanging="459"/>
      </w:pPr>
      <w:rPr>
        <w:rFonts w:ascii="Symbol" w:hAnsi="Symbol" w:hint="default"/>
      </w:rPr>
    </w:lvl>
    <w:lvl w:ilvl="2" w:tplc="04020005">
      <w:start w:val="1"/>
      <w:numFmt w:val="bullet"/>
      <w:lvlText w:val=""/>
      <w:lvlJc w:val="left"/>
      <w:pPr>
        <w:tabs>
          <w:tab w:val="num" w:pos="2350"/>
        </w:tabs>
        <w:ind w:left="2350" w:hanging="360"/>
      </w:pPr>
      <w:rPr>
        <w:rFonts w:ascii="Wingdings" w:hAnsi="Wingdings" w:hint="default"/>
      </w:rPr>
    </w:lvl>
    <w:lvl w:ilvl="3" w:tplc="04020001" w:tentative="1">
      <w:start w:val="1"/>
      <w:numFmt w:val="bullet"/>
      <w:lvlText w:val=""/>
      <w:lvlJc w:val="left"/>
      <w:pPr>
        <w:tabs>
          <w:tab w:val="num" w:pos="3070"/>
        </w:tabs>
        <w:ind w:left="3070" w:hanging="360"/>
      </w:pPr>
      <w:rPr>
        <w:rFonts w:ascii="Symbol" w:hAnsi="Symbol" w:hint="default"/>
      </w:rPr>
    </w:lvl>
    <w:lvl w:ilvl="4" w:tplc="04020003" w:tentative="1">
      <w:start w:val="1"/>
      <w:numFmt w:val="bullet"/>
      <w:lvlText w:val="o"/>
      <w:lvlJc w:val="left"/>
      <w:pPr>
        <w:tabs>
          <w:tab w:val="num" w:pos="3790"/>
        </w:tabs>
        <w:ind w:left="3790" w:hanging="360"/>
      </w:pPr>
      <w:rPr>
        <w:rFonts w:ascii="Courier New" w:hAnsi="Courier New" w:cs="Courier New" w:hint="default"/>
      </w:rPr>
    </w:lvl>
    <w:lvl w:ilvl="5" w:tplc="04020005" w:tentative="1">
      <w:start w:val="1"/>
      <w:numFmt w:val="bullet"/>
      <w:lvlText w:val=""/>
      <w:lvlJc w:val="left"/>
      <w:pPr>
        <w:tabs>
          <w:tab w:val="num" w:pos="4510"/>
        </w:tabs>
        <w:ind w:left="4510" w:hanging="360"/>
      </w:pPr>
      <w:rPr>
        <w:rFonts w:ascii="Wingdings" w:hAnsi="Wingdings" w:hint="default"/>
      </w:rPr>
    </w:lvl>
    <w:lvl w:ilvl="6" w:tplc="04020001" w:tentative="1">
      <w:start w:val="1"/>
      <w:numFmt w:val="bullet"/>
      <w:lvlText w:val=""/>
      <w:lvlJc w:val="left"/>
      <w:pPr>
        <w:tabs>
          <w:tab w:val="num" w:pos="5230"/>
        </w:tabs>
        <w:ind w:left="5230" w:hanging="360"/>
      </w:pPr>
      <w:rPr>
        <w:rFonts w:ascii="Symbol" w:hAnsi="Symbol" w:hint="default"/>
      </w:rPr>
    </w:lvl>
    <w:lvl w:ilvl="7" w:tplc="04020003" w:tentative="1">
      <w:start w:val="1"/>
      <w:numFmt w:val="bullet"/>
      <w:lvlText w:val="o"/>
      <w:lvlJc w:val="left"/>
      <w:pPr>
        <w:tabs>
          <w:tab w:val="num" w:pos="5950"/>
        </w:tabs>
        <w:ind w:left="5950" w:hanging="360"/>
      </w:pPr>
      <w:rPr>
        <w:rFonts w:ascii="Courier New" w:hAnsi="Courier New" w:cs="Courier New" w:hint="default"/>
      </w:rPr>
    </w:lvl>
    <w:lvl w:ilvl="8" w:tplc="04020005" w:tentative="1">
      <w:start w:val="1"/>
      <w:numFmt w:val="bullet"/>
      <w:lvlText w:val=""/>
      <w:lvlJc w:val="left"/>
      <w:pPr>
        <w:tabs>
          <w:tab w:val="num" w:pos="6670"/>
        </w:tabs>
        <w:ind w:left="6670" w:hanging="360"/>
      </w:pPr>
      <w:rPr>
        <w:rFonts w:ascii="Wingdings" w:hAnsi="Wingdings" w:hint="default"/>
      </w:rPr>
    </w:lvl>
  </w:abstractNum>
  <w:abstractNum w:abstractNumId="2" w15:restartNumberingAfterBreak="0">
    <w:nsid w:val="491F679C"/>
    <w:multiLevelType w:val="hybridMultilevel"/>
    <w:tmpl w:val="54BE9470"/>
    <w:lvl w:ilvl="0" w:tplc="F336E49C">
      <w:start w:val="1"/>
      <w:numFmt w:val="bullet"/>
      <w:lvlText w:val=""/>
      <w:lvlJc w:val="left"/>
      <w:pPr>
        <w:ind w:left="720" w:hanging="360"/>
      </w:pPr>
      <w:rPr>
        <w:rFonts w:ascii="Symbol" w:hAnsi="Symbol" w:hint="default"/>
        <w:sz w:val="22"/>
        <w:szCs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653C7203"/>
    <w:multiLevelType w:val="hybridMultilevel"/>
    <w:tmpl w:val="AF806300"/>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num w:numId="1" w16cid:durableId="1419061571">
    <w:abstractNumId w:val="1"/>
  </w:num>
  <w:num w:numId="2" w16cid:durableId="298844192">
    <w:abstractNumId w:val="0"/>
  </w:num>
  <w:num w:numId="3" w16cid:durableId="2143958433">
    <w:abstractNumId w:val="3"/>
  </w:num>
  <w:num w:numId="4" w16cid:durableId="1222449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245C5"/>
    <w:rsid w:val="00040404"/>
    <w:rsid w:val="00043D21"/>
    <w:rsid w:val="00050D9F"/>
    <w:rsid w:val="0006233E"/>
    <w:rsid w:val="00065B09"/>
    <w:rsid w:val="0006731A"/>
    <w:rsid w:val="00076940"/>
    <w:rsid w:val="00080705"/>
    <w:rsid w:val="000A581F"/>
    <w:rsid w:val="000A7804"/>
    <w:rsid w:val="000B3D48"/>
    <w:rsid w:val="000B3F5C"/>
    <w:rsid w:val="000F4878"/>
    <w:rsid w:val="000F6735"/>
    <w:rsid w:val="00101719"/>
    <w:rsid w:val="0010171F"/>
    <w:rsid w:val="001019D1"/>
    <w:rsid w:val="0011488D"/>
    <w:rsid w:val="00114EA5"/>
    <w:rsid w:val="00147990"/>
    <w:rsid w:val="001902BA"/>
    <w:rsid w:val="001957DC"/>
    <w:rsid w:val="001B21EF"/>
    <w:rsid w:val="001B311D"/>
    <w:rsid w:val="001C1AA5"/>
    <w:rsid w:val="001C27B2"/>
    <w:rsid w:val="001C765C"/>
    <w:rsid w:val="001C7C50"/>
    <w:rsid w:val="001F0C5E"/>
    <w:rsid w:val="001F109F"/>
    <w:rsid w:val="001F3119"/>
    <w:rsid w:val="00200362"/>
    <w:rsid w:val="00216BB5"/>
    <w:rsid w:val="00224F7F"/>
    <w:rsid w:val="00234F17"/>
    <w:rsid w:val="002469B9"/>
    <w:rsid w:val="00251D6E"/>
    <w:rsid w:val="002553AB"/>
    <w:rsid w:val="00255B7D"/>
    <w:rsid w:val="00263307"/>
    <w:rsid w:val="002743E4"/>
    <w:rsid w:val="002A75C1"/>
    <w:rsid w:val="002C0227"/>
    <w:rsid w:val="002C08C4"/>
    <w:rsid w:val="002C6AFA"/>
    <w:rsid w:val="002D76CB"/>
    <w:rsid w:val="003160E8"/>
    <w:rsid w:val="00322981"/>
    <w:rsid w:val="00327C7B"/>
    <w:rsid w:val="00355E5E"/>
    <w:rsid w:val="00357B65"/>
    <w:rsid w:val="00361393"/>
    <w:rsid w:val="003A24FF"/>
    <w:rsid w:val="003A2A0D"/>
    <w:rsid w:val="003B1224"/>
    <w:rsid w:val="003B62B1"/>
    <w:rsid w:val="003C02E9"/>
    <w:rsid w:val="003C496A"/>
    <w:rsid w:val="003D6EE4"/>
    <w:rsid w:val="003E7829"/>
    <w:rsid w:val="00406D09"/>
    <w:rsid w:val="00410B81"/>
    <w:rsid w:val="00416062"/>
    <w:rsid w:val="00422E35"/>
    <w:rsid w:val="0043009C"/>
    <w:rsid w:val="004405FE"/>
    <w:rsid w:val="00446581"/>
    <w:rsid w:val="00485B7E"/>
    <w:rsid w:val="00487D19"/>
    <w:rsid w:val="00490227"/>
    <w:rsid w:val="00493144"/>
    <w:rsid w:val="004945E7"/>
    <w:rsid w:val="004B0E5E"/>
    <w:rsid w:val="004B5B01"/>
    <w:rsid w:val="004C4EC3"/>
    <w:rsid w:val="004C5C6C"/>
    <w:rsid w:val="004C6C33"/>
    <w:rsid w:val="005033E0"/>
    <w:rsid w:val="005075C6"/>
    <w:rsid w:val="0052153C"/>
    <w:rsid w:val="00524A62"/>
    <w:rsid w:val="005374EB"/>
    <w:rsid w:val="00543CA4"/>
    <w:rsid w:val="00552093"/>
    <w:rsid w:val="00557EA5"/>
    <w:rsid w:val="00590DC5"/>
    <w:rsid w:val="005B7385"/>
    <w:rsid w:val="005E0394"/>
    <w:rsid w:val="005E2FAA"/>
    <w:rsid w:val="00601E7F"/>
    <w:rsid w:val="006112DA"/>
    <w:rsid w:val="006126B0"/>
    <w:rsid w:val="006374F1"/>
    <w:rsid w:val="00680C33"/>
    <w:rsid w:val="00683CAC"/>
    <w:rsid w:val="00685B10"/>
    <w:rsid w:val="006D149C"/>
    <w:rsid w:val="006D2C17"/>
    <w:rsid w:val="006E20E3"/>
    <w:rsid w:val="006F4CBD"/>
    <w:rsid w:val="007006FE"/>
    <w:rsid w:val="0071097D"/>
    <w:rsid w:val="007216A1"/>
    <w:rsid w:val="00775FF6"/>
    <w:rsid w:val="00791C0B"/>
    <w:rsid w:val="007D0119"/>
    <w:rsid w:val="007E5BD8"/>
    <w:rsid w:val="007F2214"/>
    <w:rsid w:val="007F6BA8"/>
    <w:rsid w:val="00801C3F"/>
    <w:rsid w:val="00804255"/>
    <w:rsid w:val="0083405F"/>
    <w:rsid w:val="008464CC"/>
    <w:rsid w:val="0087096A"/>
    <w:rsid w:val="00881B55"/>
    <w:rsid w:val="008A019C"/>
    <w:rsid w:val="008A0F64"/>
    <w:rsid w:val="008B02D8"/>
    <w:rsid w:val="008C11C0"/>
    <w:rsid w:val="008E1559"/>
    <w:rsid w:val="008F293A"/>
    <w:rsid w:val="008F7AE5"/>
    <w:rsid w:val="00904DD3"/>
    <w:rsid w:val="00905B61"/>
    <w:rsid w:val="00916222"/>
    <w:rsid w:val="00932CF8"/>
    <w:rsid w:val="00982566"/>
    <w:rsid w:val="00983733"/>
    <w:rsid w:val="0099021C"/>
    <w:rsid w:val="00990366"/>
    <w:rsid w:val="009B76A3"/>
    <w:rsid w:val="009D7025"/>
    <w:rsid w:val="00A018E4"/>
    <w:rsid w:val="00A02A74"/>
    <w:rsid w:val="00A147BA"/>
    <w:rsid w:val="00A25CC8"/>
    <w:rsid w:val="00A27685"/>
    <w:rsid w:val="00A31E3E"/>
    <w:rsid w:val="00A34F2C"/>
    <w:rsid w:val="00A52257"/>
    <w:rsid w:val="00A541D4"/>
    <w:rsid w:val="00A57A93"/>
    <w:rsid w:val="00A6158C"/>
    <w:rsid w:val="00A83BB6"/>
    <w:rsid w:val="00A93DD8"/>
    <w:rsid w:val="00A94298"/>
    <w:rsid w:val="00A97573"/>
    <w:rsid w:val="00AA1688"/>
    <w:rsid w:val="00AB2D4B"/>
    <w:rsid w:val="00AD3749"/>
    <w:rsid w:val="00AF2C6E"/>
    <w:rsid w:val="00B03B72"/>
    <w:rsid w:val="00B06785"/>
    <w:rsid w:val="00B135FB"/>
    <w:rsid w:val="00B22ACD"/>
    <w:rsid w:val="00B5491F"/>
    <w:rsid w:val="00B62611"/>
    <w:rsid w:val="00B77163"/>
    <w:rsid w:val="00B93C5C"/>
    <w:rsid w:val="00BA4309"/>
    <w:rsid w:val="00BB0346"/>
    <w:rsid w:val="00BB0613"/>
    <w:rsid w:val="00BB0DFF"/>
    <w:rsid w:val="00BB1768"/>
    <w:rsid w:val="00BB1E56"/>
    <w:rsid w:val="00BB253E"/>
    <w:rsid w:val="00BB4014"/>
    <w:rsid w:val="00BB6180"/>
    <w:rsid w:val="00BC287C"/>
    <w:rsid w:val="00BE4C60"/>
    <w:rsid w:val="00C05E74"/>
    <w:rsid w:val="00C11F14"/>
    <w:rsid w:val="00C213CB"/>
    <w:rsid w:val="00C321AC"/>
    <w:rsid w:val="00C40247"/>
    <w:rsid w:val="00C40750"/>
    <w:rsid w:val="00C459B8"/>
    <w:rsid w:val="00C5560E"/>
    <w:rsid w:val="00C65583"/>
    <w:rsid w:val="00C800F6"/>
    <w:rsid w:val="00CA18A9"/>
    <w:rsid w:val="00CA3F1E"/>
    <w:rsid w:val="00CB73D9"/>
    <w:rsid w:val="00CC4E18"/>
    <w:rsid w:val="00CE3631"/>
    <w:rsid w:val="00CF4BBF"/>
    <w:rsid w:val="00CF73BF"/>
    <w:rsid w:val="00CF7BB6"/>
    <w:rsid w:val="00D013AB"/>
    <w:rsid w:val="00D1528B"/>
    <w:rsid w:val="00D26731"/>
    <w:rsid w:val="00D573B1"/>
    <w:rsid w:val="00D66264"/>
    <w:rsid w:val="00D6732C"/>
    <w:rsid w:val="00D71501"/>
    <w:rsid w:val="00D80E80"/>
    <w:rsid w:val="00D86E39"/>
    <w:rsid w:val="00D92A8F"/>
    <w:rsid w:val="00D9679C"/>
    <w:rsid w:val="00DC6199"/>
    <w:rsid w:val="00DE1005"/>
    <w:rsid w:val="00DE2D91"/>
    <w:rsid w:val="00DF29A2"/>
    <w:rsid w:val="00E01A69"/>
    <w:rsid w:val="00E07AEE"/>
    <w:rsid w:val="00E17DBD"/>
    <w:rsid w:val="00E20F63"/>
    <w:rsid w:val="00E27B98"/>
    <w:rsid w:val="00E522CC"/>
    <w:rsid w:val="00E522E9"/>
    <w:rsid w:val="00E5592E"/>
    <w:rsid w:val="00E65BA3"/>
    <w:rsid w:val="00E717E1"/>
    <w:rsid w:val="00EB0E3F"/>
    <w:rsid w:val="00EC40B3"/>
    <w:rsid w:val="00ED238C"/>
    <w:rsid w:val="00ED4BAB"/>
    <w:rsid w:val="00EE492F"/>
    <w:rsid w:val="00EE5996"/>
    <w:rsid w:val="00EE7D4F"/>
    <w:rsid w:val="00F0087E"/>
    <w:rsid w:val="00F141DB"/>
    <w:rsid w:val="00F24630"/>
    <w:rsid w:val="00F32064"/>
    <w:rsid w:val="00F41459"/>
    <w:rsid w:val="00F44114"/>
    <w:rsid w:val="00F503D8"/>
    <w:rsid w:val="00F512E1"/>
    <w:rsid w:val="00F90BFF"/>
    <w:rsid w:val="00F9263A"/>
    <w:rsid w:val="00FA009F"/>
    <w:rsid w:val="00FD5C41"/>
    <w:rsid w:val="00FE27C1"/>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A1021F"/>
  <w15:chartTrackingRefBased/>
  <w15:docId w15:val="{5290C22A-6C58-4292-B0B8-5371C644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2">
    <w:name w:val="heading 2"/>
    <w:basedOn w:val="Normal"/>
    <w:next w:val="Normal"/>
    <w:qFormat/>
    <w:pPr>
      <w:keepNext/>
      <w:ind w:left="1701" w:hanging="567"/>
      <w:outlineLvl w:val="1"/>
    </w:pPr>
    <w:rPr>
      <w:rFonts w:ascii="NewSaturionCyr" w:hAnsi="NewSaturionCyr"/>
      <w:b/>
      <w:sz w:val="26"/>
      <w:lang w:val="bg-BG"/>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Indent">
    <w:name w:val="Body Text Indent"/>
    <w:basedOn w:val="Normal"/>
    <w:pPr>
      <w:ind w:firstLine="1134"/>
      <w:jc w:val="both"/>
    </w:pPr>
    <w:rPr>
      <w:rFonts w:ascii="NewSaturionCyr" w:hAnsi="NewSaturionCyr"/>
      <w:sz w:val="26"/>
      <w:lang w:val="bg-BG"/>
    </w:rPr>
  </w:style>
  <w:style w:type="paragraph" w:styleId="BodyText">
    <w:name w:val="Body Text"/>
    <w:basedOn w:val="Normal"/>
    <w:rsid w:val="0071097D"/>
    <w:pPr>
      <w:spacing w:after="120"/>
    </w:pPr>
  </w:style>
  <w:style w:type="paragraph" w:customStyle="1" w:styleId="CharCharChar">
    <w:name w:val="Char Char Char Знак"/>
    <w:basedOn w:val="Normal"/>
    <w:rsid w:val="008E1559"/>
    <w:pPr>
      <w:tabs>
        <w:tab w:val="left" w:pos="709"/>
      </w:tabs>
    </w:pPr>
    <w:rPr>
      <w:rFonts w:ascii="Tahoma" w:hAnsi="Tahoma" w:cs="Tahoma"/>
      <w:szCs w:val="24"/>
      <w:lang w:val="pl-PL" w:eastAsia="pl-PL"/>
    </w:rPr>
  </w:style>
  <w:style w:type="paragraph" w:customStyle="1" w:styleId="1">
    <w:name w:val="Списък на абзаци1"/>
    <w:basedOn w:val="Normal"/>
    <w:rsid w:val="00422E35"/>
    <w:pPr>
      <w:spacing w:after="160" w:line="259" w:lineRule="auto"/>
      <w:ind w:left="720"/>
      <w:contextualSpacing/>
    </w:pPr>
    <w:rPr>
      <w:rFonts w:ascii="Calibri" w:hAnsi="Calibri"/>
      <w:sz w:val="22"/>
      <w:szCs w:val="22"/>
      <w:lang w:val="bg-BG"/>
    </w:rPr>
  </w:style>
  <w:style w:type="paragraph" w:customStyle="1" w:styleId="10">
    <w:name w:val="Без разредка1"/>
    <w:rsid w:val="00683CAC"/>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551052">
      <w:bodyDiv w:val="1"/>
      <w:marLeft w:val="0"/>
      <w:marRight w:val="0"/>
      <w:marTop w:val="0"/>
      <w:marBottom w:val="0"/>
      <w:divBdr>
        <w:top w:val="none" w:sz="0" w:space="0" w:color="auto"/>
        <w:left w:val="none" w:sz="0" w:space="0" w:color="auto"/>
        <w:bottom w:val="none" w:sz="0" w:space="0" w:color="auto"/>
        <w:right w:val="none" w:sz="0" w:space="0" w:color="auto"/>
      </w:divBdr>
    </w:div>
    <w:div w:id="905988467">
      <w:bodyDiv w:val="1"/>
      <w:marLeft w:val="0"/>
      <w:marRight w:val="0"/>
      <w:marTop w:val="0"/>
      <w:marBottom w:val="0"/>
      <w:divBdr>
        <w:top w:val="none" w:sz="0" w:space="0" w:color="auto"/>
        <w:left w:val="none" w:sz="0" w:space="0" w:color="auto"/>
        <w:bottom w:val="none" w:sz="0" w:space="0" w:color="auto"/>
        <w:right w:val="none" w:sz="0" w:space="0" w:color="auto"/>
      </w:divBdr>
    </w:div>
    <w:div w:id="15276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9EB81-59CC-4D8A-8904-04742C91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4432</Words>
  <Characters>24361</Characters>
  <Application>Microsoft Office Word</Application>
  <DocSecurity>0</DocSecurity>
  <Lines>203</Lines>
  <Paragraphs>57</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2025-11-13T09:42:00Z</cp:lastPrinted>
  <dcterms:created xsi:type="dcterms:W3CDTF">2025-12-08T13:48:00Z</dcterms:created>
  <dcterms:modified xsi:type="dcterms:W3CDTF">2025-12-08T13:48:00Z</dcterms:modified>
</cp:coreProperties>
</file>