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0EE174CD" w:rsidR="00683DAE" w:rsidRDefault="00683DAE">
      <w:pPr>
        <w:pStyle w:val="Title"/>
        <w:rPr>
          <w:noProof/>
          <w:lang w:val="en-US"/>
        </w:rPr>
      </w:pPr>
    </w:p>
    <w:p w14:paraId="19DD2AD0" w14:textId="77777777" w:rsidR="002A16A6" w:rsidRDefault="002A16A6">
      <w:pPr>
        <w:pStyle w:val="Title"/>
        <w:rPr>
          <w:noProof/>
          <w:lang w:val="en-US"/>
        </w:rPr>
      </w:pPr>
    </w:p>
    <w:p w14:paraId="0F2C1A88" w14:textId="77777777" w:rsidR="002A16A6" w:rsidRDefault="002A16A6">
      <w:pPr>
        <w:pStyle w:val="Title"/>
        <w:rPr>
          <w:noProof/>
          <w:lang w:val="en-US"/>
        </w:rPr>
      </w:pPr>
    </w:p>
    <w:p w14:paraId="3DF1DE4B" w14:textId="77777777" w:rsidR="002A16A6" w:rsidRDefault="002A16A6">
      <w:pPr>
        <w:pStyle w:val="Title"/>
        <w:rPr>
          <w:noProof/>
          <w:lang w:val="en-US"/>
        </w:rPr>
      </w:pPr>
    </w:p>
    <w:p w14:paraId="58AF2D34" w14:textId="77777777" w:rsidR="002A16A6" w:rsidRPr="002A16A6" w:rsidRDefault="002A16A6">
      <w:pPr>
        <w:pStyle w:val="Title"/>
        <w:rPr>
          <w:rFonts w:ascii="Times New Roman" w:hAnsi="Times New Roman"/>
          <w:lang w:val="en-US"/>
        </w:rPr>
      </w:pPr>
    </w:p>
    <w:p w14:paraId="566C11F2" w14:textId="77777777" w:rsidR="0069784B" w:rsidRPr="0047065C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47065C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47065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7065C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47065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7065C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47065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7065C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47065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7065C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47065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7065C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47065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7065C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47065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7065C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47065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7065C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47065C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47065C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47065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7065C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47065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7065C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47065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7065C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47065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7065C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47065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7065C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47065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7065C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47065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7065C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47065C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7065C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47065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7065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47065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7065C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47065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7065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47065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7065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47065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7065C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47065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7065C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47065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7065C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47065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7065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47065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7065C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47065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7065C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47065C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47065C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47065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7065C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47065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7065C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47065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7065C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47065C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47065C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679DEB35" w:rsidR="0069784B" w:rsidRPr="0047065C" w:rsidRDefault="0047065C" w:rsidP="00D36EA5">
      <w:pPr>
        <w:jc w:val="right"/>
        <w:rPr>
          <w:rFonts w:ascii="Arial" w:hAnsi="Arial"/>
          <w:szCs w:val="24"/>
          <w:lang w:val="bg-BG"/>
        </w:rPr>
      </w:pPr>
      <w:r w:rsidRPr="0047065C">
        <w:rPr>
          <w:rFonts w:ascii="Arial" w:hAnsi="Arial"/>
          <w:b/>
          <w:szCs w:val="24"/>
          <w:lang w:val="bg-BG"/>
        </w:rPr>
        <w:t>Препис</w:t>
      </w:r>
    </w:p>
    <w:p w14:paraId="178F5C39" w14:textId="77777777" w:rsidR="00AA1C46" w:rsidRPr="0047065C" w:rsidRDefault="00AA1C4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47065C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0B4A4D3A" w:rsidR="0069784B" w:rsidRPr="0047065C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47065C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47065C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47065C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47065C" w:rsidRPr="0047065C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283</w:t>
      </w:r>
    </w:p>
    <w:p w14:paraId="7958E6EF" w14:textId="77777777" w:rsidR="0069784B" w:rsidRPr="0047065C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31374E60" w:rsidR="0069784B" w:rsidRPr="0047065C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7065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47065C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47065C" w:rsidRPr="0047065C">
        <w:rPr>
          <w:rFonts w:ascii="Times New Roman" w:hAnsi="Times New Roman"/>
          <w:b/>
          <w:sz w:val="30"/>
          <w:szCs w:val="30"/>
          <w:lang w:val="bg-BG"/>
        </w:rPr>
        <w:t>12</w:t>
      </w:r>
      <w:r w:rsidR="0069784B" w:rsidRPr="0047065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216388" w:rsidRPr="0047065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9784B" w:rsidRPr="0047065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="0047065C" w:rsidRPr="0047065C">
        <w:rPr>
          <w:rFonts w:ascii="Times New Roman" w:hAnsi="Times New Roman"/>
          <w:b/>
          <w:sz w:val="30"/>
          <w:szCs w:val="30"/>
          <w:lang w:val="bg-BG"/>
        </w:rPr>
        <w:t>декември</w:t>
      </w:r>
      <w:r w:rsidR="0069784B" w:rsidRPr="0047065C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5C05D8" w:rsidRPr="0047065C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 w:rsidRPr="0047065C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47065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7065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47065C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47065C" w:rsidRDefault="005866D4">
      <w:pPr>
        <w:rPr>
          <w:rFonts w:ascii="Times New Roman" w:hAnsi="Times New Roman"/>
          <w:b/>
          <w:lang w:val="bg-BG"/>
        </w:rPr>
      </w:pPr>
    </w:p>
    <w:p w14:paraId="57616697" w14:textId="7E3E9B9E" w:rsidR="0069784B" w:rsidRPr="0047065C" w:rsidRDefault="0069784B" w:rsidP="00EF708B">
      <w:pPr>
        <w:tabs>
          <w:tab w:val="left" w:pos="8080"/>
        </w:tabs>
        <w:spacing w:line="276" w:lineRule="auto"/>
        <w:ind w:left="1701" w:right="1417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47065C">
        <w:rPr>
          <w:rFonts w:ascii="NewSaturionCyr" w:hAnsi="NewSaturionCyr" w:cs="Arial"/>
          <w:b/>
          <w:sz w:val="28"/>
          <w:szCs w:val="28"/>
          <w:lang w:val="bg-BG"/>
        </w:rPr>
        <w:t>ЗА</w:t>
      </w:r>
      <w:r w:rsidR="00951281" w:rsidRPr="0047065C">
        <w:rPr>
          <w:rFonts w:ascii="NewSaturionCyr" w:hAnsi="NewSaturionCyr" w:cs="Arial"/>
          <w:b/>
          <w:sz w:val="28"/>
          <w:szCs w:val="28"/>
          <w:lang w:val="bg-BG"/>
        </w:rPr>
        <w:t xml:space="preserve"> </w:t>
      </w:r>
      <w:bookmarkStart w:id="0" w:name="_Hlk216431261"/>
      <w:r w:rsidR="00EF708B" w:rsidRPr="0047065C">
        <w:rPr>
          <w:rFonts w:ascii="Arial" w:hAnsi="Arial" w:cs="Arial"/>
          <w:b/>
          <w:smallCaps/>
          <w:sz w:val="28"/>
          <w:szCs w:val="28"/>
          <w:shd w:val="clear" w:color="auto" w:fill="FEFEFE"/>
          <w:lang w:val="bg-BG" w:eastAsia="bg-BG"/>
        </w:rPr>
        <w:t xml:space="preserve">одобряване на </w:t>
      </w:r>
      <w:proofErr w:type="spellStart"/>
      <w:r w:rsidR="00EF708B" w:rsidRPr="0047065C">
        <w:rPr>
          <w:rFonts w:ascii="Arial" w:hAnsi="Arial" w:cs="Arial"/>
          <w:b/>
          <w:smallCaps/>
          <w:sz w:val="28"/>
          <w:szCs w:val="28"/>
          <w:shd w:val="clear" w:color="auto" w:fill="FEFEFE"/>
          <w:lang w:val="bg-BG" w:eastAsia="bg-BG"/>
        </w:rPr>
        <w:t>вътрешнокомпенсирани</w:t>
      </w:r>
      <w:proofErr w:type="spellEnd"/>
      <w:r w:rsidR="00EF708B" w:rsidRPr="0047065C">
        <w:rPr>
          <w:rFonts w:ascii="Arial" w:hAnsi="Arial" w:cs="Arial"/>
          <w:b/>
          <w:smallCaps/>
          <w:sz w:val="28"/>
          <w:szCs w:val="28"/>
          <w:shd w:val="clear" w:color="auto" w:fill="FEFEFE"/>
          <w:lang w:val="bg-BG" w:eastAsia="bg-BG"/>
        </w:rPr>
        <w:t xml:space="preserve"> промени на утвърдените разходи по области на политики/бюджетни програми по бюджета на Министерството на финансите за 2025 г.</w:t>
      </w:r>
      <w:bookmarkEnd w:id="0"/>
    </w:p>
    <w:p w14:paraId="4EA99E59" w14:textId="77777777" w:rsidR="00E22D77" w:rsidRPr="0047065C" w:rsidRDefault="00E22D77" w:rsidP="00E22D77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5C2CA0F6" w14:textId="77777777" w:rsidR="00E22D77" w:rsidRPr="0047065C" w:rsidRDefault="00E22D77" w:rsidP="00E22D77">
      <w:pPr>
        <w:jc w:val="center"/>
        <w:rPr>
          <w:rFonts w:ascii="Arial" w:hAnsi="Arial"/>
          <w:smallCaps/>
          <w:szCs w:val="24"/>
          <w:lang w:val="bg-BG"/>
        </w:rPr>
      </w:pPr>
    </w:p>
    <w:p w14:paraId="3727D509" w14:textId="77777777" w:rsidR="0069784B" w:rsidRPr="0047065C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47065C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47065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7065C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47065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7065C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47065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7065C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47065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7065C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47065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7065C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47065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7065C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47065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7065C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47065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7065C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47065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7065C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47065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7065C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47065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7065C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47065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7065C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47065C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47065C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47065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7065C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47065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7065C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47065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7065C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47065C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47065C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47065C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7065C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47065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7065C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47065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7065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47065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7065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47065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7065C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47065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7065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47065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7065C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47065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7065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47065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7065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47065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47065C" w:rsidRDefault="0069784B">
      <w:pPr>
        <w:jc w:val="center"/>
        <w:rPr>
          <w:rFonts w:ascii="Arial" w:hAnsi="Arial"/>
          <w:spacing w:val="40"/>
          <w:szCs w:val="24"/>
          <w:lang w:val="bg-BG"/>
        </w:rPr>
      </w:pPr>
    </w:p>
    <w:p w14:paraId="071FC1C2" w14:textId="77777777" w:rsidR="00D706BF" w:rsidRPr="0047065C" w:rsidRDefault="00D706BF" w:rsidP="00CB6660">
      <w:pPr>
        <w:jc w:val="center"/>
        <w:rPr>
          <w:rFonts w:ascii="Arial" w:hAnsi="Arial"/>
          <w:smallCaps/>
          <w:szCs w:val="24"/>
          <w:lang w:val="bg-BG"/>
        </w:rPr>
      </w:pPr>
    </w:p>
    <w:p w14:paraId="6CB0FFC7" w14:textId="2A12B576" w:rsidR="00EF708B" w:rsidRPr="0047065C" w:rsidRDefault="00EF708B" w:rsidP="00EF708B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</w:pPr>
      <w:r w:rsidRPr="0047065C">
        <w:rPr>
          <w:rFonts w:ascii="Arial" w:hAnsi="Arial" w:cs="Arial"/>
          <w:b/>
          <w:sz w:val="28"/>
          <w:szCs w:val="28"/>
          <w:shd w:val="clear" w:color="auto" w:fill="FEFEFE"/>
          <w:lang w:val="bg-BG" w:eastAsia="bg-BG"/>
        </w:rPr>
        <w:t>Чл. 1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.</w:t>
      </w:r>
      <w:r w:rsidRPr="0047065C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 xml:space="preserve">Одобрява </w:t>
      </w:r>
      <w:proofErr w:type="spellStart"/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вътрешнокомпенсирани</w:t>
      </w:r>
      <w:proofErr w:type="spellEnd"/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 xml:space="preserve"> промени </w:t>
      </w:r>
      <w:r w:rsidRPr="0047065C">
        <w:rPr>
          <w:rFonts w:ascii="Arial" w:hAnsi="Arial" w:cs="Arial"/>
          <w:bCs/>
          <w:sz w:val="28"/>
          <w:szCs w:val="28"/>
          <w:shd w:val="clear" w:color="auto" w:fill="FEFEFE"/>
          <w:lang w:val="bg-BG" w:eastAsia="bg-BG"/>
        </w:rPr>
        <w:t>на утвърдените разходи по области на политики/бюджетни програми по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 xml:space="preserve"> бюджета на Министерството на финансите </w:t>
      </w:r>
      <w:r w:rsidRPr="0047065C">
        <w:rPr>
          <w:rFonts w:ascii="Arial" w:hAnsi="Arial" w:cs="Arial"/>
          <w:bCs/>
          <w:sz w:val="28"/>
          <w:szCs w:val="28"/>
          <w:shd w:val="clear" w:color="auto" w:fill="FEFEFE"/>
          <w:lang w:val="bg-BG" w:eastAsia="bg-BG"/>
        </w:rPr>
        <w:t>за 2025 г.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, както следва:</w:t>
      </w:r>
    </w:p>
    <w:p w14:paraId="5D515546" w14:textId="0C577722" w:rsidR="00EF708B" w:rsidRPr="0047065C" w:rsidRDefault="00EF708B" w:rsidP="00AD3747">
      <w:pPr>
        <w:widowControl w:val="0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</w:pP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намалява утвърдените разходи по „Политика в областта на устойчивите и прозрачни публични финанси“</w:t>
      </w:r>
      <w:r w:rsidR="00600106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,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 xml:space="preserve"> по бюджетна програма „Защита на публичните финансови интереси“ с 250</w:t>
      </w:r>
      <w:r w:rsidR="00600106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 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000</w:t>
      </w:r>
      <w:r w:rsidR="00600106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 xml:space="preserve"> 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лв., в т</w:t>
      </w:r>
      <w:r w:rsidR="00600106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.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ч</w:t>
      </w:r>
      <w:r w:rsidR="00600106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.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 xml:space="preserve"> </w:t>
      </w:r>
      <w:r w:rsidR="00600106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 xml:space="preserve">по 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показател „Персонал“ с 250 000 л</w:t>
      </w:r>
      <w:r w:rsidR="00600106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в.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;</w:t>
      </w:r>
    </w:p>
    <w:p w14:paraId="1441527F" w14:textId="43E3D00D" w:rsidR="00EF708B" w:rsidRPr="0047065C" w:rsidRDefault="00EF708B" w:rsidP="00AD3747">
      <w:pPr>
        <w:widowControl w:val="0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</w:pP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намалява утвърдените разходи по „Политика в областта на ефективното събиране на всички държавни приходи“</w:t>
      </w:r>
      <w:r w:rsidR="00600106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,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 xml:space="preserve"> по бюджетна програма „Администриране на държавните приходи“ с </w:t>
      </w:r>
      <w:r w:rsidR="00600106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br/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300 000 лв., в т</w:t>
      </w:r>
      <w:r w:rsidR="00600106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.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ч</w:t>
      </w:r>
      <w:r w:rsidR="00600106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.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 xml:space="preserve"> </w:t>
      </w:r>
      <w:r w:rsidR="00600106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 xml:space="preserve">по 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показател „Персонал“ с 300 000 л</w:t>
      </w:r>
      <w:r w:rsidR="00600106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в.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;</w:t>
      </w:r>
    </w:p>
    <w:p w14:paraId="2906937A" w14:textId="03AF499B" w:rsidR="00EF708B" w:rsidRPr="0047065C" w:rsidRDefault="00EF708B" w:rsidP="00AD3747">
      <w:pPr>
        <w:widowControl w:val="0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</w:pP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 xml:space="preserve">намалява утвърдените разходи по „Политика в областта на защитата на обществото и икономиката от финансови измами, контрабанда на стоки, изпиране на пари и финансиране на 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lastRenderedPageBreak/>
        <w:t>тероризма“</w:t>
      </w:r>
      <w:r w:rsidR="00600106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,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 xml:space="preserve"> по бюджетна програма „Интегриране на финансовата система във финансовата система на ЕС“ със 100 000 лв., в т</w:t>
      </w:r>
      <w:r w:rsidR="00600106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.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ч</w:t>
      </w:r>
      <w:r w:rsidR="00600106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.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 xml:space="preserve"> </w:t>
      </w:r>
      <w:r w:rsidR="00600106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 xml:space="preserve">по 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показател „Персонал“ със 100 000 л</w:t>
      </w:r>
      <w:r w:rsidR="00600106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в.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;</w:t>
      </w:r>
    </w:p>
    <w:p w14:paraId="7C5471C7" w14:textId="1B76B21E" w:rsidR="00EF708B" w:rsidRPr="0047065C" w:rsidRDefault="00EF708B" w:rsidP="00AD3747">
      <w:pPr>
        <w:widowControl w:val="0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</w:pP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намалява утвърдените разходи по бюджетна програма „Администрация“ с 400 000 лв.,</w:t>
      </w:r>
      <w:r w:rsidRPr="0047065C">
        <w:rPr>
          <w:rFonts w:ascii="Arial" w:hAnsi="Arial" w:cs="Arial"/>
          <w:sz w:val="28"/>
          <w:szCs w:val="28"/>
          <w:lang w:val="bg-BG"/>
        </w:rPr>
        <w:t xml:space="preserve"> 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в т</w:t>
      </w:r>
      <w:r w:rsidR="00600106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.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ч</w:t>
      </w:r>
      <w:r w:rsidR="00600106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.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 xml:space="preserve"> </w:t>
      </w:r>
      <w:r w:rsidR="00600106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 xml:space="preserve">по 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 xml:space="preserve">показател „Персонал“ с </w:t>
      </w:r>
      <w:r w:rsidR="00600106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br/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400 000 л</w:t>
      </w:r>
      <w:r w:rsidR="00600106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в.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;</w:t>
      </w:r>
    </w:p>
    <w:p w14:paraId="4E9DE3EA" w14:textId="72C5ABB0" w:rsidR="00EF708B" w:rsidRPr="0047065C" w:rsidRDefault="00EF708B" w:rsidP="00AD3747">
      <w:pPr>
        <w:widowControl w:val="0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</w:pP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увеличава утвърдените разходи по „Политика в областта на устойчивите и прозрачни публични финанси“</w:t>
      </w:r>
      <w:r w:rsidR="00AD3747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,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 xml:space="preserve"> по бюджетна програма „Бюджет и финансово управление“ с 900 000 лв., в т</w:t>
      </w:r>
      <w:r w:rsidR="00AD3747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.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ч</w:t>
      </w:r>
      <w:r w:rsidR="00AD3747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.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 xml:space="preserve"> </w:t>
      </w:r>
      <w:r w:rsidR="00AD3747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 xml:space="preserve">по 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показател „Персонал“ с 900 000 лв.;</w:t>
      </w:r>
    </w:p>
    <w:p w14:paraId="1A3D7555" w14:textId="1A62B269" w:rsidR="00EF708B" w:rsidRPr="0047065C" w:rsidRDefault="00EF708B" w:rsidP="00AD3747">
      <w:pPr>
        <w:widowControl w:val="0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before="120" w:line="288" w:lineRule="auto"/>
        <w:ind w:left="0" w:firstLine="1134"/>
        <w:jc w:val="both"/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</w:pP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увеличава утвърдените разходи по „Политика в областта на управлението на дълга“</w:t>
      </w:r>
      <w:r w:rsidR="00AD3747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,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 xml:space="preserve"> по бюджетна програма „Управление на ликвидността” със 150 000 лв., в т</w:t>
      </w:r>
      <w:r w:rsidR="00AD3747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.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ч</w:t>
      </w:r>
      <w:r w:rsidR="00AD3747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.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 xml:space="preserve"> </w:t>
      </w:r>
      <w:r w:rsidR="00AD3747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 xml:space="preserve">по 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 xml:space="preserve">показател „Персонал“ със </w:t>
      </w:r>
      <w:r w:rsidR="00AD3747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br/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150 000 л</w:t>
      </w:r>
      <w:r w:rsidR="00AD3747"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в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.</w:t>
      </w:r>
    </w:p>
    <w:p w14:paraId="42CAF1E1" w14:textId="2AC83960" w:rsidR="00EF708B" w:rsidRPr="0047065C" w:rsidRDefault="00EF708B" w:rsidP="00EF708B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47065C">
        <w:rPr>
          <w:rFonts w:ascii="Arial" w:hAnsi="Arial" w:cs="Arial"/>
          <w:b/>
          <w:sz w:val="28"/>
          <w:szCs w:val="28"/>
          <w:lang w:val="bg-BG" w:eastAsia="bg-BG"/>
        </w:rPr>
        <w:t>Чл. 2.</w:t>
      </w:r>
      <w:r w:rsidRPr="0047065C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 </w:t>
      </w:r>
      <w:r w:rsidRPr="0047065C">
        <w:rPr>
          <w:rFonts w:ascii="Arial" w:hAnsi="Arial" w:cs="Arial"/>
          <w:sz w:val="28"/>
          <w:szCs w:val="28"/>
          <w:lang w:val="bg-BG" w:eastAsia="bg-BG"/>
        </w:rPr>
        <w:t>Министърът на финансите да</w:t>
      </w:r>
      <w:r w:rsidRPr="0047065C">
        <w:rPr>
          <w:rFonts w:ascii="Arial" w:hAnsi="Arial" w:cs="Arial"/>
          <w:b/>
          <w:sz w:val="28"/>
          <w:szCs w:val="28"/>
          <w:lang w:val="bg-BG" w:eastAsia="bg-BG"/>
        </w:rPr>
        <w:t xml:space="preserve"> </w:t>
      </w:r>
      <w:r w:rsidRPr="0047065C">
        <w:rPr>
          <w:rFonts w:ascii="Arial" w:hAnsi="Arial" w:cs="Arial"/>
          <w:sz w:val="28"/>
          <w:szCs w:val="28"/>
          <w:lang w:val="bg-BG" w:eastAsia="bg-BG"/>
        </w:rPr>
        <w:t xml:space="preserve">извърши </w:t>
      </w:r>
      <w:r w:rsidRPr="0047065C">
        <w:rPr>
          <w:rFonts w:ascii="Arial" w:hAnsi="Arial" w:cs="Arial"/>
          <w:color w:val="000000"/>
          <w:sz w:val="28"/>
          <w:szCs w:val="28"/>
          <w:lang w:val="bg-BG" w:eastAsia="bg-BG"/>
        </w:rPr>
        <w:t xml:space="preserve">съответните </w:t>
      </w:r>
      <w:r w:rsidRPr="0047065C">
        <w:rPr>
          <w:rFonts w:ascii="Arial" w:hAnsi="Arial" w:cs="Arial"/>
          <w:sz w:val="28"/>
          <w:szCs w:val="28"/>
          <w:lang w:val="bg-BG" w:eastAsia="bg-BG"/>
        </w:rPr>
        <w:t>промени по бюджета на Министерството на финансите за 2025 г.</w:t>
      </w:r>
    </w:p>
    <w:p w14:paraId="79CA3BCB" w14:textId="5D6C82FD" w:rsidR="00EF708B" w:rsidRPr="0047065C" w:rsidRDefault="00EF708B" w:rsidP="00EF708B">
      <w:pPr>
        <w:widowControl w:val="0"/>
        <w:autoSpaceDE w:val="0"/>
        <w:autoSpaceDN w:val="0"/>
        <w:adjustRightInd w:val="0"/>
        <w:spacing w:before="240" w:after="240"/>
        <w:jc w:val="center"/>
        <w:rPr>
          <w:rFonts w:ascii="Times New Roman" w:hAnsi="Times New Roman"/>
          <w:b/>
          <w:bCs/>
          <w:smallCaps/>
          <w:sz w:val="28"/>
          <w:szCs w:val="28"/>
          <w:shd w:val="clear" w:color="auto" w:fill="FEFEFE"/>
          <w:lang w:val="bg-BG" w:eastAsia="bg-BG"/>
        </w:rPr>
      </w:pPr>
      <w:r w:rsidRPr="0047065C">
        <w:rPr>
          <w:rFonts w:ascii="Times New Roman" w:hAnsi="Times New Roman"/>
          <w:b/>
          <w:bCs/>
          <w:smallCaps/>
          <w:sz w:val="28"/>
          <w:szCs w:val="28"/>
          <w:shd w:val="clear" w:color="auto" w:fill="FEFEFE"/>
          <w:lang w:val="bg-BG" w:eastAsia="bg-BG"/>
        </w:rPr>
        <w:t>ЗАКЛЮЧИТЕЛНИ РАЗПОРЕДБИ</w:t>
      </w:r>
    </w:p>
    <w:p w14:paraId="5E24EE8A" w14:textId="77777777" w:rsidR="00EF708B" w:rsidRPr="0047065C" w:rsidRDefault="00EF708B" w:rsidP="00EF708B">
      <w:pPr>
        <w:widowControl w:val="0"/>
        <w:autoSpaceDE w:val="0"/>
        <w:autoSpaceDN w:val="0"/>
        <w:adjustRightInd w:val="0"/>
        <w:spacing w:before="120" w:line="288" w:lineRule="auto"/>
        <w:ind w:right="43" w:firstLine="1134"/>
        <w:jc w:val="both"/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</w:pPr>
      <w:r w:rsidRPr="0047065C">
        <w:rPr>
          <w:rFonts w:ascii="Arial" w:hAnsi="Arial" w:cs="Arial"/>
          <w:b/>
          <w:sz w:val="28"/>
          <w:szCs w:val="28"/>
          <w:lang w:val="bg-BG" w:eastAsia="bg-BG"/>
        </w:rPr>
        <w:t xml:space="preserve">§ 1. 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>Постановлението се приема на основание чл. 109, ал. 1 от Закона за публичните финанси</w:t>
      </w:r>
      <w:r w:rsidRPr="0047065C">
        <w:rPr>
          <w:rFonts w:ascii="Arial" w:hAnsi="Arial" w:cs="Arial"/>
          <w:bCs/>
          <w:sz w:val="28"/>
          <w:szCs w:val="28"/>
          <w:shd w:val="clear" w:color="auto" w:fill="FEFEFE"/>
          <w:lang w:val="bg-BG" w:eastAsia="bg-BG"/>
        </w:rPr>
        <w:t>.</w:t>
      </w:r>
    </w:p>
    <w:p w14:paraId="49E014F9" w14:textId="77777777" w:rsidR="00EF708B" w:rsidRPr="0047065C" w:rsidRDefault="00EF708B" w:rsidP="00EF708B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47065C">
        <w:rPr>
          <w:rFonts w:ascii="Arial" w:hAnsi="Arial" w:cs="Arial"/>
          <w:b/>
          <w:sz w:val="28"/>
          <w:szCs w:val="28"/>
          <w:shd w:val="clear" w:color="auto" w:fill="FEFEFE"/>
          <w:lang w:val="bg-BG" w:eastAsia="bg-BG"/>
        </w:rPr>
        <w:t>§ 2.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 xml:space="preserve"> Изпълнението на постановлението се възлага на министъра на финансите</w:t>
      </w:r>
      <w:r w:rsidRPr="0047065C">
        <w:rPr>
          <w:rFonts w:ascii="Arial" w:hAnsi="Arial" w:cs="Arial"/>
          <w:sz w:val="28"/>
          <w:szCs w:val="28"/>
          <w:lang w:val="bg-BG" w:eastAsia="bg-BG"/>
        </w:rPr>
        <w:t>.</w:t>
      </w:r>
    </w:p>
    <w:p w14:paraId="3491836D" w14:textId="77777777" w:rsidR="00EF708B" w:rsidRPr="0047065C" w:rsidRDefault="00EF708B" w:rsidP="00EF708B">
      <w:pPr>
        <w:widowControl w:val="0"/>
        <w:autoSpaceDE w:val="0"/>
        <w:autoSpaceDN w:val="0"/>
        <w:adjustRightInd w:val="0"/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 w:eastAsia="bg-BG"/>
        </w:rPr>
      </w:pPr>
      <w:r w:rsidRPr="0047065C">
        <w:rPr>
          <w:rFonts w:ascii="Arial" w:hAnsi="Arial" w:cs="Arial"/>
          <w:b/>
          <w:sz w:val="28"/>
          <w:szCs w:val="28"/>
          <w:shd w:val="clear" w:color="auto" w:fill="FEFEFE"/>
          <w:lang w:val="bg-BG" w:eastAsia="bg-BG"/>
        </w:rPr>
        <w:t>§ 3.</w:t>
      </w:r>
      <w:r w:rsidRPr="0047065C">
        <w:rPr>
          <w:rFonts w:ascii="Arial" w:hAnsi="Arial" w:cs="Arial"/>
          <w:sz w:val="28"/>
          <w:szCs w:val="28"/>
          <w:shd w:val="clear" w:color="auto" w:fill="FEFEFE"/>
          <w:lang w:val="bg-BG" w:eastAsia="bg-BG"/>
        </w:rPr>
        <w:t xml:space="preserve"> Постановлението влиза в сила от деня на обнародването му в „Държавен вестник“.</w:t>
      </w:r>
    </w:p>
    <w:p w14:paraId="36B988C9" w14:textId="77777777" w:rsidR="003E5FC1" w:rsidRPr="0047065C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Pr="0047065C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8B155D8" w14:textId="77777777" w:rsidR="0047065C" w:rsidRPr="0047065C" w:rsidRDefault="0047065C">
      <w:pPr>
        <w:ind w:firstLine="1134"/>
        <w:rPr>
          <w:rFonts w:ascii="Arial" w:hAnsi="Arial"/>
          <w:b/>
          <w:szCs w:val="24"/>
          <w:lang w:val="bg-BG"/>
        </w:rPr>
      </w:pPr>
      <w:r w:rsidRPr="0047065C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1636F1F9" w14:textId="77777777" w:rsidR="0047065C" w:rsidRPr="0047065C" w:rsidRDefault="0047065C">
      <w:pPr>
        <w:ind w:firstLine="1134"/>
        <w:rPr>
          <w:rFonts w:ascii="Arial" w:hAnsi="Arial"/>
          <w:b/>
          <w:szCs w:val="24"/>
          <w:lang w:val="bg-BG"/>
        </w:rPr>
      </w:pPr>
    </w:p>
    <w:p w14:paraId="54EDA144" w14:textId="77777777" w:rsidR="0047065C" w:rsidRPr="0047065C" w:rsidRDefault="0047065C">
      <w:pPr>
        <w:ind w:firstLine="1134"/>
        <w:rPr>
          <w:rFonts w:ascii="Arial" w:hAnsi="Arial"/>
          <w:b/>
          <w:szCs w:val="24"/>
          <w:lang w:val="bg-BG"/>
        </w:rPr>
      </w:pPr>
      <w:r w:rsidRPr="0047065C">
        <w:rPr>
          <w:rFonts w:ascii="Arial" w:hAnsi="Arial"/>
          <w:b/>
          <w:szCs w:val="24"/>
          <w:lang w:val="bg-BG"/>
        </w:rPr>
        <w:t>ГЛАВЕН СЕКРЕТАР НА</w:t>
      </w:r>
    </w:p>
    <w:p w14:paraId="3B50964E" w14:textId="77777777" w:rsidR="0047065C" w:rsidRPr="0047065C" w:rsidRDefault="0047065C">
      <w:pPr>
        <w:ind w:firstLine="1134"/>
        <w:rPr>
          <w:rFonts w:ascii="Arial" w:hAnsi="Arial"/>
          <w:b/>
          <w:szCs w:val="24"/>
          <w:lang w:val="bg-BG"/>
        </w:rPr>
      </w:pPr>
      <w:r w:rsidRPr="0047065C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47065C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1DA2F7B1" w14:textId="77777777" w:rsidR="0047065C" w:rsidRPr="0047065C" w:rsidRDefault="0047065C">
      <w:pPr>
        <w:ind w:left="1134"/>
        <w:rPr>
          <w:rFonts w:ascii="Arial" w:hAnsi="Arial"/>
          <w:b/>
          <w:szCs w:val="24"/>
          <w:lang w:val="bg-BG"/>
        </w:rPr>
      </w:pPr>
    </w:p>
    <w:sectPr w:rsidR="0047065C" w:rsidRPr="0047065C" w:rsidSect="005130E4">
      <w:headerReference w:type="even" r:id="rId7"/>
      <w:headerReference w:type="default" r:id="rId8"/>
      <w:pgSz w:w="11906" w:h="16838" w:code="9"/>
      <w:pgMar w:top="1135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4A2F5" w14:textId="77777777" w:rsidR="00C3597C" w:rsidRDefault="00C3597C">
      <w:r>
        <w:separator/>
      </w:r>
    </w:p>
  </w:endnote>
  <w:endnote w:type="continuationSeparator" w:id="0">
    <w:p w14:paraId="55428158" w14:textId="77777777" w:rsidR="00C3597C" w:rsidRDefault="00C3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3D817" w14:textId="77777777" w:rsidR="00C3597C" w:rsidRDefault="00C3597C">
      <w:r>
        <w:separator/>
      </w:r>
    </w:p>
  </w:footnote>
  <w:footnote w:type="continuationSeparator" w:id="0">
    <w:p w14:paraId="741DC0EE" w14:textId="77777777" w:rsidR="00C3597C" w:rsidRDefault="00C35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6063025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B5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618B1"/>
    <w:multiLevelType w:val="hybridMultilevel"/>
    <w:tmpl w:val="BE8818A4"/>
    <w:lvl w:ilvl="0" w:tplc="0402000F">
      <w:start w:val="1"/>
      <w:numFmt w:val="decimal"/>
      <w:lvlText w:val="%1."/>
      <w:lvlJc w:val="left"/>
      <w:pPr>
        <w:ind w:left="1352" w:hanging="360"/>
      </w:pPr>
    </w:lvl>
    <w:lvl w:ilvl="1" w:tplc="04020019" w:tentative="1">
      <w:start w:val="1"/>
      <w:numFmt w:val="lowerLetter"/>
      <w:lvlText w:val="%2."/>
      <w:lvlJc w:val="left"/>
      <w:pPr>
        <w:ind w:left="2072" w:hanging="360"/>
      </w:pPr>
    </w:lvl>
    <w:lvl w:ilvl="2" w:tplc="0402001B" w:tentative="1">
      <w:start w:val="1"/>
      <w:numFmt w:val="lowerRoman"/>
      <w:lvlText w:val="%3."/>
      <w:lvlJc w:val="right"/>
      <w:pPr>
        <w:ind w:left="2792" w:hanging="180"/>
      </w:pPr>
    </w:lvl>
    <w:lvl w:ilvl="3" w:tplc="0402000F" w:tentative="1">
      <w:start w:val="1"/>
      <w:numFmt w:val="decimal"/>
      <w:lvlText w:val="%4."/>
      <w:lvlJc w:val="left"/>
      <w:pPr>
        <w:ind w:left="3512" w:hanging="360"/>
      </w:pPr>
    </w:lvl>
    <w:lvl w:ilvl="4" w:tplc="04020019" w:tentative="1">
      <w:start w:val="1"/>
      <w:numFmt w:val="lowerLetter"/>
      <w:lvlText w:val="%5."/>
      <w:lvlJc w:val="left"/>
      <w:pPr>
        <w:ind w:left="4232" w:hanging="360"/>
      </w:pPr>
    </w:lvl>
    <w:lvl w:ilvl="5" w:tplc="0402001B" w:tentative="1">
      <w:start w:val="1"/>
      <w:numFmt w:val="lowerRoman"/>
      <w:lvlText w:val="%6."/>
      <w:lvlJc w:val="right"/>
      <w:pPr>
        <w:ind w:left="4952" w:hanging="180"/>
      </w:pPr>
    </w:lvl>
    <w:lvl w:ilvl="6" w:tplc="0402000F" w:tentative="1">
      <w:start w:val="1"/>
      <w:numFmt w:val="decimal"/>
      <w:lvlText w:val="%7."/>
      <w:lvlJc w:val="left"/>
      <w:pPr>
        <w:ind w:left="5672" w:hanging="360"/>
      </w:pPr>
    </w:lvl>
    <w:lvl w:ilvl="7" w:tplc="04020019" w:tentative="1">
      <w:start w:val="1"/>
      <w:numFmt w:val="lowerLetter"/>
      <w:lvlText w:val="%8."/>
      <w:lvlJc w:val="left"/>
      <w:pPr>
        <w:ind w:left="6392" w:hanging="360"/>
      </w:pPr>
    </w:lvl>
    <w:lvl w:ilvl="8" w:tplc="0402001B" w:tentative="1">
      <w:start w:val="1"/>
      <w:numFmt w:val="lowerRoman"/>
      <w:lvlText w:val="%9."/>
      <w:lvlJc w:val="right"/>
      <w:pPr>
        <w:ind w:left="7112" w:hanging="180"/>
      </w:pPr>
    </w:lvl>
  </w:abstractNum>
  <w:num w:numId="1" w16cid:durableId="86332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D7B87"/>
    <w:rsid w:val="000E4F8B"/>
    <w:rsid w:val="0012240E"/>
    <w:rsid w:val="0012445B"/>
    <w:rsid w:val="00125CCA"/>
    <w:rsid w:val="00152094"/>
    <w:rsid w:val="00154A8D"/>
    <w:rsid w:val="0017323F"/>
    <w:rsid w:val="00196159"/>
    <w:rsid w:val="00197ECB"/>
    <w:rsid w:val="001A37BA"/>
    <w:rsid w:val="001C50AA"/>
    <w:rsid w:val="00216388"/>
    <w:rsid w:val="00227A73"/>
    <w:rsid w:val="00230B50"/>
    <w:rsid w:val="002415EA"/>
    <w:rsid w:val="00252E84"/>
    <w:rsid w:val="00264BAE"/>
    <w:rsid w:val="0027415E"/>
    <w:rsid w:val="00276539"/>
    <w:rsid w:val="00285C83"/>
    <w:rsid w:val="00294229"/>
    <w:rsid w:val="002A16A6"/>
    <w:rsid w:val="002B17FF"/>
    <w:rsid w:val="002C48A1"/>
    <w:rsid w:val="002D1FC8"/>
    <w:rsid w:val="002D3EAB"/>
    <w:rsid w:val="002D4F09"/>
    <w:rsid w:val="002D6CB7"/>
    <w:rsid w:val="002F5267"/>
    <w:rsid w:val="00317204"/>
    <w:rsid w:val="003178F6"/>
    <w:rsid w:val="003209F0"/>
    <w:rsid w:val="00324215"/>
    <w:rsid w:val="00330479"/>
    <w:rsid w:val="00342898"/>
    <w:rsid w:val="003439F5"/>
    <w:rsid w:val="00351B50"/>
    <w:rsid w:val="003679EE"/>
    <w:rsid w:val="00375B5C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065C"/>
    <w:rsid w:val="00470C00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1539"/>
    <w:rsid w:val="004B2600"/>
    <w:rsid w:val="004B2CDC"/>
    <w:rsid w:val="004E4FD6"/>
    <w:rsid w:val="004F05D9"/>
    <w:rsid w:val="004F61AF"/>
    <w:rsid w:val="005130E4"/>
    <w:rsid w:val="005156CD"/>
    <w:rsid w:val="00531C93"/>
    <w:rsid w:val="005326F7"/>
    <w:rsid w:val="00534A47"/>
    <w:rsid w:val="00543779"/>
    <w:rsid w:val="00556C1F"/>
    <w:rsid w:val="00567A9A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496C"/>
    <w:rsid w:val="005F0028"/>
    <w:rsid w:val="005F25DA"/>
    <w:rsid w:val="00600106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5905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47576"/>
    <w:rsid w:val="00857862"/>
    <w:rsid w:val="00861142"/>
    <w:rsid w:val="008650EE"/>
    <w:rsid w:val="00867D3D"/>
    <w:rsid w:val="0087019F"/>
    <w:rsid w:val="00882DB3"/>
    <w:rsid w:val="008C3CA9"/>
    <w:rsid w:val="008D2269"/>
    <w:rsid w:val="008D7D91"/>
    <w:rsid w:val="008F603A"/>
    <w:rsid w:val="00906F9F"/>
    <w:rsid w:val="00920020"/>
    <w:rsid w:val="00931FC1"/>
    <w:rsid w:val="0094723C"/>
    <w:rsid w:val="00951281"/>
    <w:rsid w:val="00960F80"/>
    <w:rsid w:val="00972151"/>
    <w:rsid w:val="00990EE3"/>
    <w:rsid w:val="009B0DC9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D3747"/>
    <w:rsid w:val="00AE2DE6"/>
    <w:rsid w:val="00AE3D48"/>
    <w:rsid w:val="00B11989"/>
    <w:rsid w:val="00B11B93"/>
    <w:rsid w:val="00B1764A"/>
    <w:rsid w:val="00B2692D"/>
    <w:rsid w:val="00B42829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597C"/>
    <w:rsid w:val="00C36C74"/>
    <w:rsid w:val="00C37E17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24537"/>
    <w:rsid w:val="00D36324"/>
    <w:rsid w:val="00D36EA5"/>
    <w:rsid w:val="00D541F7"/>
    <w:rsid w:val="00D577F6"/>
    <w:rsid w:val="00D64005"/>
    <w:rsid w:val="00D706BF"/>
    <w:rsid w:val="00D723AD"/>
    <w:rsid w:val="00D72FA1"/>
    <w:rsid w:val="00D77612"/>
    <w:rsid w:val="00D90239"/>
    <w:rsid w:val="00DA3660"/>
    <w:rsid w:val="00DB6DFC"/>
    <w:rsid w:val="00DC2A82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59D6"/>
    <w:rsid w:val="00E81695"/>
    <w:rsid w:val="00E8632C"/>
    <w:rsid w:val="00E92561"/>
    <w:rsid w:val="00E93D38"/>
    <w:rsid w:val="00EB3DE8"/>
    <w:rsid w:val="00EC1D81"/>
    <w:rsid w:val="00EC4717"/>
    <w:rsid w:val="00ED2ED2"/>
    <w:rsid w:val="00ED33EA"/>
    <w:rsid w:val="00EE1225"/>
    <w:rsid w:val="00EE2BA6"/>
    <w:rsid w:val="00EF2EE2"/>
    <w:rsid w:val="00EF708B"/>
    <w:rsid w:val="00F02FD2"/>
    <w:rsid w:val="00F22A8B"/>
    <w:rsid w:val="00F33064"/>
    <w:rsid w:val="00F43D91"/>
    <w:rsid w:val="00F5141D"/>
    <w:rsid w:val="00F569AB"/>
    <w:rsid w:val="00F6574E"/>
    <w:rsid w:val="00F67D0A"/>
    <w:rsid w:val="00F95C17"/>
    <w:rsid w:val="00F96A56"/>
    <w:rsid w:val="00FA3A10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2025-12-12T09:28:00Z</cp:lastPrinted>
  <dcterms:created xsi:type="dcterms:W3CDTF">2025-12-12T10:59:00Z</dcterms:created>
  <dcterms:modified xsi:type="dcterms:W3CDTF">2025-12-12T10:59:00Z</dcterms:modified>
</cp:coreProperties>
</file>