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FA1216" w:rsidRDefault="00AD087A">
      <w:pPr>
        <w:jc w:val="center"/>
        <w:rPr>
          <w:rFonts w:ascii="Times New Roman" w:hAnsi="Times New Roman"/>
          <w:b/>
          <w:sz w:val="26"/>
          <w:szCs w:val="26"/>
          <w:lang w:val="bg-BG"/>
        </w:rPr>
      </w:pPr>
    </w:p>
    <w:p w14:paraId="56D74E1A" w14:textId="77777777" w:rsidR="00AD087A" w:rsidRPr="00464EE6" w:rsidRDefault="00AD087A">
      <w:pPr>
        <w:jc w:val="center"/>
        <w:rPr>
          <w:rFonts w:ascii="Times New Roman" w:hAnsi="Times New Roman"/>
          <w:b/>
          <w:sz w:val="36"/>
          <w:szCs w:val="36"/>
          <w:lang w:val="bg-BG"/>
        </w:rPr>
      </w:pPr>
      <w:r w:rsidRPr="00464EE6">
        <w:rPr>
          <w:rFonts w:ascii="Times New Roman" w:hAnsi="Times New Roman"/>
          <w:b/>
          <w:sz w:val="36"/>
          <w:szCs w:val="36"/>
          <w:lang w:val="bg-BG"/>
        </w:rPr>
        <w:t>М  О  Т  И  В  И</w:t>
      </w:r>
    </w:p>
    <w:p w14:paraId="1CDC1A62" w14:textId="77777777" w:rsidR="00AD087A" w:rsidRPr="00464EE6" w:rsidRDefault="00AD087A">
      <w:pPr>
        <w:jc w:val="center"/>
        <w:rPr>
          <w:rFonts w:ascii="Times New Roman" w:hAnsi="Times New Roman"/>
          <w:b/>
          <w:sz w:val="28"/>
          <w:szCs w:val="28"/>
          <w:lang w:val="bg-BG"/>
        </w:rPr>
      </w:pPr>
    </w:p>
    <w:p w14:paraId="138348C2" w14:textId="27BA6464" w:rsidR="00AD087A" w:rsidRPr="00643EE1" w:rsidRDefault="00AD087A" w:rsidP="0099330C">
      <w:pPr>
        <w:spacing w:line="288" w:lineRule="auto"/>
        <w:jc w:val="both"/>
        <w:rPr>
          <w:rFonts w:ascii="Arial" w:hAnsi="Arial" w:cs="Arial"/>
          <w:b/>
          <w:sz w:val="28"/>
          <w:szCs w:val="28"/>
          <w:lang w:val="bg-BG"/>
        </w:rPr>
      </w:pPr>
      <w:r w:rsidRPr="00643EE1">
        <w:rPr>
          <w:rFonts w:ascii="Arial" w:hAnsi="Arial" w:cs="Arial"/>
          <w:b/>
          <w:smallCaps/>
          <w:sz w:val="28"/>
          <w:szCs w:val="28"/>
          <w:lang w:val="bg-BG"/>
        </w:rPr>
        <w:t xml:space="preserve">към проекта на Закон за </w:t>
      </w:r>
      <w:r w:rsidR="00485E26" w:rsidRPr="00643EE1">
        <w:rPr>
          <w:rFonts w:ascii="Arial" w:hAnsi="Arial" w:cs="Arial"/>
          <w:b/>
          <w:smallCaps/>
          <w:sz w:val="28"/>
          <w:szCs w:val="28"/>
          <w:lang w:val="bg-BG"/>
        </w:rPr>
        <w:t>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2E8AFBD1" w14:textId="77777777" w:rsidR="00AD087A" w:rsidRPr="00464EE6" w:rsidRDefault="00AD087A" w:rsidP="005202D7">
      <w:pPr>
        <w:pStyle w:val="ListParagraph"/>
        <w:tabs>
          <w:tab w:val="left" w:pos="709"/>
          <w:tab w:val="left" w:pos="851"/>
        </w:tabs>
        <w:spacing w:before="120" w:after="0" w:line="288" w:lineRule="auto"/>
        <w:ind w:left="0" w:firstLine="1134"/>
        <w:jc w:val="both"/>
        <w:rPr>
          <w:rFonts w:ascii="Arial" w:hAnsi="Arial" w:cs="Arial"/>
          <w:b/>
          <w:sz w:val="28"/>
          <w:szCs w:val="28"/>
        </w:rPr>
      </w:pPr>
    </w:p>
    <w:p w14:paraId="4373C9AE" w14:textId="2282AE9F"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Съгласно разпоредбата на чл. 87, ал. 1 от Закона за публичните финанси, в случай че до началото на бюджетната година държавният бюджет не бъде приет от Народното събрание, приходите на бюджета се събират в съответствие с действащите закони, а извършването на разходите и предоставянето на трансфери е в размер</w:t>
      </w:r>
      <w:r>
        <w:rPr>
          <w:rFonts w:ascii="Arial" w:hAnsi="Arial" w:cs="Arial"/>
          <w:bCs/>
          <w:sz w:val="28"/>
          <w:szCs w:val="28"/>
        </w:rPr>
        <w:t>,</w:t>
      </w:r>
      <w:r w:rsidRPr="00485E26">
        <w:rPr>
          <w:rFonts w:ascii="Arial" w:hAnsi="Arial" w:cs="Arial"/>
          <w:bCs/>
          <w:sz w:val="28"/>
          <w:szCs w:val="28"/>
        </w:rPr>
        <w:t xml:space="preserve"> не по-голям от размера им за същия период на предходната година, до размера на постъпилите приходи, помощи и дарения, като се отчитат влезли в сила актове на Народното събрание и на Министерския съвет, които предвиждат допълнителни или намалени бюджетни средства, и при спазване на фискалните правила по този закон и одобрените от Министерския съвет със средносрочната бюджетна прогноза фискални цели.</w:t>
      </w:r>
    </w:p>
    <w:p w14:paraId="4C0CF426" w14:textId="365CB4E4"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Въпреки че разпоредбата на чл. 87 от Закона за публичните финанси урежда основни въпроси</w:t>
      </w:r>
      <w:r w:rsidR="009139ED">
        <w:rPr>
          <w:rFonts w:ascii="Arial" w:hAnsi="Arial" w:cs="Arial"/>
          <w:bCs/>
          <w:sz w:val="28"/>
          <w:szCs w:val="28"/>
        </w:rPr>
        <w:t>,</w:t>
      </w:r>
      <w:r w:rsidRPr="00485E26">
        <w:rPr>
          <w:rFonts w:ascii="Arial" w:hAnsi="Arial" w:cs="Arial"/>
          <w:bCs/>
          <w:sz w:val="28"/>
          <w:szCs w:val="28"/>
        </w:rPr>
        <w:t xml:space="preserve"> свързани със събирането на приходите, извършването на разходите, предоставянето на трансфери и поемането на държавен дълг, са налице някои законови празноти, които следва да бъдат уредени със закон.</w:t>
      </w:r>
    </w:p>
    <w:p w14:paraId="27FF2AC6" w14:textId="77777777"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 xml:space="preserve">Едновременно с това следва да се отбележи, че редица закони препращат към закона за държавния бюджет за определяне на размери и други показатели, свързани с плащания на физически и юридически лица, като например по Закона за семейните помощи за деца, някои данъчни преференции по Закона за данъците върху доходите на физическите лица и други. </w:t>
      </w:r>
    </w:p>
    <w:p w14:paraId="0318C706" w14:textId="69D19409"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 xml:space="preserve">Правителството в оставка, отчитайки сложната политическа обстановка в страната, както и практическата невъзможност Народното събрание да приеме бюджетните закони за 2026 г. до края на настоящата година, изработи предлагания проект на Закон за събирането на приходи и извършването на разходи през 2026 г. </w:t>
      </w:r>
      <w:r w:rsidRPr="00485E26">
        <w:rPr>
          <w:rFonts w:ascii="Arial" w:hAnsi="Arial" w:cs="Arial"/>
          <w:bCs/>
          <w:sz w:val="28"/>
          <w:szCs w:val="28"/>
        </w:rPr>
        <w:lastRenderedPageBreak/>
        <w:t>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 с който да се осигури яснота и предвидимост относно събирането на приходите и извършването на разходите и трансфери.</w:t>
      </w:r>
    </w:p>
    <w:p w14:paraId="6897E388" w14:textId="0B683203"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Със законопроекта се предлага правна рамка, която</w:t>
      </w:r>
      <w:r w:rsidR="009139ED">
        <w:rPr>
          <w:rFonts w:ascii="Arial" w:hAnsi="Arial" w:cs="Arial"/>
          <w:bCs/>
          <w:sz w:val="28"/>
          <w:szCs w:val="28"/>
        </w:rPr>
        <w:t>,</w:t>
      </w:r>
      <w:r w:rsidRPr="00485E26">
        <w:rPr>
          <w:rFonts w:ascii="Arial" w:hAnsi="Arial" w:cs="Arial"/>
          <w:bCs/>
          <w:sz w:val="28"/>
          <w:szCs w:val="28"/>
        </w:rPr>
        <w:t xml:space="preserve"> от една страна</w:t>
      </w:r>
      <w:r w:rsidR="009139ED">
        <w:rPr>
          <w:rFonts w:ascii="Arial" w:hAnsi="Arial" w:cs="Arial"/>
          <w:bCs/>
          <w:sz w:val="28"/>
          <w:szCs w:val="28"/>
        </w:rPr>
        <w:t>,</w:t>
      </w:r>
      <w:r w:rsidRPr="00485E26">
        <w:rPr>
          <w:rFonts w:ascii="Arial" w:hAnsi="Arial" w:cs="Arial"/>
          <w:bCs/>
          <w:sz w:val="28"/>
          <w:szCs w:val="28"/>
        </w:rPr>
        <w:t xml:space="preserve"> да осигури безпроблемното функциониране на държавата и общините, а от друга страна да гарантира правата и законните интереси на гражданите, предоставяйки им правна сигурност във връзка с изплащането на възнаграждения, пенсии, социални помощи и други социални плащания, ползване на данъчни преференции и облекчения, както и извършването на други плащания. Едновременно с това предложеният законопроект осигурява прилагането на специалните закони</w:t>
      </w:r>
      <w:r w:rsidR="009139ED">
        <w:rPr>
          <w:rFonts w:ascii="Arial" w:hAnsi="Arial" w:cs="Arial"/>
          <w:bCs/>
          <w:sz w:val="28"/>
          <w:szCs w:val="28"/>
        </w:rPr>
        <w:t>,</w:t>
      </w:r>
      <w:r w:rsidRPr="00485E26">
        <w:rPr>
          <w:rFonts w:ascii="Arial" w:hAnsi="Arial" w:cs="Arial"/>
          <w:bCs/>
          <w:sz w:val="28"/>
          <w:szCs w:val="28"/>
        </w:rPr>
        <w:t xml:space="preserve"> уреждащи специфични обществени отношения до приемането на бюджетните закони за 2026 г.</w:t>
      </w:r>
    </w:p>
    <w:p w14:paraId="2600B4A6" w14:textId="282905B9"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Със законопроекта се предлагат ред и начин за извършване на разходи и тяхното приоритизиране</w:t>
      </w:r>
      <w:r w:rsidR="009139ED">
        <w:rPr>
          <w:rFonts w:ascii="Arial" w:hAnsi="Arial" w:cs="Arial"/>
          <w:bCs/>
          <w:sz w:val="28"/>
          <w:szCs w:val="28"/>
        </w:rPr>
        <w:t>,</w:t>
      </w:r>
      <w:r w:rsidRPr="00485E26">
        <w:rPr>
          <w:rFonts w:ascii="Arial" w:hAnsi="Arial" w:cs="Arial"/>
          <w:bCs/>
          <w:sz w:val="28"/>
          <w:szCs w:val="28"/>
        </w:rPr>
        <w:t xml:space="preserve"> в случай че размерът на разходите е по-голям от размера на постъпилите приходи, както и прилагане на принципа на съразмерност.</w:t>
      </w:r>
    </w:p>
    <w:p w14:paraId="041EFF6D" w14:textId="77777777"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Определя се редът за извършване на плащанията по бюджетите на общините, бюджета на ДОО и бюджета на НЗОК.</w:t>
      </w:r>
    </w:p>
    <w:p w14:paraId="3439B823" w14:textId="2F80E60C"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 xml:space="preserve">С цел осигуряване на финансиране от държавния бюджет на Българското национално радио и Българската национална телевизия при запазване на досегашния модел на финансиране в </w:t>
      </w:r>
      <w:r w:rsidR="009139ED">
        <w:rPr>
          <w:rFonts w:ascii="Arial" w:hAnsi="Arial" w:cs="Arial"/>
          <w:bCs/>
          <w:sz w:val="28"/>
          <w:szCs w:val="28"/>
        </w:rPr>
        <w:t>П</w:t>
      </w:r>
      <w:r w:rsidRPr="00485E26">
        <w:rPr>
          <w:rFonts w:ascii="Arial" w:hAnsi="Arial" w:cs="Arial"/>
          <w:bCs/>
          <w:sz w:val="28"/>
          <w:szCs w:val="28"/>
        </w:rPr>
        <w:t>реходните и заключителните разпоредби се предлагат съответни изменения в Закона за радиото и телевизията.</w:t>
      </w:r>
    </w:p>
    <w:p w14:paraId="2559F1C1" w14:textId="05F4E68B"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 xml:space="preserve">Предлагат се промени в Закона за социалните услуги. В този закон е регламентирано, че домовете за медико-социални грижи за деца (ДМСГД) следва да бъдат закрити до 31 декември 2025 г. Закриването обаче може да се осъществи само след извеждането на всички настанени деца. В тази връзка е необходимо да бъде продължен срокът за функционирането на ДМСГД в </w:t>
      </w:r>
      <w:r w:rsidR="007D6D0E">
        <w:rPr>
          <w:rFonts w:ascii="Arial" w:hAnsi="Arial" w:cs="Arial"/>
          <w:bCs/>
          <w:sz w:val="28"/>
          <w:szCs w:val="28"/>
        </w:rPr>
        <w:br/>
      </w:r>
      <w:r w:rsidRPr="00485E26">
        <w:rPr>
          <w:rFonts w:ascii="Arial" w:hAnsi="Arial" w:cs="Arial"/>
          <w:bCs/>
          <w:sz w:val="28"/>
          <w:szCs w:val="28"/>
        </w:rPr>
        <w:t xml:space="preserve">гр. Варна и гр. Плевен до 31 декември 2027 г., съответно до </w:t>
      </w:r>
      <w:r w:rsidRPr="00485E26">
        <w:rPr>
          <w:rFonts w:ascii="Arial" w:hAnsi="Arial" w:cs="Arial"/>
          <w:bCs/>
          <w:sz w:val="28"/>
          <w:szCs w:val="28"/>
        </w:rPr>
        <w:lastRenderedPageBreak/>
        <w:t xml:space="preserve">изграждане на необходимата инфраструктура за извеждане на всички настанени деца. Независимо че дирекции „Социално подпомагане“ в страната ежемесечно предприемат мерки за извеждане на деца от домовете, към 31 декември 2025 г. не би могло да бъде осигурена алтернативна грижа за всички настанени деца към настоящия момент. В тази връзка единственият целесъобразен вариант за грижа за децата, особено за децата с увреждания с потребност от постоянни медицински грижи, е да се удължи срока за функционирането на ДМСГД в гр. Варна и в гр. Плевен до </w:t>
      </w:r>
      <w:r w:rsidR="007D6D0E">
        <w:rPr>
          <w:rFonts w:ascii="Arial" w:hAnsi="Arial" w:cs="Arial"/>
          <w:bCs/>
          <w:sz w:val="28"/>
          <w:szCs w:val="28"/>
        </w:rPr>
        <w:br/>
      </w:r>
      <w:r w:rsidRPr="00485E26">
        <w:rPr>
          <w:rFonts w:ascii="Arial" w:hAnsi="Arial" w:cs="Arial"/>
          <w:bCs/>
          <w:sz w:val="28"/>
          <w:szCs w:val="28"/>
        </w:rPr>
        <w:t>31 декември 2027 г.</w:t>
      </w:r>
    </w:p>
    <w:p w14:paraId="069C4731" w14:textId="77777777"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С предложените промени в Закона за местните данъци и такси се предвижда, когато до 31 януари 2026 г. общинските съвети не са одобрили план-сметката за 2026 г. и/или не са приели съответните актове, таксата за битови отпадъци за 2026 г. да се определя по реда, по който е определена за 2025 г. Предвижда се до края на 2028 г. общините да предоставят в края на всяко шестмесечие в Министерството на финансите информация за отчетения напредък по приемане на актовете за размера на таксата.</w:t>
      </w:r>
    </w:p>
    <w:p w14:paraId="3463E09E" w14:textId="0483CC11"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С промените в Закона за данъка върху доходите на физическите лица и Закона за корпоративното подоходно облагане се предлага освобождаването от данък върху капиталовите печалби за сделки на пазарите за растеж да бъде превърнато в постоянна мярка.</w:t>
      </w:r>
    </w:p>
    <w:p w14:paraId="76ACE19D" w14:textId="1F3D06B0"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Това изменение ще окаже съществено влияние върху активността и интереса на инвеститорите като цяло и към Пазара за растеж в частност.</w:t>
      </w:r>
    </w:p>
    <w:p w14:paraId="61584A88" w14:textId="77777777"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 xml:space="preserve">Настоящият временен режим на освобождаване от данък върху капиталовите печалби създава несигурност за инвеститорите и ограничава ефективността на стимула. Освен това се поражда риск от неравнопоставеност, тъй като сделките на регулирания пазар вече се ползват от същото данъчно облекчение. Превръщането на освобождаването за сделки на ВЕАМ в постоянна мярка би изравнило условията за всички участници, като в същото време ще увеличи интереса на индивидуалните и институционалните инвеститори към пазарите за растеж. Това ще </w:t>
      </w:r>
      <w:r w:rsidRPr="00485E26">
        <w:rPr>
          <w:rFonts w:ascii="Arial" w:hAnsi="Arial" w:cs="Arial"/>
          <w:bCs/>
          <w:sz w:val="28"/>
          <w:szCs w:val="28"/>
        </w:rPr>
        <w:lastRenderedPageBreak/>
        <w:t>създаде по-благоприятна среда за компаниите, които набират капитал, и ще осигури устойчиво развитие на пазара и подобрена ликвидност.</w:t>
      </w:r>
    </w:p>
    <w:p w14:paraId="13301F0C" w14:textId="77777777"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 xml:space="preserve">Международният опит показва, че подобни стимули имат значим ефект. В Швеция пазарът </w:t>
      </w:r>
      <w:proofErr w:type="spellStart"/>
      <w:r w:rsidRPr="00485E26">
        <w:rPr>
          <w:rFonts w:ascii="Arial" w:hAnsi="Arial" w:cs="Arial"/>
          <w:bCs/>
          <w:sz w:val="28"/>
          <w:szCs w:val="28"/>
        </w:rPr>
        <w:t>First</w:t>
      </w:r>
      <w:proofErr w:type="spellEnd"/>
      <w:r w:rsidRPr="00485E26">
        <w:rPr>
          <w:rFonts w:ascii="Arial" w:hAnsi="Arial" w:cs="Arial"/>
          <w:bCs/>
          <w:sz w:val="28"/>
          <w:szCs w:val="28"/>
        </w:rPr>
        <w:t xml:space="preserve"> North се развива благодарение на благоприятна данъчна среда и подкрепяща инфраструктура. Във Финландия и Дания специални сегменти улесняват достъпа на малки компании до капитал, а в Италия AIM </w:t>
      </w:r>
      <w:proofErr w:type="spellStart"/>
      <w:r w:rsidRPr="00485E26">
        <w:rPr>
          <w:rFonts w:ascii="Arial" w:hAnsi="Arial" w:cs="Arial"/>
          <w:bCs/>
          <w:sz w:val="28"/>
          <w:szCs w:val="28"/>
        </w:rPr>
        <w:t>Italia</w:t>
      </w:r>
      <w:proofErr w:type="spellEnd"/>
      <w:r w:rsidRPr="00485E26">
        <w:rPr>
          <w:rFonts w:ascii="Arial" w:hAnsi="Arial" w:cs="Arial"/>
          <w:bCs/>
          <w:sz w:val="28"/>
          <w:szCs w:val="28"/>
        </w:rPr>
        <w:t xml:space="preserve"> се подкрепя с данъчни облекчения за инвеститори.</w:t>
      </w:r>
    </w:p>
    <w:p w14:paraId="3823C875" w14:textId="77777777"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Предлаганата уредба не е свързана с допълнителна административна тежест за лицата и разходи за икономическите субекти.</w:t>
      </w:r>
    </w:p>
    <w:p w14:paraId="4FCDF3B7" w14:textId="77777777" w:rsidR="00485E26"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Със законопроекта не се въвеждат норми на правото на Европейския съюз, поради което не се налага прилагането на анализ за съответствие с правото на Европейския съюз и изготвянето на справка за съответствие с европейското право.</w:t>
      </w:r>
    </w:p>
    <w:p w14:paraId="24EB4364" w14:textId="0E1C44FA" w:rsidR="00AD087A" w:rsidRPr="00485E26" w:rsidRDefault="00485E26" w:rsidP="00485E26">
      <w:pPr>
        <w:pStyle w:val="ListParagraph"/>
        <w:tabs>
          <w:tab w:val="left" w:pos="567"/>
          <w:tab w:val="left" w:pos="851"/>
        </w:tabs>
        <w:spacing w:before="120" w:after="0" w:line="288" w:lineRule="auto"/>
        <w:ind w:left="0" w:firstLine="1134"/>
        <w:jc w:val="both"/>
        <w:rPr>
          <w:rFonts w:ascii="Arial" w:hAnsi="Arial" w:cs="Arial"/>
          <w:bCs/>
          <w:sz w:val="28"/>
          <w:szCs w:val="28"/>
        </w:rPr>
      </w:pPr>
      <w:r w:rsidRPr="00485E26">
        <w:rPr>
          <w:rFonts w:ascii="Arial" w:hAnsi="Arial" w:cs="Arial"/>
          <w:bCs/>
          <w:sz w:val="28"/>
          <w:szCs w:val="28"/>
        </w:rPr>
        <w:t>Предложено е законопроектът да влезе в сила от 1 януари 2026 г.</w:t>
      </w:r>
    </w:p>
    <w:p w14:paraId="14840ABB"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89C6048"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226746A"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84CBA35"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29069D4" w14:textId="705E1C8E" w:rsidR="00AD087A" w:rsidRPr="00464EE6" w:rsidRDefault="00AD087A" w:rsidP="004B4A70">
      <w:pPr>
        <w:tabs>
          <w:tab w:val="left" w:pos="1790"/>
        </w:tabs>
        <w:ind w:left="1134"/>
        <w:rPr>
          <w:rFonts w:ascii="Times New Roman" w:hAnsi="Times New Roman"/>
          <w:b/>
          <w:sz w:val="26"/>
          <w:szCs w:val="26"/>
        </w:rPr>
      </w:pPr>
      <w:bookmarkStart w:id="0" w:name="_Hlk92799938"/>
      <w:r w:rsidRPr="00464EE6">
        <w:rPr>
          <w:rFonts w:ascii="Times New Roman" w:hAnsi="Times New Roman"/>
          <w:b/>
          <w:sz w:val="26"/>
          <w:szCs w:val="26"/>
        </w:rPr>
        <w:t>МИНИСТЪР-ПРЕДСЕДАТЕЛ:</w:t>
      </w:r>
    </w:p>
    <w:bookmarkEnd w:id="0"/>
    <w:p w14:paraId="5938DD67" w14:textId="73532DC8" w:rsidR="00AD087A" w:rsidRPr="00464EE6" w:rsidRDefault="00EA1C2B" w:rsidP="004B4A70">
      <w:pPr>
        <w:tabs>
          <w:tab w:val="left" w:pos="1790"/>
        </w:tabs>
        <w:jc w:val="right"/>
        <w:rPr>
          <w:rFonts w:ascii="Times New Roman" w:hAnsi="Times New Roman"/>
          <w:sz w:val="26"/>
          <w:szCs w:val="26"/>
        </w:rPr>
      </w:pPr>
      <w:r>
        <w:rPr>
          <w:rFonts w:ascii="Times New Roman" w:hAnsi="Times New Roman"/>
          <w:sz w:val="26"/>
          <w:szCs w:val="26"/>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816E61CD-A9F0-436B-A566-7BBA946E27C3}" provid="{00000000-0000-0000-0000-000000000000}" issignatureline="t"/>
          </v:shape>
        </w:pict>
      </w:r>
    </w:p>
    <w:sectPr w:rsidR="00AD087A" w:rsidRPr="00464EE6" w:rsidSect="0052153C">
      <w:headerReference w:type="even" r:id="rId8"/>
      <w:headerReference w:type="default" r:id="rId9"/>
      <w:footerReference w:type="default" r:id="rId10"/>
      <w:footerReference w:type="first" r:id="rId11"/>
      <w:pgSz w:w="11907" w:h="16840" w:code="9"/>
      <w:pgMar w:top="1134"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B63E" w14:textId="77777777" w:rsidR="002901E6" w:rsidRDefault="002901E6">
      <w:r>
        <w:separator/>
      </w:r>
    </w:p>
  </w:endnote>
  <w:endnote w:type="continuationSeparator" w:id="0">
    <w:p w14:paraId="2ADE74FE" w14:textId="77777777" w:rsidR="002901E6" w:rsidRDefault="00290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702F5A64" w:rsidR="00AD087A" w:rsidRPr="0052153C" w:rsidRDefault="00EA1C2B"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5629D4" w:rsidRPr="005629D4">
      <w:rPr>
        <w:rFonts w:ascii="Times New Roman" w:hAnsi="Times New Roman"/>
        <w:i/>
        <w:caps/>
        <w:noProof/>
        <w:sz w:val="16"/>
        <w:szCs w:val="16"/>
        <w:lang w:val="ru-RU"/>
      </w:rPr>
      <w:t>МОТИВИ ЗЗД.docx</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48C15247" w:rsidR="00AD087A" w:rsidRPr="0052153C" w:rsidRDefault="00EA1C2B"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5629D4" w:rsidRPr="005629D4">
      <w:rPr>
        <w:rFonts w:ascii="Times New Roman" w:hAnsi="Times New Roman"/>
        <w:i/>
        <w:caps/>
        <w:noProof/>
        <w:sz w:val="16"/>
        <w:szCs w:val="16"/>
        <w:lang w:val="ru-RU"/>
      </w:rPr>
      <w:t>МОТИВИ ЗЗД.docx</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7130" w14:textId="77777777" w:rsidR="002901E6" w:rsidRDefault="002901E6">
      <w:r>
        <w:separator/>
      </w:r>
    </w:p>
  </w:footnote>
  <w:footnote w:type="continuationSeparator" w:id="0">
    <w:p w14:paraId="3686EFA6" w14:textId="77777777" w:rsidR="002901E6" w:rsidRDefault="00290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D6FECFB" w14:textId="77777777" w:rsidR="00AD087A" w:rsidRPr="004343CF" w:rsidRDefault="00AD087A">
    <w:pPr>
      <w:pStyle w:val="Header"/>
      <w:rPr>
        <w:rFonts w:ascii="Times New Roman" w:hAnsi="Times New Roman"/>
        <w:lang w:val="bg-BG"/>
      </w:rPr>
    </w:pPr>
  </w:p>
  <w:p w14:paraId="59E32BFA" w14:textId="77777777" w:rsidR="00AD087A"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4"/>
  </w:num>
  <w:num w:numId="2" w16cid:durableId="1518542976">
    <w:abstractNumId w:val="2"/>
  </w:num>
  <w:num w:numId="3" w16cid:durableId="41105145">
    <w:abstractNumId w:val="0"/>
  </w:num>
  <w:num w:numId="4" w16cid:durableId="1565724158">
    <w:abstractNumId w:val="1"/>
  </w:num>
  <w:num w:numId="5" w16cid:durableId="1570577068">
    <w:abstractNumId w:val="5"/>
  </w:num>
  <w:num w:numId="6" w16cid:durableId="1222248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47990"/>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4F17"/>
    <w:rsid w:val="00244720"/>
    <w:rsid w:val="00244D74"/>
    <w:rsid w:val="002469B9"/>
    <w:rsid w:val="00251D6E"/>
    <w:rsid w:val="002553AB"/>
    <w:rsid w:val="00255B7D"/>
    <w:rsid w:val="00263307"/>
    <w:rsid w:val="002743E4"/>
    <w:rsid w:val="00287754"/>
    <w:rsid w:val="002901E6"/>
    <w:rsid w:val="002C0227"/>
    <w:rsid w:val="002C08C4"/>
    <w:rsid w:val="002C6AFA"/>
    <w:rsid w:val="002D76CB"/>
    <w:rsid w:val="002E08B6"/>
    <w:rsid w:val="002F1E72"/>
    <w:rsid w:val="003160E8"/>
    <w:rsid w:val="00322981"/>
    <w:rsid w:val="00327C7B"/>
    <w:rsid w:val="00357B65"/>
    <w:rsid w:val="00361393"/>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64EE6"/>
    <w:rsid w:val="00485E26"/>
    <w:rsid w:val="00487D19"/>
    <w:rsid w:val="00490227"/>
    <w:rsid w:val="004945E7"/>
    <w:rsid w:val="004B14EC"/>
    <w:rsid w:val="004B4A70"/>
    <w:rsid w:val="004B5B01"/>
    <w:rsid w:val="004C4EC3"/>
    <w:rsid w:val="004C5C6C"/>
    <w:rsid w:val="005033E0"/>
    <w:rsid w:val="005075C6"/>
    <w:rsid w:val="005202D7"/>
    <w:rsid w:val="0052153C"/>
    <w:rsid w:val="00524A62"/>
    <w:rsid w:val="005321AB"/>
    <w:rsid w:val="00532B63"/>
    <w:rsid w:val="005374EB"/>
    <w:rsid w:val="00543CA4"/>
    <w:rsid w:val="00544B67"/>
    <w:rsid w:val="005503AA"/>
    <w:rsid w:val="00557EA5"/>
    <w:rsid w:val="005629D4"/>
    <w:rsid w:val="0058543A"/>
    <w:rsid w:val="00590DC5"/>
    <w:rsid w:val="005B7B97"/>
    <w:rsid w:val="005E23BB"/>
    <w:rsid w:val="005E2FAA"/>
    <w:rsid w:val="00601E7F"/>
    <w:rsid w:val="006112DA"/>
    <w:rsid w:val="006126B0"/>
    <w:rsid w:val="00624B3D"/>
    <w:rsid w:val="00624DB6"/>
    <w:rsid w:val="006260C6"/>
    <w:rsid w:val="006374F1"/>
    <w:rsid w:val="00643EE1"/>
    <w:rsid w:val="00680C33"/>
    <w:rsid w:val="00695542"/>
    <w:rsid w:val="006D149C"/>
    <w:rsid w:val="006D7DBF"/>
    <w:rsid w:val="006E20E3"/>
    <w:rsid w:val="006F4CBD"/>
    <w:rsid w:val="007006FE"/>
    <w:rsid w:val="0071097D"/>
    <w:rsid w:val="007216A1"/>
    <w:rsid w:val="00737F39"/>
    <w:rsid w:val="00775FF6"/>
    <w:rsid w:val="00777E11"/>
    <w:rsid w:val="00791C0B"/>
    <w:rsid w:val="007C0969"/>
    <w:rsid w:val="007D0119"/>
    <w:rsid w:val="007D6D0E"/>
    <w:rsid w:val="007E5BD8"/>
    <w:rsid w:val="007F2214"/>
    <w:rsid w:val="00801C3F"/>
    <w:rsid w:val="00804255"/>
    <w:rsid w:val="00821915"/>
    <w:rsid w:val="0083405F"/>
    <w:rsid w:val="008424E0"/>
    <w:rsid w:val="008442B0"/>
    <w:rsid w:val="008464CC"/>
    <w:rsid w:val="0087096A"/>
    <w:rsid w:val="00881B55"/>
    <w:rsid w:val="008A019C"/>
    <w:rsid w:val="008A0F64"/>
    <w:rsid w:val="008B02D8"/>
    <w:rsid w:val="008C11C0"/>
    <w:rsid w:val="008E1559"/>
    <w:rsid w:val="008F293A"/>
    <w:rsid w:val="008F7AE5"/>
    <w:rsid w:val="00904DD3"/>
    <w:rsid w:val="00905B61"/>
    <w:rsid w:val="009139ED"/>
    <w:rsid w:val="00916222"/>
    <w:rsid w:val="009214E6"/>
    <w:rsid w:val="00932CF8"/>
    <w:rsid w:val="0099021C"/>
    <w:rsid w:val="00990366"/>
    <w:rsid w:val="0099330C"/>
    <w:rsid w:val="00994D64"/>
    <w:rsid w:val="009B2C89"/>
    <w:rsid w:val="009B4B81"/>
    <w:rsid w:val="009B68B3"/>
    <w:rsid w:val="009B76A3"/>
    <w:rsid w:val="009D21FD"/>
    <w:rsid w:val="009D7025"/>
    <w:rsid w:val="00A018E4"/>
    <w:rsid w:val="00A02A74"/>
    <w:rsid w:val="00A14E68"/>
    <w:rsid w:val="00A25CC8"/>
    <w:rsid w:val="00A27685"/>
    <w:rsid w:val="00A31E3E"/>
    <w:rsid w:val="00A34F2C"/>
    <w:rsid w:val="00A52257"/>
    <w:rsid w:val="00A57A93"/>
    <w:rsid w:val="00A6158C"/>
    <w:rsid w:val="00A83BB6"/>
    <w:rsid w:val="00A92287"/>
    <w:rsid w:val="00A93DD8"/>
    <w:rsid w:val="00A94298"/>
    <w:rsid w:val="00A95806"/>
    <w:rsid w:val="00A97573"/>
    <w:rsid w:val="00AA1688"/>
    <w:rsid w:val="00AB2D4B"/>
    <w:rsid w:val="00AD087A"/>
    <w:rsid w:val="00AD3749"/>
    <w:rsid w:val="00AF1F8E"/>
    <w:rsid w:val="00AF2C6E"/>
    <w:rsid w:val="00B03B72"/>
    <w:rsid w:val="00B10EA3"/>
    <w:rsid w:val="00B1430E"/>
    <w:rsid w:val="00B77163"/>
    <w:rsid w:val="00BB0346"/>
    <w:rsid w:val="00BB0613"/>
    <w:rsid w:val="00BB0DFF"/>
    <w:rsid w:val="00BB1768"/>
    <w:rsid w:val="00BB253E"/>
    <w:rsid w:val="00BB4014"/>
    <w:rsid w:val="00BC287C"/>
    <w:rsid w:val="00BD57DE"/>
    <w:rsid w:val="00BE4C60"/>
    <w:rsid w:val="00BE6590"/>
    <w:rsid w:val="00C05E74"/>
    <w:rsid w:val="00C11F14"/>
    <w:rsid w:val="00C213CB"/>
    <w:rsid w:val="00C26EDE"/>
    <w:rsid w:val="00C459B8"/>
    <w:rsid w:val="00C5560E"/>
    <w:rsid w:val="00C65583"/>
    <w:rsid w:val="00C94123"/>
    <w:rsid w:val="00CA3F1E"/>
    <w:rsid w:val="00CB73D9"/>
    <w:rsid w:val="00CC4E18"/>
    <w:rsid w:val="00CE3631"/>
    <w:rsid w:val="00CF4BBF"/>
    <w:rsid w:val="00CF73BF"/>
    <w:rsid w:val="00D013AB"/>
    <w:rsid w:val="00D1528B"/>
    <w:rsid w:val="00D26731"/>
    <w:rsid w:val="00D33EC6"/>
    <w:rsid w:val="00D573B1"/>
    <w:rsid w:val="00D71501"/>
    <w:rsid w:val="00D80E80"/>
    <w:rsid w:val="00D86E39"/>
    <w:rsid w:val="00D92A8F"/>
    <w:rsid w:val="00D9679C"/>
    <w:rsid w:val="00DC6199"/>
    <w:rsid w:val="00DE1005"/>
    <w:rsid w:val="00DE2D91"/>
    <w:rsid w:val="00DF29A2"/>
    <w:rsid w:val="00E01A69"/>
    <w:rsid w:val="00E07AEE"/>
    <w:rsid w:val="00E17DBD"/>
    <w:rsid w:val="00E27B98"/>
    <w:rsid w:val="00E522CC"/>
    <w:rsid w:val="00E522E9"/>
    <w:rsid w:val="00E5592E"/>
    <w:rsid w:val="00E60274"/>
    <w:rsid w:val="00E70618"/>
    <w:rsid w:val="00E717E1"/>
    <w:rsid w:val="00E97846"/>
    <w:rsid w:val="00EA1C2B"/>
    <w:rsid w:val="00EB0E3F"/>
    <w:rsid w:val="00EC3B52"/>
    <w:rsid w:val="00EC40B3"/>
    <w:rsid w:val="00EC5548"/>
    <w:rsid w:val="00ED238C"/>
    <w:rsid w:val="00ED4BAB"/>
    <w:rsid w:val="00EE492F"/>
    <w:rsid w:val="00EE7D4F"/>
    <w:rsid w:val="00F06AAB"/>
    <w:rsid w:val="00F100BC"/>
    <w:rsid w:val="00F141DB"/>
    <w:rsid w:val="00F20194"/>
    <w:rsid w:val="00F24630"/>
    <w:rsid w:val="00F41459"/>
    <w:rsid w:val="00F44114"/>
    <w:rsid w:val="00F90BFF"/>
    <w:rsid w:val="00F9263A"/>
    <w:rsid w:val="00FA009F"/>
    <w:rsid w:val="00FA1216"/>
    <w:rsid w:val="00FA7649"/>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szCs w:val="20"/>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5503AA"/>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basedOn w:val="DefaultParagraphFont"/>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basedOn w:val="DefaultParagraphFont"/>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basedOn w:val="DefaultParagraphFont"/>
    <w:link w:val="Footer"/>
    <w:uiPriority w:val="99"/>
    <w:semiHidden/>
    <w:locked/>
    <w:rsid w:val="005503AA"/>
    <w:rPr>
      <w:rFonts w:ascii="Hebar" w:hAnsi="Hebar" w:cs="Times New Roman"/>
      <w:sz w:val="20"/>
      <w:szCs w:val="20"/>
      <w:lang w:val="en-GB" w:eastAsia="en-US"/>
    </w:rPr>
  </w:style>
  <w:style w:type="character" w:styleId="PageNumber">
    <w:name w:val="page number"/>
    <w:basedOn w:val="DefaultParagraphFont"/>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1028</Words>
  <Characters>5763</Characters>
  <Application>Microsoft Office Word</Application>
  <DocSecurity>0</DocSecurity>
  <Lines>48</Lines>
  <Paragraphs>13</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Мария Любомирова Карагьозова</cp:lastModifiedBy>
  <cp:revision>2</cp:revision>
  <cp:lastPrinted>2022-04-20T10:29:00Z</cp:lastPrinted>
  <dcterms:created xsi:type="dcterms:W3CDTF">2025-12-15T12:25:00Z</dcterms:created>
  <dcterms:modified xsi:type="dcterms:W3CDTF">2025-12-15T12:25:00Z</dcterms:modified>
</cp:coreProperties>
</file>