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3044" w14:textId="5BE7B0CF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55C35FCA" w14:textId="77777777" w:rsidR="00925418" w:rsidRDefault="00925418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60E97BB0" w14:textId="77777777" w:rsidR="00925418" w:rsidRPr="00925418" w:rsidRDefault="00925418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0B5F936C" w14:textId="77777777" w:rsidR="0069784B" w:rsidRPr="008B6A80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B6A8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B6A80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8B6A8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B6A80">
        <w:rPr>
          <w:rFonts w:ascii="Times New Roman" w:hAnsi="Times New Roman"/>
          <w:sz w:val="24"/>
          <w:szCs w:val="24"/>
          <w:lang w:val="bg-BG"/>
        </w:rPr>
        <w:t>Я</w:t>
      </w:r>
    </w:p>
    <w:p w14:paraId="6CA74D4E" w14:textId="77777777" w:rsidR="0069784B" w:rsidRPr="008B6A80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8B6A80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694D9694" w14:textId="598AC6F3" w:rsidR="0069784B" w:rsidRPr="008B6A80" w:rsidRDefault="008B6A80" w:rsidP="00A60773">
      <w:pPr>
        <w:jc w:val="right"/>
        <w:rPr>
          <w:rFonts w:ascii="Arial" w:hAnsi="Arial" w:cs="Arial"/>
          <w:b/>
          <w:szCs w:val="24"/>
          <w:lang w:val="bg-BG"/>
        </w:rPr>
      </w:pPr>
      <w:r w:rsidRPr="008B6A80">
        <w:rPr>
          <w:rFonts w:ascii="Arial" w:hAnsi="Arial" w:cs="Arial"/>
          <w:b/>
          <w:szCs w:val="24"/>
          <w:lang w:val="bg-BG"/>
        </w:rPr>
        <w:t>Препис</w:t>
      </w:r>
    </w:p>
    <w:p w14:paraId="6096A5AC" w14:textId="77777777" w:rsidR="0069784B" w:rsidRPr="008B6A80" w:rsidRDefault="0069784B">
      <w:pPr>
        <w:jc w:val="center"/>
        <w:rPr>
          <w:rFonts w:ascii="NewSaturionModernCyr" w:hAnsi="NewSaturionModernCyr"/>
          <w:sz w:val="22"/>
          <w:lang w:val="bg-BG"/>
        </w:rPr>
      </w:pPr>
    </w:p>
    <w:p w14:paraId="0E5EA5A2" w14:textId="77777777" w:rsidR="00BF1A70" w:rsidRPr="008B6A80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6004EBC6" w14:textId="4F255066" w:rsidR="0069784B" w:rsidRPr="008B6A80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8B6A80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8B6A8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8B6A80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B6A80" w:rsidRPr="008B6A8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328</w:t>
      </w:r>
    </w:p>
    <w:p w14:paraId="37D6066A" w14:textId="77777777" w:rsidR="009B1F27" w:rsidRPr="008B6A80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28C0D12C" w14:textId="19EDA293" w:rsidR="0069784B" w:rsidRPr="008B6A80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B6A8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8B6A8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B6A80" w:rsidRPr="008B6A80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8B6A8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B6A80" w:rsidRPr="008B6A80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8B6A8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975CAB" w:rsidRPr="008B6A80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 w:rsidRPr="008B6A80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8B6A8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B6A8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8255576" w14:textId="77777777" w:rsidR="00FC6CA0" w:rsidRPr="008B6A80" w:rsidRDefault="00FC6CA0">
      <w:pPr>
        <w:rPr>
          <w:rFonts w:ascii="Times New Roman" w:hAnsi="Times New Roman"/>
          <w:b/>
          <w:szCs w:val="24"/>
          <w:lang w:val="bg-BG"/>
        </w:rPr>
      </w:pPr>
    </w:p>
    <w:p w14:paraId="1B4C467E" w14:textId="77777777" w:rsidR="00162DB2" w:rsidRPr="008B6A80" w:rsidRDefault="00162DB2">
      <w:pPr>
        <w:rPr>
          <w:rFonts w:ascii="Times New Roman" w:hAnsi="Times New Roman"/>
          <w:b/>
          <w:szCs w:val="24"/>
          <w:lang w:val="bg-BG"/>
        </w:rPr>
      </w:pPr>
    </w:p>
    <w:p w14:paraId="58391335" w14:textId="3473A72F" w:rsidR="0069784B" w:rsidRPr="008B6A80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B6A80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C3C1A" w:rsidRPr="008B6A80">
        <w:rPr>
          <w:rFonts w:ascii="Arial" w:hAnsi="Arial" w:cs="Arial"/>
          <w:b/>
          <w:smallCaps/>
          <w:sz w:val="26"/>
          <w:szCs w:val="26"/>
          <w:lang w:val="bg-BG"/>
        </w:rPr>
        <w:t>одобряване на допълнителни разходи/трансфери за 2025 г. за изплащане на стипендии по Програмата на мерките за закрила на деца с изявени дарби от държавни, общински и частни училища през 2025 г., приета с Постановление № 108 на Министерския съвет от 2025 г. (ДВ, бр. 53 от 2025 г.)</w:t>
      </w:r>
    </w:p>
    <w:p w14:paraId="1F5474D6" w14:textId="77777777" w:rsidR="004D1544" w:rsidRPr="008B6A80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613070B" w14:textId="77777777" w:rsidR="00162DB2" w:rsidRPr="008B6A80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301E78C" w14:textId="77777777" w:rsidR="0069784B" w:rsidRPr="008B6A80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8B6A80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1B1CA254" w14:textId="77777777" w:rsidR="0069784B" w:rsidRPr="008B6A80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8B6A8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48C3A65" w14:textId="77777777" w:rsidR="0069784B" w:rsidRPr="008B6A80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02A91248" w14:textId="77777777" w:rsidR="0072300B" w:rsidRPr="008B6A80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9890238" w14:textId="777777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Чл. 1. (1)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Одобрява допълнителни разходи/трансфери в размер 94 905 лв. за изплащане на стипендии на ученици от общинските и частните училища и на ученици от държавните спортни училища, финансирани от Министерството на младежта и спорта, разпределени, както следва:</w:t>
      </w:r>
    </w:p>
    <w:p w14:paraId="2826F915" w14:textId="777777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sz w:val="26"/>
          <w:szCs w:val="26"/>
          <w:lang w:val="bg-BG"/>
        </w:rPr>
        <w:t>1. допълнителни трансфери за 2025 г. в размер 71 415 лв. по бюджетите на общините, разпределени съгласно приложение № 1;</w:t>
      </w:r>
    </w:p>
    <w:p w14:paraId="7A2E7331" w14:textId="51EA37BD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sz w:val="26"/>
          <w:szCs w:val="26"/>
          <w:lang w:val="bg-BG"/>
        </w:rPr>
        <w:t xml:space="preserve">2. допълнителни разходи за 2025 г. в размер 23 490 лв. по бюджета на Министерството на младежта и спорта съгласно </w:t>
      </w:r>
      <w:r w:rsidR="00384D08" w:rsidRPr="008B6A80">
        <w:rPr>
          <w:rFonts w:ascii="Arial" w:hAnsi="Arial" w:cs="Arial"/>
          <w:sz w:val="26"/>
          <w:szCs w:val="26"/>
          <w:lang w:val="bg-BG"/>
        </w:rPr>
        <w:br/>
      </w:r>
      <w:r w:rsidRPr="008B6A80">
        <w:rPr>
          <w:rFonts w:ascii="Arial" w:hAnsi="Arial" w:cs="Arial"/>
          <w:sz w:val="26"/>
          <w:szCs w:val="26"/>
          <w:lang w:val="bg-BG"/>
        </w:rPr>
        <w:t>приложение № 2.</w:t>
      </w:r>
    </w:p>
    <w:p w14:paraId="63061376" w14:textId="777777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(2)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Допълнителните трансфери по ал. 1, т. 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7B258F06" w14:textId="7638C3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Чл. 2.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Сумата по чл. 1, ал. 1 да се осигури за сметка на предвидените разходи по централния бюджет за 2025 г.</w:t>
      </w:r>
    </w:p>
    <w:p w14:paraId="6AECCE5E" w14:textId="2C1329D6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Чл. 3. (1)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Със сумата по чл. 1, ал. 1, т. 2 да се увеличат разходите по „Политика в областта на спорта за учащи и спорта в свободното време“, бюджетна програма „Спорт за учащи“, по бюджета на Министерството на младежта и спорта за 2025 г.</w:t>
      </w:r>
    </w:p>
    <w:p w14:paraId="19B5C949" w14:textId="2169349D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Със сумата 51 030 лв. да се увеличи показателят по чл. 27, ал. 3, т. 1 от Закона за държавния бюджет на Република България за </w:t>
      </w:r>
      <w:r w:rsidR="00384D08" w:rsidRPr="008B6A80">
        <w:rPr>
          <w:rFonts w:ascii="Arial" w:hAnsi="Arial" w:cs="Arial"/>
          <w:sz w:val="26"/>
          <w:szCs w:val="26"/>
          <w:lang w:val="bg-BG"/>
        </w:rPr>
        <w:br/>
      </w:r>
      <w:r w:rsidRPr="008B6A80">
        <w:rPr>
          <w:rFonts w:ascii="Arial" w:hAnsi="Arial" w:cs="Arial"/>
          <w:sz w:val="26"/>
          <w:szCs w:val="26"/>
          <w:lang w:val="bg-BG"/>
        </w:rPr>
        <w:t>2025 г.</w:t>
      </w:r>
    </w:p>
    <w:p w14:paraId="6DF7C6F7" w14:textId="777777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Със сумата по чл. 1, ал. 1, т. 2 да се увеличи показателят по чл. 27, ал. 3, т. 2 от Закона за държавния бюджет на Република България за 2025 г.</w:t>
      </w:r>
    </w:p>
    <w:p w14:paraId="5598DC94" w14:textId="777777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Чл. 4.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Министърът на младежта и спорта да извърши съответните промени по бюджета на Министерството на младежта и спорта за 2025 г. и да уведоми министъра на финансите.</w:t>
      </w:r>
    </w:p>
    <w:p w14:paraId="6452F480" w14:textId="2968946F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Чл. 5.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7C327260" w14:textId="77777777" w:rsidR="00DC3C1A" w:rsidRPr="008B6A80" w:rsidRDefault="00DC3C1A" w:rsidP="00384D08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365AC43D" w14:textId="151402EA" w:rsidR="00DC3C1A" w:rsidRPr="008B6A80" w:rsidRDefault="00DC3C1A" w:rsidP="00384D08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mallCaps/>
          <w:sz w:val="26"/>
          <w:szCs w:val="26"/>
          <w:lang w:val="bg-BG"/>
        </w:rPr>
        <w:t>Заключителни разпоредби</w:t>
      </w:r>
    </w:p>
    <w:p w14:paraId="532724D0" w14:textId="77777777" w:rsidR="00DC3C1A" w:rsidRPr="008B6A80" w:rsidRDefault="00DC3C1A" w:rsidP="00384D08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FBC126F" w14:textId="0E30733E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109, ал. 3 във връзка с чл. 55а от Закона за публичните финанси и чл. 2 от Постановление № 108 на Министерския съвет от 2025 г. за приемане на </w:t>
      </w:r>
      <w:r w:rsidRPr="008B6A80">
        <w:rPr>
          <w:rFonts w:ascii="Arial" w:hAnsi="Arial" w:cs="Arial"/>
          <w:sz w:val="26"/>
          <w:szCs w:val="26"/>
          <w:lang w:val="bg-BG"/>
        </w:rPr>
        <w:lastRenderedPageBreak/>
        <w:t>Програма на мерките за закрила на деца с изявени дарби от държавни, общински и частни училища през 2025 г.</w:t>
      </w:r>
    </w:p>
    <w:p w14:paraId="0D1C021F" w14:textId="77777777" w:rsidR="00DC3C1A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младежта и спорта и на кметовете на съответните общини.</w:t>
      </w:r>
    </w:p>
    <w:p w14:paraId="2B2F029D" w14:textId="5D5B244A" w:rsidR="004D1266" w:rsidRPr="008B6A80" w:rsidRDefault="00DC3C1A" w:rsidP="00384D08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B6A80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8B6A80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15</w:t>
      </w:r>
      <w:r w:rsidR="00EA3742" w:rsidRPr="008B6A80">
        <w:rPr>
          <w:rFonts w:ascii="Arial" w:hAnsi="Arial" w:cs="Arial"/>
          <w:sz w:val="26"/>
          <w:szCs w:val="26"/>
          <w:lang w:val="bg-BG"/>
        </w:rPr>
        <w:t xml:space="preserve"> декември </w:t>
      </w:r>
      <w:r w:rsidRPr="008B6A80">
        <w:rPr>
          <w:rFonts w:ascii="Arial" w:hAnsi="Arial" w:cs="Arial"/>
          <w:sz w:val="26"/>
          <w:szCs w:val="26"/>
          <w:lang w:val="bg-BG"/>
        </w:rPr>
        <w:t>2025 г.</w:t>
      </w:r>
    </w:p>
    <w:p w14:paraId="45840C31" w14:textId="77777777" w:rsidR="008C3367" w:rsidRPr="008B6A80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5D48565" w14:textId="77777777" w:rsidR="008C3367" w:rsidRPr="008B6A80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50E6C79" w14:textId="77777777" w:rsidR="004D1544" w:rsidRPr="008B6A80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1A82246" w14:textId="77777777" w:rsidR="008B6A80" w:rsidRPr="008B6A80" w:rsidRDefault="008B6A80" w:rsidP="009A43C4">
      <w:pPr>
        <w:ind w:firstLine="1134"/>
        <w:rPr>
          <w:rFonts w:ascii="Arial" w:hAnsi="Arial" w:cs="Arial"/>
          <w:b/>
          <w:lang w:val="bg-BG"/>
        </w:rPr>
      </w:pPr>
      <w:r w:rsidRPr="008B6A80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1A379459" w14:textId="77777777" w:rsidR="008B6A80" w:rsidRPr="008B6A80" w:rsidRDefault="008B6A80" w:rsidP="009A43C4">
      <w:pPr>
        <w:ind w:firstLine="1134"/>
        <w:rPr>
          <w:rFonts w:ascii="Arial" w:hAnsi="Arial" w:cs="Arial"/>
          <w:b/>
          <w:lang w:val="bg-BG"/>
        </w:rPr>
      </w:pPr>
    </w:p>
    <w:p w14:paraId="6142E7A8" w14:textId="77777777" w:rsidR="008B6A80" w:rsidRPr="008B6A80" w:rsidRDefault="008B6A80" w:rsidP="009A43C4">
      <w:pPr>
        <w:ind w:firstLine="1134"/>
        <w:rPr>
          <w:rFonts w:ascii="Arial" w:hAnsi="Arial" w:cs="Arial"/>
          <w:b/>
          <w:lang w:val="bg-BG"/>
        </w:rPr>
      </w:pPr>
      <w:r w:rsidRPr="008B6A80">
        <w:rPr>
          <w:rFonts w:ascii="Arial" w:hAnsi="Arial" w:cs="Arial"/>
          <w:b/>
          <w:lang w:val="bg-BG"/>
        </w:rPr>
        <w:t>ГЛАВЕН СЕКРЕТАР НА</w:t>
      </w:r>
    </w:p>
    <w:p w14:paraId="5EBE0341" w14:textId="77777777" w:rsidR="008B6A80" w:rsidRPr="008B6A80" w:rsidRDefault="008B6A80" w:rsidP="009A43C4">
      <w:pPr>
        <w:ind w:firstLine="1134"/>
        <w:rPr>
          <w:rFonts w:ascii="Arial" w:hAnsi="Arial" w:cs="Arial"/>
          <w:b/>
          <w:lang w:val="bg-BG"/>
        </w:rPr>
      </w:pPr>
      <w:r w:rsidRPr="008B6A80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A8FABAE" w14:textId="77777777" w:rsidR="008B6A80" w:rsidRPr="008B6A80" w:rsidRDefault="008B6A80" w:rsidP="009A43C4">
      <w:pPr>
        <w:ind w:firstLine="1134"/>
        <w:rPr>
          <w:rFonts w:ascii="Arial" w:hAnsi="Arial" w:cs="Arial"/>
          <w:b/>
          <w:lang w:val="bg-BG"/>
        </w:rPr>
      </w:pPr>
    </w:p>
    <w:sectPr w:rsidR="008B6A80" w:rsidRPr="008B6A80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C781" w14:textId="77777777" w:rsidR="00336CA4" w:rsidRDefault="00336CA4">
      <w:r>
        <w:separator/>
      </w:r>
    </w:p>
  </w:endnote>
  <w:endnote w:type="continuationSeparator" w:id="0">
    <w:p w14:paraId="2A7D46BC" w14:textId="77777777" w:rsidR="00336CA4" w:rsidRDefault="003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6F78" w14:textId="77777777" w:rsidR="00336CA4" w:rsidRDefault="00336CA4">
      <w:r>
        <w:separator/>
      </w:r>
    </w:p>
  </w:footnote>
  <w:footnote w:type="continuationSeparator" w:id="0">
    <w:p w14:paraId="6DB99EA7" w14:textId="77777777" w:rsidR="00336CA4" w:rsidRDefault="00336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C28F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4F4F8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198B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44CFA2D1" w14:textId="77777777" w:rsidR="00BC6AE1" w:rsidRDefault="00BC6AE1">
    <w:pPr>
      <w:pStyle w:val="Header"/>
      <w:rPr>
        <w:lang w:val="bg-BG"/>
      </w:rPr>
    </w:pPr>
  </w:p>
  <w:p w14:paraId="6CA6040A" w14:textId="77777777" w:rsidR="00BC6AE1" w:rsidRDefault="00BC6AE1">
    <w:pPr>
      <w:pStyle w:val="Header"/>
      <w:rPr>
        <w:lang w:val="bg-BG"/>
      </w:rPr>
    </w:pPr>
  </w:p>
  <w:p w14:paraId="37F5E4DA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231197">
    <w:abstractNumId w:val="15"/>
  </w:num>
  <w:num w:numId="2" w16cid:durableId="406877549">
    <w:abstractNumId w:val="0"/>
  </w:num>
  <w:num w:numId="3" w16cid:durableId="896208219">
    <w:abstractNumId w:val="22"/>
  </w:num>
  <w:num w:numId="4" w16cid:durableId="334303546">
    <w:abstractNumId w:val="4"/>
  </w:num>
  <w:num w:numId="5" w16cid:durableId="413552884">
    <w:abstractNumId w:val="7"/>
  </w:num>
  <w:num w:numId="6" w16cid:durableId="1579290853">
    <w:abstractNumId w:val="6"/>
  </w:num>
  <w:num w:numId="7" w16cid:durableId="1583685787">
    <w:abstractNumId w:val="20"/>
  </w:num>
  <w:num w:numId="8" w16cid:durableId="543832097">
    <w:abstractNumId w:val="12"/>
  </w:num>
  <w:num w:numId="9" w16cid:durableId="108860246">
    <w:abstractNumId w:val="8"/>
  </w:num>
  <w:num w:numId="10" w16cid:durableId="1937906667">
    <w:abstractNumId w:val="13"/>
  </w:num>
  <w:num w:numId="11" w16cid:durableId="1057900005">
    <w:abstractNumId w:val="5"/>
  </w:num>
  <w:num w:numId="12" w16cid:durableId="345445372">
    <w:abstractNumId w:val="16"/>
  </w:num>
  <w:num w:numId="13" w16cid:durableId="1608737613">
    <w:abstractNumId w:val="24"/>
  </w:num>
  <w:num w:numId="14" w16cid:durableId="1596017891">
    <w:abstractNumId w:val="17"/>
  </w:num>
  <w:num w:numId="15" w16cid:durableId="1482230382">
    <w:abstractNumId w:val="1"/>
  </w:num>
  <w:num w:numId="16" w16cid:durableId="1635134767">
    <w:abstractNumId w:val="2"/>
  </w:num>
  <w:num w:numId="17" w16cid:durableId="281157098">
    <w:abstractNumId w:val="14"/>
  </w:num>
  <w:num w:numId="18" w16cid:durableId="1541938885">
    <w:abstractNumId w:val="10"/>
  </w:num>
  <w:num w:numId="19" w16cid:durableId="857618853">
    <w:abstractNumId w:val="23"/>
  </w:num>
  <w:num w:numId="20" w16cid:durableId="465634317">
    <w:abstractNumId w:val="21"/>
  </w:num>
  <w:num w:numId="21" w16cid:durableId="478695287">
    <w:abstractNumId w:val="11"/>
  </w:num>
  <w:num w:numId="22" w16cid:durableId="1100222324">
    <w:abstractNumId w:val="3"/>
  </w:num>
  <w:num w:numId="23" w16cid:durableId="165901743">
    <w:abstractNumId w:val="18"/>
  </w:num>
  <w:num w:numId="24" w16cid:durableId="410858510">
    <w:abstractNumId w:val="19"/>
  </w:num>
  <w:num w:numId="25" w16cid:durableId="1247883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E7B39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B1409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36CA4"/>
    <w:rsid w:val="003418A8"/>
    <w:rsid w:val="00366F23"/>
    <w:rsid w:val="00384D08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47C59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B6A80"/>
    <w:rsid w:val="008C0325"/>
    <w:rsid w:val="008C1887"/>
    <w:rsid w:val="008C3367"/>
    <w:rsid w:val="008D7D91"/>
    <w:rsid w:val="008E2EA1"/>
    <w:rsid w:val="009114D8"/>
    <w:rsid w:val="0091391B"/>
    <w:rsid w:val="009208F7"/>
    <w:rsid w:val="00925418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A2F75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5F57"/>
    <w:rsid w:val="00C76794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3C1A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A3742"/>
    <w:rsid w:val="00EB3DE8"/>
    <w:rsid w:val="00EB536E"/>
    <w:rsid w:val="00EB7BC3"/>
    <w:rsid w:val="00EC03ED"/>
    <w:rsid w:val="00ED4110"/>
    <w:rsid w:val="00EE22E5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CF996"/>
  <w15:chartTrackingRefBased/>
  <w15:docId w15:val="{36437F0B-96C6-481A-939A-CFD1B089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2025-12-16T13:03:00Z</cp:lastPrinted>
  <dcterms:created xsi:type="dcterms:W3CDTF">2025-12-17T09:19:00Z</dcterms:created>
  <dcterms:modified xsi:type="dcterms:W3CDTF">2025-12-17T09:19:00Z</dcterms:modified>
</cp:coreProperties>
</file>