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45F5" w14:textId="7F727B13" w:rsidR="00E53184" w:rsidRDefault="00E53184" w:rsidP="00E53184">
      <w:pPr>
        <w:spacing w:after="20"/>
        <w:jc w:val="center"/>
        <w:rPr>
          <w:noProof/>
          <w:lang w:val="bg-BG"/>
        </w:rPr>
      </w:pPr>
    </w:p>
    <w:p w14:paraId="3E31402A" w14:textId="77777777" w:rsidR="00192F3E" w:rsidRDefault="00192F3E" w:rsidP="00E53184">
      <w:pPr>
        <w:spacing w:after="20"/>
        <w:jc w:val="center"/>
        <w:rPr>
          <w:noProof/>
          <w:lang w:val="bg-BG"/>
        </w:rPr>
      </w:pPr>
    </w:p>
    <w:p w14:paraId="60306F6C" w14:textId="77777777" w:rsidR="00192F3E" w:rsidRDefault="00192F3E" w:rsidP="00E53184">
      <w:pPr>
        <w:spacing w:after="20"/>
        <w:jc w:val="center"/>
        <w:rPr>
          <w:noProof/>
          <w:lang w:val="bg-BG"/>
        </w:rPr>
      </w:pPr>
    </w:p>
    <w:p w14:paraId="5EBDC19F" w14:textId="77777777" w:rsidR="00192F3E" w:rsidRPr="007063B5" w:rsidRDefault="00192F3E" w:rsidP="00E53184">
      <w:pPr>
        <w:spacing w:after="20"/>
        <w:jc w:val="center"/>
        <w:rPr>
          <w:rFonts w:ascii="TimokU" w:hAnsi="TimokU"/>
          <w:b/>
          <w:caps/>
          <w:sz w:val="22"/>
          <w:lang w:val="bg-BG"/>
        </w:rPr>
      </w:pPr>
    </w:p>
    <w:p w14:paraId="3D1BBA7F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6BCE6297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67A92D7E" w14:textId="098BBC60" w:rsidR="0069784B" w:rsidRPr="00DB01E4" w:rsidRDefault="008421E0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04337AD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0DBBE030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7B9439F8" w14:textId="7EADFB77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8421E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329</w:t>
      </w:r>
    </w:p>
    <w:p w14:paraId="0080E991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6C8D0690" w14:textId="50CDB003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421E0">
        <w:rPr>
          <w:rFonts w:ascii="Times New Roman" w:hAnsi="Times New Roman"/>
          <w:b/>
          <w:sz w:val="30"/>
          <w:szCs w:val="30"/>
          <w:lang w:val="bg-BG"/>
        </w:rPr>
        <w:t>16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421E0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941A691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669FEF67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20B01D75" w14:textId="572AA152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D092C" w:rsidRPr="00FD092C">
        <w:rPr>
          <w:rFonts w:ascii="Arial" w:hAnsi="Arial" w:cs="Arial"/>
          <w:b/>
          <w:smallCaps/>
          <w:sz w:val="26"/>
          <w:szCs w:val="26"/>
          <w:lang w:val="bg-BG"/>
        </w:rPr>
        <w:t xml:space="preserve">одобряване на </w:t>
      </w:r>
      <w:proofErr w:type="spellStart"/>
      <w:r w:rsidR="00FD092C" w:rsidRPr="00FD092C">
        <w:rPr>
          <w:rFonts w:ascii="Arial" w:hAnsi="Arial" w:cs="Arial"/>
          <w:b/>
          <w:smallCaps/>
          <w:sz w:val="26"/>
          <w:szCs w:val="26"/>
          <w:lang w:val="bg-BG"/>
        </w:rPr>
        <w:t>вътрешнокомпенсирани</w:t>
      </w:r>
      <w:proofErr w:type="spellEnd"/>
      <w:r w:rsidR="00FD092C" w:rsidRPr="00FD092C">
        <w:rPr>
          <w:rFonts w:ascii="Arial" w:hAnsi="Arial" w:cs="Arial"/>
          <w:b/>
          <w:smallCaps/>
          <w:sz w:val="26"/>
          <w:szCs w:val="26"/>
          <w:lang w:val="bg-BG"/>
        </w:rPr>
        <w:t xml:space="preserve"> промени на утвърдените разходи по области на политики/бюджетни програми по бюджета на Министерството на финансите за 2025 г. и за одобряване на допълнителни разходи по бюджета на Министерството на финансите за 2025 г.</w:t>
      </w:r>
    </w:p>
    <w:p w14:paraId="489C14F2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6DC5C23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EC7647B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7266C49B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B916D4F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451B6B68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71F4D4F7" w14:textId="77777777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b/>
          <w:bCs/>
          <w:sz w:val="26"/>
          <w:szCs w:val="26"/>
          <w:lang w:val="bg-BG"/>
        </w:rPr>
        <w:t>Чл. 1.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Одобрява промени на утвърдените разходи по области на политики/бюджетни програми по бюджета на Министерството на финансите за 2025 г., както следва: </w:t>
      </w:r>
    </w:p>
    <w:p w14:paraId="589AF174" w14:textId="7E8E4DEE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sz w:val="26"/>
          <w:szCs w:val="26"/>
          <w:lang w:val="bg-BG"/>
        </w:rPr>
        <w:t>1.</w:t>
      </w:r>
      <w:r w:rsidRPr="00FD092C">
        <w:rPr>
          <w:rFonts w:ascii="Arial" w:hAnsi="Arial" w:cs="Arial"/>
          <w:sz w:val="26"/>
          <w:szCs w:val="26"/>
          <w:lang w:val="bg-BG"/>
        </w:rPr>
        <w:tab/>
        <w:t>намалява утвърдените разходи по „Политика в областта на устойчивите и прозрачни публични финанси“</w:t>
      </w:r>
      <w:r w:rsidR="00121982">
        <w:rPr>
          <w:rFonts w:ascii="Arial" w:hAnsi="Arial" w:cs="Arial"/>
          <w:sz w:val="26"/>
          <w:szCs w:val="26"/>
          <w:lang w:val="bg-BG"/>
        </w:rPr>
        <w:t>,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по бюджетна програма „Бюджет и финансово управление“ с 1 400 000 лв. и по бюджетна програма „Защита на публичните финансови интереси“ с 2 680</w:t>
      </w:r>
      <w:r w:rsidR="00121982">
        <w:rPr>
          <w:rFonts w:ascii="Arial" w:hAnsi="Arial" w:cs="Arial"/>
          <w:sz w:val="26"/>
          <w:szCs w:val="26"/>
          <w:lang w:val="bg-BG"/>
        </w:rPr>
        <w:t> </w:t>
      </w:r>
      <w:r w:rsidRPr="00FD092C">
        <w:rPr>
          <w:rFonts w:ascii="Arial" w:hAnsi="Arial" w:cs="Arial"/>
          <w:sz w:val="26"/>
          <w:szCs w:val="26"/>
          <w:lang w:val="bg-BG"/>
        </w:rPr>
        <w:t>000</w:t>
      </w:r>
      <w:r w:rsidR="00121982">
        <w:rPr>
          <w:rFonts w:ascii="Arial" w:hAnsi="Arial" w:cs="Arial"/>
          <w:sz w:val="26"/>
          <w:szCs w:val="26"/>
          <w:lang w:val="bg-BG"/>
        </w:rPr>
        <w:t xml:space="preserve"> </w:t>
      </w:r>
      <w:r w:rsidRPr="00FD092C">
        <w:rPr>
          <w:rFonts w:ascii="Arial" w:hAnsi="Arial" w:cs="Arial"/>
          <w:sz w:val="26"/>
          <w:szCs w:val="26"/>
          <w:lang w:val="bg-BG"/>
        </w:rPr>
        <w:t>лв.;</w:t>
      </w:r>
    </w:p>
    <w:p w14:paraId="4B2DD45E" w14:textId="34509C3F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sz w:val="26"/>
          <w:szCs w:val="26"/>
          <w:lang w:val="bg-BG"/>
        </w:rPr>
        <w:t>2.</w:t>
      </w:r>
      <w:r w:rsidRPr="00FD092C">
        <w:rPr>
          <w:rFonts w:ascii="Arial" w:hAnsi="Arial" w:cs="Arial"/>
          <w:sz w:val="26"/>
          <w:szCs w:val="26"/>
          <w:lang w:val="bg-BG"/>
        </w:rPr>
        <w:tab/>
        <w:t>намалява утвърдените разходи по „Политика в областта на защитата на обществото и икономиката от финансови измами, контрабанда на стоки, изпиране на пари и финансиране на тероризма“</w:t>
      </w:r>
      <w:r w:rsidR="00121982">
        <w:rPr>
          <w:rFonts w:ascii="Arial" w:hAnsi="Arial" w:cs="Arial"/>
          <w:sz w:val="26"/>
          <w:szCs w:val="26"/>
          <w:lang w:val="bg-BG"/>
        </w:rPr>
        <w:t>,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по бюджетна програма „Интегриране на финансовата система във финансовата система на ЕС“ със 150 000 лв.;</w:t>
      </w:r>
    </w:p>
    <w:p w14:paraId="38390333" w14:textId="1386EF3C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sz w:val="26"/>
          <w:szCs w:val="26"/>
          <w:lang w:val="bg-BG"/>
        </w:rPr>
        <w:lastRenderedPageBreak/>
        <w:t>3.</w:t>
      </w:r>
      <w:r w:rsidRPr="00FD092C">
        <w:rPr>
          <w:rFonts w:ascii="Arial" w:hAnsi="Arial" w:cs="Arial"/>
          <w:sz w:val="26"/>
          <w:szCs w:val="26"/>
          <w:lang w:val="bg-BG"/>
        </w:rPr>
        <w:tab/>
        <w:t>намалява утвърдените разходи по „Политика в областта на управлението на дълга“</w:t>
      </w:r>
      <w:r w:rsidR="00121982">
        <w:rPr>
          <w:rFonts w:ascii="Arial" w:hAnsi="Arial" w:cs="Arial"/>
          <w:sz w:val="26"/>
          <w:szCs w:val="26"/>
          <w:lang w:val="bg-BG"/>
        </w:rPr>
        <w:t>,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по бюджетна програма „Управление на ликвидността“ с 1 970 000 лв.;</w:t>
      </w:r>
    </w:p>
    <w:p w14:paraId="7E3C8853" w14:textId="77777777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sz w:val="26"/>
          <w:szCs w:val="26"/>
          <w:lang w:val="bg-BG"/>
        </w:rPr>
        <w:t>4.</w:t>
      </w:r>
      <w:r w:rsidRPr="00FD092C">
        <w:rPr>
          <w:rFonts w:ascii="Arial" w:hAnsi="Arial" w:cs="Arial"/>
          <w:sz w:val="26"/>
          <w:szCs w:val="26"/>
          <w:lang w:val="bg-BG"/>
        </w:rPr>
        <w:tab/>
        <w:t>намалява утвърдените разходи по бюджетна програма „Администрация“ с 3 800 000 лв.;</w:t>
      </w:r>
    </w:p>
    <w:p w14:paraId="7346DF52" w14:textId="3A949C2D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sz w:val="26"/>
          <w:szCs w:val="26"/>
          <w:lang w:val="bg-BG"/>
        </w:rPr>
        <w:t>5.</w:t>
      </w:r>
      <w:r w:rsidRPr="00FD092C">
        <w:rPr>
          <w:rFonts w:ascii="Arial" w:hAnsi="Arial" w:cs="Arial"/>
          <w:sz w:val="26"/>
          <w:szCs w:val="26"/>
          <w:lang w:val="bg-BG"/>
        </w:rPr>
        <w:tab/>
        <w:t>увеличава утвърдените разходи по „Политика в областта на ефективното събиране на всички държавни приходи“</w:t>
      </w:r>
      <w:r w:rsidR="00121982">
        <w:rPr>
          <w:rFonts w:ascii="Arial" w:hAnsi="Arial" w:cs="Arial"/>
          <w:sz w:val="26"/>
          <w:szCs w:val="26"/>
          <w:lang w:val="bg-BG"/>
        </w:rPr>
        <w:t>,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по бюджетна програма „Администриране на държавните приходи“ с 49 500 000 лв.;</w:t>
      </w:r>
    </w:p>
    <w:p w14:paraId="00F240B5" w14:textId="77777777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sz w:val="26"/>
          <w:szCs w:val="26"/>
          <w:lang w:val="bg-BG"/>
        </w:rPr>
        <w:t>6.</w:t>
      </w:r>
      <w:r w:rsidRPr="00FD092C">
        <w:rPr>
          <w:rFonts w:ascii="Arial" w:hAnsi="Arial" w:cs="Arial"/>
          <w:sz w:val="26"/>
          <w:szCs w:val="26"/>
          <w:lang w:val="bg-BG"/>
        </w:rPr>
        <w:tab/>
        <w:t>увеличава утвърдените разходи по бюджетна програма „Администрация“ с 5 000 000 лв.</w:t>
      </w:r>
    </w:p>
    <w:p w14:paraId="68A9133A" w14:textId="77777777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b/>
          <w:bCs/>
          <w:sz w:val="26"/>
          <w:szCs w:val="26"/>
          <w:lang w:val="bg-BG"/>
        </w:rPr>
        <w:t>Чл. 2. (1)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Одобрява допълнителни разходи по бюджета на Министерството на финансите за 2025 г. в общ размер 44 500 000 лв., както следва:</w:t>
      </w:r>
    </w:p>
    <w:p w14:paraId="3953901B" w14:textId="22FA9EFD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sz w:val="26"/>
          <w:szCs w:val="26"/>
          <w:lang w:val="bg-BG"/>
        </w:rPr>
        <w:t xml:space="preserve">1. 39 500 000 лв. за изпълнение на Националната стратегия за интегрирано гранично управление в Република България 2024 -2027 г. и дейности по поети ангажименти от страна на Република България по Митническия кодекс на съюза (Регламент (ЕС) № 952/2013 г. на Европейския парламент и на Съвета от 9 октомври 2013 година) и Многогодишен стратегически план (MASP - </w:t>
      </w:r>
      <w:proofErr w:type="spellStart"/>
      <w:r w:rsidRPr="00FD092C">
        <w:rPr>
          <w:rFonts w:ascii="Arial" w:hAnsi="Arial" w:cs="Arial"/>
          <w:sz w:val="26"/>
          <w:szCs w:val="26"/>
          <w:lang w:val="bg-BG"/>
        </w:rPr>
        <w:t>Multi-Annual</w:t>
      </w:r>
      <w:proofErr w:type="spellEnd"/>
      <w:r w:rsidRPr="00FD092C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FD092C">
        <w:rPr>
          <w:rFonts w:ascii="Arial" w:hAnsi="Arial" w:cs="Arial"/>
          <w:sz w:val="26"/>
          <w:szCs w:val="26"/>
          <w:lang w:val="bg-BG"/>
        </w:rPr>
        <w:t>Strategic</w:t>
      </w:r>
      <w:proofErr w:type="spellEnd"/>
      <w:r w:rsidRPr="00FD092C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FD092C">
        <w:rPr>
          <w:rFonts w:ascii="Arial" w:hAnsi="Arial" w:cs="Arial"/>
          <w:sz w:val="26"/>
          <w:szCs w:val="26"/>
          <w:lang w:val="bg-BG"/>
        </w:rPr>
        <w:t>Plan</w:t>
      </w:r>
      <w:proofErr w:type="spellEnd"/>
      <w:r w:rsidRPr="00FD092C">
        <w:rPr>
          <w:rFonts w:ascii="Arial" w:hAnsi="Arial" w:cs="Arial"/>
          <w:sz w:val="26"/>
          <w:szCs w:val="26"/>
          <w:lang w:val="bg-BG"/>
        </w:rPr>
        <w:t>) на Европейската комисия;</w:t>
      </w:r>
    </w:p>
    <w:p w14:paraId="55CC40A9" w14:textId="77777777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sz w:val="26"/>
          <w:szCs w:val="26"/>
          <w:lang w:val="bg-BG"/>
        </w:rPr>
        <w:t>2. 5 000 000 лв. за финансово обезпечаване на комуникационните дейности по процеса за въвеждането на еврото в Република България.</w:t>
      </w:r>
    </w:p>
    <w:p w14:paraId="17D97FF8" w14:textId="723839D8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Със сумата в размер на 20 000 000 лв. да се увеличи показателят по чл. 9, ал. 3, т. 1 от Закона за държавния бюджет на Република България за 2025 г.</w:t>
      </w:r>
    </w:p>
    <w:p w14:paraId="0E0F0824" w14:textId="721008F4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b/>
          <w:bCs/>
          <w:sz w:val="26"/>
          <w:szCs w:val="26"/>
          <w:lang w:val="bg-BG"/>
        </w:rPr>
        <w:t>(3)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Със сумата в размер на 39 500 000 лв. да се увеличи показателят по чл. 9, ал. 3, т. 2 от Закона за държавния бюджет на Република България за 2025 г.</w:t>
      </w:r>
    </w:p>
    <w:p w14:paraId="71B805A5" w14:textId="565FE884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b/>
          <w:bCs/>
          <w:sz w:val="26"/>
          <w:szCs w:val="26"/>
          <w:lang w:val="bg-BG"/>
        </w:rPr>
        <w:t>(4)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Средствата по ал. 1 да се осигурят за сметка на предвидените разходи по централния бюджет за 2025 г. в размер на </w:t>
      </w:r>
      <w:r w:rsidR="00EE480D">
        <w:rPr>
          <w:rFonts w:ascii="Arial" w:hAnsi="Arial" w:cs="Arial"/>
          <w:sz w:val="26"/>
          <w:szCs w:val="26"/>
          <w:lang w:val="bg-BG"/>
        </w:rPr>
        <w:br/>
      </w:r>
      <w:r w:rsidRPr="00FD092C">
        <w:rPr>
          <w:rFonts w:ascii="Arial" w:hAnsi="Arial" w:cs="Arial"/>
          <w:sz w:val="26"/>
          <w:szCs w:val="26"/>
          <w:lang w:val="bg-BG"/>
        </w:rPr>
        <w:t xml:space="preserve">31 700 000 лв. и от преструктуриране на разходите по централния бюджет </w:t>
      </w:r>
      <w:r w:rsidR="00EE480D">
        <w:rPr>
          <w:rFonts w:ascii="Arial" w:hAnsi="Arial" w:cs="Arial"/>
          <w:sz w:val="26"/>
          <w:szCs w:val="26"/>
          <w:lang w:val="bg-BG"/>
        </w:rPr>
        <w:t xml:space="preserve">за </w:t>
      </w:r>
      <w:r w:rsidRPr="00FD092C">
        <w:rPr>
          <w:rFonts w:ascii="Arial" w:hAnsi="Arial" w:cs="Arial"/>
          <w:sz w:val="26"/>
          <w:szCs w:val="26"/>
          <w:lang w:val="bg-BG"/>
        </w:rPr>
        <w:t>2025 г. в размер на 12 800 000 лв.</w:t>
      </w:r>
    </w:p>
    <w:p w14:paraId="3BBD9077" w14:textId="77777777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b/>
          <w:bCs/>
          <w:sz w:val="26"/>
          <w:szCs w:val="26"/>
          <w:lang w:val="bg-BG"/>
        </w:rPr>
        <w:lastRenderedPageBreak/>
        <w:t>(5)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За извършване на плащанията по ал. 1, т. 2 може да се използва сметка за чужди средства на Министерството на финансите. Преведените до 31 декември 2025 г. по сметката  суми се отразяват в изпълнението на съответните разходни показатели по бюджета на Министерството на финансите за 2025 г.</w:t>
      </w:r>
    </w:p>
    <w:p w14:paraId="725BF314" w14:textId="77777777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b/>
          <w:bCs/>
          <w:sz w:val="26"/>
          <w:szCs w:val="26"/>
          <w:lang w:val="bg-BG"/>
        </w:rPr>
        <w:t>Чл. 3.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Министърът на финансите да извърши съответните промени по бюджета на Министерството на финансите за 2025 г. и по централния бюджет за 2025 г.</w:t>
      </w:r>
    </w:p>
    <w:p w14:paraId="4C893BE7" w14:textId="77777777" w:rsidR="00FD092C" w:rsidRPr="00121982" w:rsidRDefault="00FD092C" w:rsidP="00121982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47CBEDA6" w14:textId="77777777" w:rsidR="00FD092C" w:rsidRPr="00121982" w:rsidRDefault="00FD092C" w:rsidP="00121982">
      <w:pPr>
        <w:spacing w:before="120" w:line="288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121982">
        <w:rPr>
          <w:rFonts w:ascii="Arial" w:hAnsi="Arial" w:cs="Arial"/>
          <w:b/>
          <w:bCs/>
          <w:smallCaps/>
          <w:sz w:val="26"/>
          <w:szCs w:val="26"/>
          <w:lang w:val="bg-BG"/>
        </w:rPr>
        <w:t>Заключителни разпоредби</w:t>
      </w:r>
    </w:p>
    <w:p w14:paraId="7568E63F" w14:textId="77777777" w:rsidR="00FD092C" w:rsidRPr="00121982" w:rsidRDefault="00FD092C" w:rsidP="00121982">
      <w:pPr>
        <w:spacing w:before="120" w:line="288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54560322" w14:textId="0F0210EA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b/>
          <w:bCs/>
          <w:sz w:val="26"/>
          <w:szCs w:val="26"/>
          <w:lang w:val="bg-BG"/>
        </w:rPr>
        <w:t>§ 1.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Постановлението се приема на основание чл. 109, ал. 1 и 3 от Закона за публичните финанси.</w:t>
      </w:r>
    </w:p>
    <w:p w14:paraId="02C3201F" w14:textId="278DC521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b/>
          <w:bCs/>
          <w:sz w:val="26"/>
          <w:szCs w:val="26"/>
          <w:lang w:val="bg-BG"/>
        </w:rPr>
        <w:t>§ 2.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В Постановление № 480 на Министерския съвет от 2022 г. за одобряване на допълнителни разходи по бюджета на Министерството на финансите за 2022 г. (обн., ДВ, бр. 102 от 2022 г.; изм. и доп., бр. 37 и 50 от 2023 г., бр. 84 от 2024 г. и бр. 73 от 2025 г.)</w:t>
      </w:r>
      <w:r w:rsidR="00121982">
        <w:rPr>
          <w:rFonts w:ascii="Arial" w:hAnsi="Arial" w:cs="Arial"/>
          <w:sz w:val="26"/>
          <w:szCs w:val="26"/>
          <w:lang w:val="bg-BG"/>
        </w:rPr>
        <w:t>,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в чл. 4, ал. 3 </w:t>
      </w:r>
      <w:r w:rsidR="00121982">
        <w:rPr>
          <w:rFonts w:ascii="Arial" w:hAnsi="Arial" w:cs="Arial"/>
          <w:sz w:val="26"/>
          <w:szCs w:val="26"/>
          <w:lang w:val="bg-BG"/>
        </w:rPr>
        <w:t>числото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„2025“ се заменя с „2026“.</w:t>
      </w:r>
    </w:p>
    <w:p w14:paraId="12B406E7" w14:textId="77777777" w:rsidR="00FD092C" w:rsidRPr="00FD092C" w:rsidRDefault="00FD092C" w:rsidP="00FD092C">
      <w:pPr>
        <w:spacing w:before="120" w:line="288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D092C">
        <w:rPr>
          <w:rFonts w:ascii="Arial" w:hAnsi="Arial" w:cs="Arial"/>
          <w:b/>
          <w:bCs/>
          <w:sz w:val="26"/>
          <w:szCs w:val="26"/>
          <w:lang w:val="bg-BG"/>
        </w:rPr>
        <w:t>§ 3.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Изпълнението на постановлението се възлага на министъра на финансите.</w:t>
      </w:r>
    </w:p>
    <w:p w14:paraId="56EB80D6" w14:textId="2ECB214B" w:rsidR="008C3367" w:rsidRPr="007063B5" w:rsidRDefault="00FD092C" w:rsidP="00121982">
      <w:pPr>
        <w:spacing w:before="120" w:line="288" w:lineRule="auto"/>
        <w:ind w:right="1" w:firstLine="1134"/>
        <w:jc w:val="both"/>
        <w:rPr>
          <w:rFonts w:ascii="Arial" w:hAnsi="Arial" w:cs="Arial"/>
          <w:bCs/>
          <w:sz w:val="26"/>
          <w:szCs w:val="26"/>
        </w:rPr>
      </w:pPr>
      <w:r w:rsidRPr="00FD092C">
        <w:rPr>
          <w:rFonts w:ascii="Arial" w:hAnsi="Arial" w:cs="Arial"/>
          <w:b/>
          <w:bCs/>
          <w:sz w:val="26"/>
          <w:szCs w:val="26"/>
          <w:lang w:val="bg-BG"/>
        </w:rPr>
        <w:t>§ 4.</w:t>
      </w:r>
      <w:r w:rsidRPr="00FD092C">
        <w:rPr>
          <w:rFonts w:ascii="Arial" w:hAnsi="Arial" w:cs="Arial"/>
          <w:sz w:val="26"/>
          <w:szCs w:val="26"/>
          <w:lang w:val="bg-BG"/>
        </w:rPr>
        <w:t xml:space="preserve"> Постановлението влиза в сила от </w:t>
      </w:r>
      <w:r w:rsidR="00121982">
        <w:rPr>
          <w:rFonts w:ascii="Arial" w:hAnsi="Arial" w:cs="Arial"/>
          <w:sz w:val="26"/>
          <w:szCs w:val="26"/>
          <w:lang w:val="bg-BG"/>
        </w:rPr>
        <w:t>15 декември 2025 г.</w:t>
      </w:r>
    </w:p>
    <w:p w14:paraId="23BA715B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29B71D9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06B57BD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D1E30C6" w14:textId="77777777" w:rsidR="008421E0" w:rsidRPr="00F54BFF" w:rsidRDefault="008421E0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ЗА МИНИСТЪР-ПРЕДСЕДАТЕЛ: /п/ </w:t>
      </w:r>
      <w:proofErr w:type="spellStart"/>
      <w:r>
        <w:rPr>
          <w:rFonts w:ascii="Arial" w:hAnsi="Arial" w:cs="Arial"/>
          <w:b/>
        </w:rPr>
        <w:t>Томислав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Дончев</w:t>
      </w:r>
      <w:proofErr w:type="spellEnd"/>
    </w:p>
    <w:p w14:paraId="5A41CB95" w14:textId="77777777" w:rsidR="008421E0" w:rsidRPr="00F54BFF" w:rsidRDefault="008421E0" w:rsidP="009A43C4">
      <w:pPr>
        <w:ind w:firstLine="1134"/>
        <w:rPr>
          <w:rFonts w:ascii="Arial" w:hAnsi="Arial" w:cs="Arial"/>
          <w:b/>
        </w:rPr>
      </w:pPr>
    </w:p>
    <w:p w14:paraId="292C010D" w14:textId="77777777" w:rsidR="008421E0" w:rsidRPr="00F54BFF" w:rsidRDefault="008421E0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>ГЛАВЕН СЕКРЕТАР НА</w:t>
      </w:r>
    </w:p>
    <w:p w14:paraId="1831151C" w14:textId="77777777" w:rsidR="008421E0" w:rsidRPr="00F54BFF" w:rsidRDefault="008421E0" w:rsidP="009A43C4">
      <w:pPr>
        <w:ind w:firstLine="1134"/>
        <w:rPr>
          <w:rFonts w:ascii="Arial" w:hAnsi="Arial" w:cs="Arial"/>
          <w:b/>
        </w:rPr>
      </w:pPr>
      <w:r w:rsidRPr="00F54BFF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54BFF">
        <w:rPr>
          <w:rFonts w:ascii="Arial" w:hAnsi="Arial" w:cs="Arial"/>
          <w:b/>
        </w:rPr>
        <w:t>Габриела</w:t>
      </w:r>
      <w:proofErr w:type="spellEnd"/>
      <w:r w:rsidRPr="00F54BFF">
        <w:rPr>
          <w:rFonts w:ascii="Arial" w:hAnsi="Arial" w:cs="Arial"/>
          <w:b/>
        </w:rPr>
        <w:t xml:space="preserve"> </w:t>
      </w:r>
      <w:proofErr w:type="spellStart"/>
      <w:r w:rsidRPr="00F54BFF">
        <w:rPr>
          <w:rFonts w:ascii="Arial" w:hAnsi="Arial" w:cs="Arial"/>
          <w:b/>
        </w:rPr>
        <w:t>Козарева</w:t>
      </w:r>
      <w:proofErr w:type="spellEnd"/>
    </w:p>
    <w:p w14:paraId="2E038E4B" w14:textId="77777777" w:rsidR="008421E0" w:rsidRPr="00F54BFF" w:rsidRDefault="008421E0" w:rsidP="009A43C4">
      <w:pPr>
        <w:ind w:firstLine="1134"/>
        <w:rPr>
          <w:rFonts w:ascii="Arial" w:hAnsi="Arial" w:cs="Arial"/>
          <w:b/>
        </w:rPr>
      </w:pPr>
    </w:p>
    <w:sectPr w:rsidR="008421E0" w:rsidRPr="00F54BFF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F649" w14:textId="77777777" w:rsidR="007C1040" w:rsidRDefault="007C1040">
      <w:r>
        <w:separator/>
      </w:r>
    </w:p>
  </w:endnote>
  <w:endnote w:type="continuationSeparator" w:id="0">
    <w:p w14:paraId="35D6D45A" w14:textId="77777777" w:rsidR="007C1040" w:rsidRDefault="007C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6C2B" w14:textId="77777777" w:rsidR="007C1040" w:rsidRDefault="007C1040">
      <w:r>
        <w:separator/>
      </w:r>
    </w:p>
  </w:footnote>
  <w:footnote w:type="continuationSeparator" w:id="0">
    <w:p w14:paraId="18D543DF" w14:textId="77777777" w:rsidR="007C1040" w:rsidRDefault="007C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0FFC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50E706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2DF5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1D9BF59C" w14:textId="77777777" w:rsidR="00BC6AE1" w:rsidRDefault="00BC6AE1">
    <w:pPr>
      <w:pStyle w:val="Header"/>
      <w:rPr>
        <w:lang w:val="bg-BG"/>
      </w:rPr>
    </w:pPr>
  </w:p>
  <w:p w14:paraId="032A20D7" w14:textId="77777777" w:rsidR="00BC6AE1" w:rsidRDefault="00BC6AE1">
    <w:pPr>
      <w:pStyle w:val="Header"/>
      <w:rPr>
        <w:lang w:val="bg-BG"/>
      </w:rPr>
    </w:pPr>
  </w:p>
  <w:p w14:paraId="023A904E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093289">
    <w:abstractNumId w:val="15"/>
  </w:num>
  <w:num w:numId="2" w16cid:durableId="437606350">
    <w:abstractNumId w:val="0"/>
  </w:num>
  <w:num w:numId="3" w16cid:durableId="1150439680">
    <w:abstractNumId w:val="22"/>
  </w:num>
  <w:num w:numId="4" w16cid:durableId="638535002">
    <w:abstractNumId w:val="4"/>
  </w:num>
  <w:num w:numId="5" w16cid:durableId="1226599751">
    <w:abstractNumId w:val="7"/>
  </w:num>
  <w:num w:numId="6" w16cid:durableId="2052532526">
    <w:abstractNumId w:val="6"/>
  </w:num>
  <w:num w:numId="7" w16cid:durableId="315689685">
    <w:abstractNumId w:val="20"/>
  </w:num>
  <w:num w:numId="8" w16cid:durableId="1151098655">
    <w:abstractNumId w:val="12"/>
  </w:num>
  <w:num w:numId="9" w16cid:durableId="2030258661">
    <w:abstractNumId w:val="8"/>
  </w:num>
  <w:num w:numId="10" w16cid:durableId="506595659">
    <w:abstractNumId w:val="13"/>
  </w:num>
  <w:num w:numId="11" w16cid:durableId="1074087259">
    <w:abstractNumId w:val="5"/>
  </w:num>
  <w:num w:numId="12" w16cid:durableId="1699768639">
    <w:abstractNumId w:val="16"/>
  </w:num>
  <w:num w:numId="13" w16cid:durableId="1856920275">
    <w:abstractNumId w:val="24"/>
  </w:num>
  <w:num w:numId="14" w16cid:durableId="191041790">
    <w:abstractNumId w:val="17"/>
  </w:num>
  <w:num w:numId="15" w16cid:durableId="617300456">
    <w:abstractNumId w:val="1"/>
  </w:num>
  <w:num w:numId="16" w16cid:durableId="541409374">
    <w:abstractNumId w:val="2"/>
  </w:num>
  <w:num w:numId="17" w16cid:durableId="636572426">
    <w:abstractNumId w:val="14"/>
  </w:num>
  <w:num w:numId="18" w16cid:durableId="1816070580">
    <w:abstractNumId w:val="10"/>
  </w:num>
  <w:num w:numId="19" w16cid:durableId="1956791678">
    <w:abstractNumId w:val="23"/>
  </w:num>
  <w:num w:numId="20" w16cid:durableId="938831420">
    <w:abstractNumId w:val="21"/>
  </w:num>
  <w:num w:numId="21" w16cid:durableId="914827216">
    <w:abstractNumId w:val="11"/>
  </w:num>
  <w:num w:numId="22" w16cid:durableId="322243875">
    <w:abstractNumId w:val="3"/>
  </w:num>
  <w:num w:numId="23" w16cid:durableId="485974936">
    <w:abstractNumId w:val="18"/>
  </w:num>
  <w:num w:numId="24" w16cid:durableId="24450299">
    <w:abstractNumId w:val="19"/>
  </w:num>
  <w:num w:numId="25" w16cid:durableId="277297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21982"/>
    <w:rsid w:val="00131F19"/>
    <w:rsid w:val="001432B7"/>
    <w:rsid w:val="00150571"/>
    <w:rsid w:val="00151461"/>
    <w:rsid w:val="00152FB5"/>
    <w:rsid w:val="00153985"/>
    <w:rsid w:val="00162DB2"/>
    <w:rsid w:val="00177CDD"/>
    <w:rsid w:val="001910FF"/>
    <w:rsid w:val="00192F3E"/>
    <w:rsid w:val="001A057E"/>
    <w:rsid w:val="001B1409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58B2"/>
    <w:rsid w:val="00555C1D"/>
    <w:rsid w:val="005866D4"/>
    <w:rsid w:val="005B0F27"/>
    <w:rsid w:val="005B65BD"/>
    <w:rsid w:val="005E0A0C"/>
    <w:rsid w:val="005E1598"/>
    <w:rsid w:val="005E31B2"/>
    <w:rsid w:val="005F6F1E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7063B5"/>
    <w:rsid w:val="00707AB1"/>
    <w:rsid w:val="0072300B"/>
    <w:rsid w:val="00737C68"/>
    <w:rsid w:val="00745C91"/>
    <w:rsid w:val="00746DAC"/>
    <w:rsid w:val="007473EB"/>
    <w:rsid w:val="00762AA2"/>
    <w:rsid w:val="007645CB"/>
    <w:rsid w:val="00771936"/>
    <w:rsid w:val="00775FE6"/>
    <w:rsid w:val="007B24E5"/>
    <w:rsid w:val="007C1040"/>
    <w:rsid w:val="007D015C"/>
    <w:rsid w:val="007F3668"/>
    <w:rsid w:val="00811DD0"/>
    <w:rsid w:val="008201B5"/>
    <w:rsid w:val="008360F4"/>
    <w:rsid w:val="008421E0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5334"/>
    <w:rsid w:val="009523AB"/>
    <w:rsid w:val="00952CED"/>
    <w:rsid w:val="00955E39"/>
    <w:rsid w:val="009568C2"/>
    <w:rsid w:val="0096567B"/>
    <w:rsid w:val="0097141D"/>
    <w:rsid w:val="00975CAB"/>
    <w:rsid w:val="00975DB5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10F6"/>
    <w:rsid w:val="00C75F57"/>
    <w:rsid w:val="00C76794"/>
    <w:rsid w:val="00C915BE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77F87"/>
    <w:rsid w:val="00EB3DE8"/>
    <w:rsid w:val="00EB536E"/>
    <w:rsid w:val="00EB7BC3"/>
    <w:rsid w:val="00EC03ED"/>
    <w:rsid w:val="00ED4110"/>
    <w:rsid w:val="00EE22E5"/>
    <w:rsid w:val="00EE480D"/>
    <w:rsid w:val="00EF4143"/>
    <w:rsid w:val="00F36F83"/>
    <w:rsid w:val="00F374AA"/>
    <w:rsid w:val="00F432AB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092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61976"/>
  <w15:chartTrackingRefBased/>
  <w15:docId w15:val="{05053FD1-3E9A-40CC-81C3-CCB1D67E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2020-12-30T07:12:00Z</cp:lastPrinted>
  <dcterms:created xsi:type="dcterms:W3CDTF">2025-12-17T09:28:00Z</dcterms:created>
  <dcterms:modified xsi:type="dcterms:W3CDTF">2025-12-17T09:28:00Z</dcterms:modified>
</cp:coreProperties>
</file>