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D899" w14:textId="77777777" w:rsidR="00E94C54" w:rsidRPr="005E7A0E" w:rsidRDefault="00E94C54" w:rsidP="00194398">
      <w:pPr>
        <w:overflowPunct w:val="0"/>
        <w:autoSpaceDE w:val="0"/>
        <w:autoSpaceDN w:val="0"/>
        <w:adjustRightInd w:val="0"/>
        <w:spacing w:after="0" w:line="360" w:lineRule="auto"/>
        <w:textAlignment w:val="baseline"/>
        <w:rPr>
          <w:rFonts w:ascii="Times New Roman" w:eastAsia="Calibri" w:hAnsi="Times New Roman" w:cs="Times New Roman"/>
          <w:b/>
          <w:bCs/>
          <w:sz w:val="24"/>
          <w:szCs w:val="24"/>
          <w:lang w:val="bg-BG"/>
        </w:rPr>
      </w:pPr>
    </w:p>
    <w:p w14:paraId="6D57C923" w14:textId="77777777" w:rsidR="00E94C54" w:rsidRPr="005E7A0E" w:rsidRDefault="00E94C54" w:rsidP="00E94C54">
      <w:pPr>
        <w:spacing w:before="240" w:after="120" w:line="245" w:lineRule="auto"/>
        <w:jc w:val="center"/>
        <w:rPr>
          <w:rFonts w:ascii="Times New Roman" w:eastAsiaTheme="minorEastAsia" w:hAnsi="Times New Roman" w:cs="Times New Roman"/>
          <w:sz w:val="40"/>
          <w:szCs w:val="40"/>
          <w:lang w:val="bg-BG"/>
        </w:rPr>
      </w:pPr>
    </w:p>
    <w:p w14:paraId="460303F1" w14:textId="77777777" w:rsidR="00E94C54" w:rsidRPr="005E7A0E" w:rsidRDefault="00E94C54" w:rsidP="00E94C54">
      <w:pPr>
        <w:spacing w:before="240" w:after="120" w:line="245" w:lineRule="auto"/>
        <w:jc w:val="center"/>
        <w:rPr>
          <w:rFonts w:ascii="Times New Roman" w:eastAsiaTheme="minorEastAsia" w:hAnsi="Times New Roman" w:cs="Times New Roman"/>
          <w:sz w:val="40"/>
          <w:szCs w:val="40"/>
          <w:lang w:val="bg-BG"/>
        </w:rPr>
      </w:pPr>
    </w:p>
    <w:p w14:paraId="5B8DBDA1" w14:textId="5BCC41BE" w:rsidR="00E94C54" w:rsidRPr="005E7A0E" w:rsidRDefault="00E94C54" w:rsidP="00E94C54">
      <w:pPr>
        <w:spacing w:before="240" w:after="120" w:line="245" w:lineRule="auto"/>
        <w:jc w:val="center"/>
        <w:rPr>
          <w:rFonts w:ascii="Times New Roman" w:eastAsiaTheme="minorEastAsia" w:hAnsi="Times New Roman" w:cs="Times New Roman"/>
          <w:sz w:val="40"/>
          <w:szCs w:val="40"/>
          <w:lang w:val="bg-BG"/>
        </w:rPr>
      </w:pPr>
      <w:bookmarkStart w:id="0" w:name="_Hlk214987628"/>
      <w:r w:rsidRPr="005E7A0E">
        <w:rPr>
          <w:rFonts w:ascii="Times New Roman" w:eastAsiaTheme="minorEastAsia" w:hAnsi="Times New Roman" w:cs="Times New Roman"/>
          <w:sz w:val="40"/>
          <w:szCs w:val="40"/>
          <w:lang w:val="bg-BG"/>
        </w:rPr>
        <w:t>Допълнителна оценка на резултатите на изпълнението на програма „Околна среда” 2021–2027 г. за целите на междинния преглед</w:t>
      </w:r>
    </w:p>
    <w:bookmarkEnd w:id="0"/>
    <w:p w14:paraId="082C3E58" w14:textId="77777777" w:rsidR="007713BE" w:rsidRPr="005E7A0E" w:rsidRDefault="007713BE" w:rsidP="00194398">
      <w:pPr>
        <w:overflowPunct w:val="0"/>
        <w:autoSpaceDE w:val="0"/>
        <w:autoSpaceDN w:val="0"/>
        <w:adjustRightInd w:val="0"/>
        <w:spacing w:after="0" w:line="360" w:lineRule="auto"/>
        <w:textAlignment w:val="baseline"/>
        <w:rPr>
          <w:rFonts w:ascii="Times New Roman" w:eastAsia="Calibri" w:hAnsi="Times New Roman" w:cs="Times New Roman"/>
          <w:b/>
          <w:bCs/>
          <w:sz w:val="24"/>
          <w:szCs w:val="24"/>
          <w:lang w:val="bg-BG"/>
        </w:rPr>
      </w:pPr>
    </w:p>
    <w:p w14:paraId="379B6A40" w14:textId="5BD84A7B" w:rsidR="00E94C54" w:rsidRPr="005E7A0E" w:rsidRDefault="00E94C54" w:rsidP="00E94C54">
      <w:pPr>
        <w:spacing w:before="240" w:after="120" w:line="245" w:lineRule="auto"/>
        <w:jc w:val="center"/>
        <w:rPr>
          <w:rFonts w:ascii="Times New Roman" w:eastAsiaTheme="minorEastAsia" w:hAnsi="Times New Roman" w:cs="Times New Roman"/>
          <w:sz w:val="24"/>
          <w:szCs w:val="24"/>
          <w:lang w:val="bg-BG"/>
        </w:rPr>
      </w:pPr>
      <w:r w:rsidRPr="005E7A0E">
        <w:rPr>
          <w:rFonts w:ascii="Times New Roman" w:eastAsiaTheme="minorEastAsia" w:hAnsi="Times New Roman" w:cs="Times New Roman"/>
          <w:sz w:val="24"/>
          <w:szCs w:val="24"/>
          <w:lang w:val="bg-BG"/>
        </w:rPr>
        <w:t>(Регламент (ЕС)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w:t>
      </w:r>
      <w:r w:rsidRPr="005E7A0E">
        <w:rPr>
          <w:rFonts w:ascii="Times New Roman" w:eastAsiaTheme="minorEastAsia" w:hAnsi="Times New Roman" w:cs="Times New Roman"/>
          <w:i/>
          <w:iCs/>
          <w:sz w:val="24"/>
          <w:szCs w:val="24"/>
          <w:lang w:val="bg-BG"/>
        </w:rPr>
        <w:t>Регламент (ЕС) 2021/1060</w:t>
      </w:r>
      <w:r w:rsidRPr="005E7A0E">
        <w:rPr>
          <w:rFonts w:ascii="Times New Roman" w:eastAsiaTheme="minorEastAsia" w:hAnsi="Times New Roman" w:cs="Times New Roman"/>
          <w:sz w:val="24"/>
          <w:szCs w:val="24"/>
          <w:lang w:val="bg-BG"/>
        </w:rPr>
        <w:t>) и Регламент (ЕС) 2025/1914 на Европейския парламент и на Съвета от 18 септември 2025 г. за изменение на Регламенти (ЕС) 2021/1058 и (ЕС) 2021/1056 по отношение на специални мерки за справяне със стратегически предизвикателства в контекста на междинния преглед)</w:t>
      </w:r>
    </w:p>
    <w:p w14:paraId="6047D976" w14:textId="77777777" w:rsidR="00E94C54" w:rsidRPr="005E7A0E" w:rsidRDefault="00E94C54" w:rsidP="00E94C54">
      <w:pPr>
        <w:spacing w:before="240" w:after="120" w:line="245" w:lineRule="auto"/>
        <w:jc w:val="center"/>
        <w:rPr>
          <w:rFonts w:ascii="Times New Roman" w:eastAsiaTheme="minorEastAsia" w:hAnsi="Times New Roman" w:cs="Times New Roman"/>
          <w:sz w:val="16"/>
          <w:szCs w:val="16"/>
          <w:lang w:val="bg-BG"/>
        </w:rPr>
      </w:pPr>
    </w:p>
    <w:p w14:paraId="5A7A35AE" w14:textId="77777777" w:rsidR="00BD0B52" w:rsidRPr="005E7A0E" w:rsidRDefault="00BD0B52" w:rsidP="00E94C54">
      <w:pPr>
        <w:spacing w:before="240" w:after="120" w:line="245" w:lineRule="auto"/>
        <w:jc w:val="center"/>
        <w:rPr>
          <w:rFonts w:ascii="Times New Roman" w:eastAsiaTheme="minorEastAsia" w:hAnsi="Times New Roman" w:cs="Times New Roman"/>
          <w:sz w:val="16"/>
          <w:szCs w:val="16"/>
          <w:lang w:val="bg-BG"/>
        </w:rPr>
      </w:pPr>
    </w:p>
    <w:p w14:paraId="3F6E7742" w14:textId="77777777" w:rsidR="00E94C54" w:rsidRPr="005E7A0E" w:rsidRDefault="00E94C54" w:rsidP="00E94C54">
      <w:pPr>
        <w:spacing w:before="240" w:after="120" w:line="245" w:lineRule="auto"/>
        <w:ind w:left="851"/>
        <w:rPr>
          <w:rFonts w:ascii="Times New Roman" w:eastAsiaTheme="minorEastAsia" w:hAnsi="Times New Roman" w:cs="Times New Roman"/>
          <w:sz w:val="28"/>
          <w:szCs w:val="28"/>
          <w:lang w:val="bg-BG"/>
        </w:rPr>
      </w:pPr>
    </w:p>
    <w:p w14:paraId="0BE1EE54" w14:textId="77777777" w:rsidR="00E94C54" w:rsidRPr="005E7A0E" w:rsidRDefault="00E94C54" w:rsidP="00E94C54">
      <w:pPr>
        <w:spacing w:before="240" w:after="120" w:line="245" w:lineRule="auto"/>
        <w:ind w:left="851"/>
        <w:rPr>
          <w:rFonts w:ascii="Times New Roman" w:eastAsiaTheme="minorEastAsia" w:hAnsi="Times New Roman" w:cs="Times New Roman"/>
          <w:sz w:val="28"/>
          <w:szCs w:val="28"/>
          <w:lang w:val="bg-BG"/>
        </w:rPr>
      </w:pPr>
    </w:p>
    <w:p w14:paraId="7580CDB3" w14:textId="77777777" w:rsidR="00E94C54" w:rsidRPr="005E7A0E" w:rsidRDefault="00E94C54" w:rsidP="00E94C54">
      <w:pPr>
        <w:spacing w:before="240" w:after="120" w:line="245" w:lineRule="auto"/>
        <w:ind w:left="851"/>
        <w:rPr>
          <w:rFonts w:ascii="Times New Roman" w:eastAsiaTheme="minorEastAsia" w:hAnsi="Times New Roman" w:cs="Times New Roman"/>
          <w:sz w:val="28"/>
          <w:szCs w:val="28"/>
          <w:lang w:val="bg-BG"/>
        </w:rPr>
      </w:pPr>
    </w:p>
    <w:p w14:paraId="69604D47" w14:textId="77777777" w:rsidR="00E94C54" w:rsidRPr="005E7A0E" w:rsidRDefault="00E94C54" w:rsidP="00E94C54">
      <w:pPr>
        <w:spacing w:before="240" w:after="120" w:line="245" w:lineRule="auto"/>
        <w:ind w:left="851"/>
        <w:rPr>
          <w:rFonts w:ascii="Times New Roman" w:eastAsiaTheme="minorEastAsia" w:hAnsi="Times New Roman" w:cs="Times New Roman"/>
          <w:sz w:val="28"/>
          <w:szCs w:val="28"/>
          <w:lang w:val="bg-BG"/>
        </w:rPr>
      </w:pPr>
    </w:p>
    <w:p w14:paraId="2E81835F" w14:textId="77777777" w:rsidR="00E94C54" w:rsidRDefault="00E94C54" w:rsidP="00E94C54">
      <w:pPr>
        <w:spacing w:before="240" w:after="120" w:line="245" w:lineRule="auto"/>
        <w:ind w:left="851"/>
        <w:rPr>
          <w:rFonts w:ascii="Times New Roman" w:eastAsiaTheme="minorEastAsia" w:hAnsi="Times New Roman" w:cs="Times New Roman"/>
          <w:sz w:val="28"/>
          <w:szCs w:val="28"/>
          <w:lang w:val="bg-BG"/>
        </w:rPr>
      </w:pPr>
    </w:p>
    <w:p w14:paraId="51B767FA" w14:textId="77777777" w:rsidR="0038498D" w:rsidRDefault="0038498D" w:rsidP="00E94C54">
      <w:pPr>
        <w:spacing w:before="240" w:after="120" w:line="245" w:lineRule="auto"/>
        <w:ind w:left="851"/>
        <w:rPr>
          <w:rFonts w:ascii="Times New Roman" w:eastAsiaTheme="minorEastAsia" w:hAnsi="Times New Roman" w:cs="Times New Roman"/>
          <w:sz w:val="28"/>
          <w:szCs w:val="28"/>
          <w:lang w:val="bg-BG"/>
        </w:rPr>
      </w:pPr>
    </w:p>
    <w:p w14:paraId="177D1855" w14:textId="77777777" w:rsidR="0038498D" w:rsidRPr="005E7A0E" w:rsidRDefault="0038498D" w:rsidP="00E94C54">
      <w:pPr>
        <w:spacing w:before="240" w:after="120" w:line="245" w:lineRule="auto"/>
        <w:ind w:left="851"/>
        <w:rPr>
          <w:rFonts w:ascii="Times New Roman" w:eastAsiaTheme="minorEastAsia" w:hAnsi="Times New Roman" w:cs="Times New Roman"/>
          <w:sz w:val="28"/>
          <w:szCs w:val="28"/>
          <w:lang w:val="bg-BG"/>
        </w:rPr>
      </w:pPr>
    </w:p>
    <w:p w14:paraId="3999A08A" w14:textId="77777777" w:rsidR="00E94C54" w:rsidRPr="005E7A0E" w:rsidRDefault="00E94C54" w:rsidP="00E94C54">
      <w:pPr>
        <w:spacing w:before="240" w:after="120" w:line="245" w:lineRule="auto"/>
        <w:ind w:left="851"/>
        <w:rPr>
          <w:rFonts w:ascii="Times New Roman" w:eastAsiaTheme="minorEastAsia" w:hAnsi="Times New Roman" w:cs="Times New Roman"/>
          <w:sz w:val="28"/>
          <w:szCs w:val="28"/>
          <w:lang w:val="bg-BG"/>
        </w:rPr>
      </w:pPr>
    </w:p>
    <w:p w14:paraId="384F3690" w14:textId="1C7F69EE" w:rsidR="0038498D" w:rsidRPr="005E7A0E" w:rsidRDefault="0038498D" w:rsidP="0038498D">
      <w:pPr>
        <w:pStyle w:val="ListParagraph"/>
        <w:numPr>
          <w:ilvl w:val="0"/>
          <w:numId w:val="15"/>
        </w:numPr>
        <w:spacing w:before="240" w:after="100" w:afterAutospacing="1" w:line="244" w:lineRule="auto"/>
        <w:jc w:val="both"/>
        <w:rPr>
          <w:rFonts w:ascii="Times New Roman" w:eastAsia="Calibri" w:hAnsi="Times New Roman" w:cs="Times New Roman"/>
          <w:b/>
          <w:bCs/>
          <w:sz w:val="24"/>
          <w:szCs w:val="24"/>
          <w:lang w:val="bg-BG"/>
        </w:rPr>
      </w:pPr>
      <w:r>
        <w:rPr>
          <w:rFonts w:ascii="Times New Roman" w:eastAsia="Calibri" w:hAnsi="Times New Roman" w:cs="Times New Roman"/>
          <w:b/>
          <w:bCs/>
          <w:sz w:val="24"/>
          <w:szCs w:val="24"/>
          <w:lang w:val="bg-BG"/>
        </w:rPr>
        <w:lastRenderedPageBreak/>
        <w:t>Идентифицирани нужди в сектор „Управление на водите“ и п</w:t>
      </w:r>
      <w:r w:rsidRPr="005E7A0E">
        <w:rPr>
          <w:rFonts w:ascii="Times New Roman" w:eastAsia="Calibri" w:hAnsi="Times New Roman" w:cs="Times New Roman"/>
          <w:b/>
          <w:bCs/>
          <w:sz w:val="24"/>
          <w:szCs w:val="24"/>
          <w:lang w:val="bg-BG"/>
        </w:rPr>
        <w:t>редложение за изменение на ПОС 2021-2027 г. чрез създаване на специален приоритет.</w:t>
      </w:r>
    </w:p>
    <w:p w14:paraId="51ECFAC4" w14:textId="77777777" w:rsidR="0038498D" w:rsidRPr="005E7A0E" w:rsidRDefault="0038498D" w:rsidP="0038498D">
      <w:pPr>
        <w:pStyle w:val="ListParagraph"/>
        <w:spacing w:before="240" w:after="100" w:afterAutospacing="1" w:line="244" w:lineRule="auto"/>
        <w:ind w:left="0" w:firstLine="708"/>
        <w:jc w:val="both"/>
        <w:rPr>
          <w:rFonts w:ascii="Times New Roman" w:eastAsia="Calibri" w:hAnsi="Times New Roman" w:cs="Times New Roman"/>
          <w:sz w:val="24"/>
          <w:szCs w:val="24"/>
          <w:lang w:val="bg-BG"/>
        </w:rPr>
      </w:pPr>
    </w:p>
    <w:p w14:paraId="5E39DEA1" w14:textId="4879E6B2" w:rsidR="00BC0F23" w:rsidRDefault="00BC0F23" w:rsidP="00BC0F23">
      <w:pPr>
        <w:pStyle w:val="ListParagraph"/>
        <w:spacing w:before="240" w:after="100" w:afterAutospacing="1" w:line="244" w:lineRule="auto"/>
        <w:ind w:left="0" w:firstLine="720"/>
        <w:jc w:val="both"/>
        <w:rPr>
          <w:rFonts w:ascii="Times New Roman" w:eastAsia="Calibri" w:hAnsi="Times New Roman" w:cs="Times New Roman"/>
          <w:sz w:val="24"/>
          <w:szCs w:val="24"/>
          <w:lang w:val="bg-BG"/>
        </w:rPr>
      </w:pPr>
      <w:r w:rsidRPr="00BC0F23">
        <w:rPr>
          <w:rFonts w:ascii="Times New Roman" w:eastAsia="Calibri" w:hAnsi="Times New Roman" w:cs="Times New Roman"/>
          <w:sz w:val="24"/>
          <w:szCs w:val="24"/>
          <w:lang w:val="bg-BG"/>
        </w:rPr>
        <w:t xml:space="preserve">С изменението на програмата се създава нов специален </w:t>
      </w:r>
      <w:r w:rsidRPr="00E10208">
        <w:rPr>
          <w:rFonts w:ascii="Times New Roman" w:eastAsia="Calibri" w:hAnsi="Times New Roman" w:cs="Times New Roman"/>
          <w:b/>
          <w:bCs/>
          <w:sz w:val="24"/>
          <w:szCs w:val="24"/>
          <w:lang w:val="bg-BG"/>
        </w:rPr>
        <w:t>приоритет 7 „Устойчивост на водите“</w:t>
      </w:r>
      <w:r w:rsidR="002E2E19">
        <w:rPr>
          <w:rFonts w:ascii="Times New Roman" w:eastAsia="Calibri" w:hAnsi="Times New Roman" w:cs="Times New Roman"/>
          <w:b/>
          <w:bCs/>
          <w:sz w:val="24"/>
          <w:szCs w:val="24"/>
          <w:lang w:val="bg-BG"/>
        </w:rPr>
        <w:t>,</w:t>
      </w:r>
      <w:r w:rsidRPr="00BC0F23">
        <w:rPr>
          <w:rFonts w:ascii="Times New Roman" w:eastAsia="Calibri" w:hAnsi="Times New Roman" w:cs="Times New Roman"/>
          <w:sz w:val="24"/>
          <w:szCs w:val="24"/>
          <w:lang w:val="bg-BG"/>
        </w:rPr>
        <w:t xml:space="preserve"> във връзка с изменената съгласно чл. 1, пар. 1, бук. </w:t>
      </w:r>
      <w:r w:rsidR="002E2E19">
        <w:rPr>
          <w:rFonts w:ascii="Times New Roman" w:eastAsia="Calibri" w:hAnsi="Times New Roman" w:cs="Times New Roman"/>
          <w:sz w:val="24"/>
          <w:szCs w:val="24"/>
          <w:lang w:val="bg-BG"/>
        </w:rPr>
        <w:t>„</w:t>
      </w:r>
      <w:r w:rsidRPr="00BC0F23">
        <w:rPr>
          <w:rFonts w:ascii="Times New Roman" w:eastAsia="Calibri" w:hAnsi="Times New Roman" w:cs="Times New Roman"/>
          <w:sz w:val="24"/>
          <w:szCs w:val="24"/>
          <w:lang w:val="bg-BG"/>
        </w:rPr>
        <w:t>а</w:t>
      </w:r>
      <w:r w:rsidR="002E2E19">
        <w:rPr>
          <w:rFonts w:ascii="Times New Roman" w:eastAsia="Calibri" w:hAnsi="Times New Roman" w:cs="Times New Roman"/>
          <w:sz w:val="24"/>
          <w:szCs w:val="24"/>
          <w:lang w:val="bg-BG"/>
        </w:rPr>
        <w:t>“</w:t>
      </w:r>
      <w:r w:rsidRPr="00BC0F23">
        <w:rPr>
          <w:rFonts w:ascii="Times New Roman" w:eastAsia="Calibri" w:hAnsi="Times New Roman" w:cs="Times New Roman"/>
          <w:sz w:val="24"/>
          <w:szCs w:val="24"/>
          <w:lang w:val="bg-BG"/>
        </w:rPr>
        <w:t xml:space="preserve">, ii от </w:t>
      </w:r>
      <w:r w:rsidR="002E2E19" w:rsidRPr="002E2E19">
        <w:rPr>
          <w:rFonts w:ascii="Times New Roman" w:eastAsia="Calibri" w:hAnsi="Times New Roman" w:cs="Times New Roman"/>
          <w:sz w:val="24"/>
          <w:szCs w:val="24"/>
          <w:lang w:val="bg-BG"/>
        </w:rPr>
        <w:t>Регламент (ЕС) 2025/1914 на Европейския парламент и на Съвета от 18 септември 2025 г. за изменение на Регламенти (ЕС) 2021/1058 и (ЕС) 2021/1056 по отношение на специални мерки за справяне със стратегически предизвикателства в контекста на междинния преглед</w:t>
      </w:r>
      <w:r w:rsidR="002E2E19">
        <w:rPr>
          <w:rFonts w:ascii="Times New Roman" w:eastAsia="Calibri" w:hAnsi="Times New Roman" w:cs="Times New Roman"/>
          <w:sz w:val="24"/>
          <w:szCs w:val="24"/>
          <w:lang w:val="bg-BG"/>
        </w:rPr>
        <w:t xml:space="preserve"> </w:t>
      </w:r>
      <w:r w:rsidRPr="002E2E19">
        <w:rPr>
          <w:rFonts w:ascii="Times New Roman" w:eastAsia="Calibri" w:hAnsi="Times New Roman" w:cs="Times New Roman"/>
          <w:b/>
          <w:bCs/>
          <w:sz w:val="24"/>
          <w:szCs w:val="24"/>
          <w:lang w:val="bg-BG"/>
        </w:rPr>
        <w:t>специфична цел</w:t>
      </w:r>
      <w:r w:rsidRPr="00BC0F23">
        <w:rPr>
          <w:rFonts w:ascii="Times New Roman" w:eastAsia="Calibri" w:hAnsi="Times New Roman" w:cs="Times New Roman"/>
          <w:sz w:val="24"/>
          <w:szCs w:val="24"/>
          <w:lang w:val="bg-BG"/>
        </w:rPr>
        <w:t xml:space="preserve"> </w:t>
      </w:r>
      <w:r w:rsidRPr="00E10208">
        <w:rPr>
          <w:rFonts w:ascii="Times New Roman" w:eastAsia="Calibri" w:hAnsi="Times New Roman" w:cs="Times New Roman"/>
          <w:b/>
          <w:bCs/>
          <w:sz w:val="24"/>
          <w:szCs w:val="24"/>
          <w:lang w:val="bg-BG"/>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r>
        <w:rPr>
          <w:rFonts w:ascii="Times New Roman" w:eastAsia="Calibri" w:hAnsi="Times New Roman" w:cs="Times New Roman"/>
          <w:sz w:val="24"/>
          <w:szCs w:val="24"/>
          <w:lang w:val="bg-BG"/>
        </w:rPr>
        <w:t>.</w:t>
      </w:r>
      <w:r w:rsidR="00DA31BE">
        <w:rPr>
          <w:rFonts w:ascii="Times New Roman" w:eastAsia="Calibri" w:hAnsi="Times New Roman" w:cs="Times New Roman"/>
          <w:sz w:val="24"/>
          <w:szCs w:val="24"/>
          <w:lang w:val="bg-BG"/>
        </w:rPr>
        <w:t xml:space="preserve"> </w:t>
      </w:r>
      <w:r w:rsidR="003C1371" w:rsidRPr="003C1371">
        <w:rPr>
          <w:rFonts w:ascii="Times New Roman" w:eastAsia="Calibri" w:hAnsi="Times New Roman" w:cs="Times New Roman"/>
          <w:sz w:val="24"/>
          <w:szCs w:val="24"/>
          <w:lang w:val="bg-BG"/>
        </w:rPr>
        <w:t>Новият приоритет е насочен към постигането на целите на Европейската стратегия за устойчивост на водните ресурси за осигуряване на чиста вода и добри санитарно-хигиенни условия.</w:t>
      </w:r>
    </w:p>
    <w:p w14:paraId="0F34EBDD" w14:textId="77777777" w:rsidR="0038498D" w:rsidRPr="005E7A0E" w:rsidRDefault="0038498D" w:rsidP="00E10208">
      <w:pPr>
        <w:pStyle w:val="ListParagraph"/>
        <w:spacing w:after="0" w:line="244" w:lineRule="auto"/>
        <w:ind w:left="0" w:firstLine="708"/>
        <w:jc w:val="both"/>
        <w:rPr>
          <w:rFonts w:ascii="Times New Roman" w:eastAsia="Calibri" w:hAnsi="Times New Roman" w:cs="Times New Roman"/>
          <w:sz w:val="24"/>
          <w:szCs w:val="24"/>
          <w:lang w:val="bg-BG"/>
        </w:rPr>
      </w:pPr>
      <w:r w:rsidRPr="005E7A0E">
        <w:rPr>
          <w:rFonts w:ascii="Times New Roman" w:eastAsia="Calibri" w:hAnsi="Times New Roman" w:cs="Times New Roman"/>
          <w:sz w:val="24"/>
          <w:szCs w:val="24"/>
          <w:lang w:val="bg-BG"/>
        </w:rPr>
        <w:t>В политическите насоки за периода 2024</w:t>
      </w:r>
      <w:r>
        <w:rPr>
          <w:rFonts w:ascii="Times New Roman" w:eastAsia="Calibri" w:hAnsi="Times New Roman" w:cs="Times New Roman"/>
          <w:sz w:val="24"/>
          <w:szCs w:val="24"/>
          <w:lang w:val="bg-BG"/>
        </w:rPr>
        <w:t>-</w:t>
      </w:r>
      <w:r w:rsidRPr="005E7A0E">
        <w:rPr>
          <w:rFonts w:ascii="Times New Roman" w:eastAsia="Calibri" w:hAnsi="Times New Roman" w:cs="Times New Roman"/>
          <w:sz w:val="24"/>
          <w:szCs w:val="24"/>
          <w:lang w:val="bg-BG"/>
        </w:rPr>
        <w:t>2029 г., Европейската комисия определя нови пет ключови политически приоритета на ЕС, един от които е запазването на качеството ни на живот: продоволствена сигурност, вода и природа. Идентифицирана е нуждата от нова европейска стратегия за устойчивост на водните ресурси, която да подпомогне държавите членки на ЕК при управлението на водите, справянето с недостига на вода, повишаването на конкурентоспособността и иновативността на водния сектор и прилагането на подход на кръгова икономика.</w:t>
      </w:r>
      <w:r>
        <w:rPr>
          <w:rFonts w:ascii="Times New Roman" w:eastAsia="Calibri" w:hAnsi="Times New Roman" w:cs="Times New Roman"/>
          <w:sz w:val="24"/>
          <w:szCs w:val="24"/>
          <w:lang w:val="bg-BG"/>
        </w:rPr>
        <w:t xml:space="preserve"> </w:t>
      </w:r>
      <w:r w:rsidRPr="005E7A0E">
        <w:rPr>
          <w:rFonts w:ascii="Times New Roman" w:eastAsia="Calibri" w:hAnsi="Times New Roman" w:cs="Times New Roman"/>
          <w:sz w:val="24"/>
          <w:szCs w:val="24"/>
          <w:lang w:val="bg-BG"/>
        </w:rPr>
        <w:t>Европейската стратегия за устойчивост на водните ресурси от 4.6.2025 г. е свързана с представената от ЕС на Конференцията на ООН за водите през 2023 г. визия за устойчиво управление на водите и осигуряване на водна сигурност за всички. Това включва защита и възстановяване на водните екосистеми, както и справедлив баланс между търсенето и предлагането на вода, отговарящ на настоящите нужди, включително реализирането на човешкото право на безопасна питейна вода и добри санитарно-хигиенни условия, без да се застрашават правата на бъдещите поколения.</w:t>
      </w:r>
    </w:p>
    <w:p w14:paraId="7C494151" w14:textId="77777777" w:rsidR="0038498D" w:rsidRDefault="0038498D" w:rsidP="00DA31BE">
      <w:pPr>
        <w:spacing w:after="0" w:line="240" w:lineRule="auto"/>
        <w:ind w:firstLine="709"/>
        <w:jc w:val="both"/>
        <w:rPr>
          <w:rFonts w:ascii="Times New Roman" w:eastAsia="Calibri" w:hAnsi="Times New Roman" w:cs="Times New Roman"/>
          <w:sz w:val="24"/>
          <w:szCs w:val="24"/>
          <w:lang w:val="bg-BG"/>
        </w:rPr>
      </w:pPr>
      <w:r w:rsidRPr="005E7A0E">
        <w:rPr>
          <w:rFonts w:ascii="Times New Roman" w:eastAsia="Calibri" w:hAnsi="Times New Roman" w:cs="Times New Roman"/>
          <w:sz w:val="24"/>
          <w:szCs w:val="24"/>
          <w:lang w:val="bg-BG"/>
        </w:rPr>
        <w:t>Достъпът до безопасна и чиста питейна вода и до добри санитарно-хигиенни условия е основно човешко право, уредено в Европейския стълб на социалните права. Въпреки това 1,5% от населението на ЕС живее без основни санитарно-хигиенни съоръжения, а около 4% нямат подходящ достъп до безопасна питейна вода. Постигането на добри санитарно-хигиенни условия изисква извършването на значителни инвестиции във всички етапи на управлението на водите, без които напредъкът към постигане на устойчивост на водните ресурси ще бъде твърде бавен или без значимо въздействие. Инвестициите трябва да бъдат планирани по интегриран начин, като се отчитат бъдещите климатични сценарии и оценката на произтичащите от тях рискове.</w:t>
      </w:r>
    </w:p>
    <w:p w14:paraId="215BBDEF" w14:textId="77777777" w:rsidR="0038498D" w:rsidRDefault="0038498D" w:rsidP="0038498D">
      <w:pPr>
        <w:spacing w:after="0" w:line="240" w:lineRule="auto"/>
        <w:ind w:firstLine="709"/>
        <w:jc w:val="both"/>
        <w:rPr>
          <w:rFonts w:ascii="Times New Roman" w:eastAsia="Calibri" w:hAnsi="Times New Roman" w:cs="Times New Roman"/>
          <w:sz w:val="24"/>
          <w:szCs w:val="24"/>
          <w:lang w:val="bg-BG"/>
        </w:rPr>
      </w:pPr>
      <w:r w:rsidRPr="005E7A0E">
        <w:rPr>
          <w:rFonts w:ascii="Times New Roman" w:eastAsia="Calibri" w:hAnsi="Times New Roman" w:cs="Times New Roman"/>
          <w:sz w:val="24"/>
          <w:szCs w:val="24"/>
          <w:lang w:val="bg-BG"/>
        </w:rPr>
        <w:t>В Европейската стратегия за устойчивост на водните ресурси са определени пет базови области, които да допринесат за постигането на устойчивост на водните ресурси в Европа. Една от тези области е „Финансиране, инвестиции и инфраструктура за постигане на стабилно предлагане“, за изпълнение на която е предвидено подпомагане на държавите членки и регионите при пренасочването на средства по политиката на сближаване за устойчивост на водните ресурси в рамките на междинния преглед на ЕК.</w:t>
      </w:r>
      <w:r>
        <w:rPr>
          <w:rFonts w:ascii="Times New Roman" w:eastAsia="Calibri" w:hAnsi="Times New Roman" w:cs="Times New Roman"/>
          <w:sz w:val="24"/>
          <w:szCs w:val="24"/>
          <w:lang w:val="bg-BG"/>
        </w:rPr>
        <w:t xml:space="preserve"> </w:t>
      </w:r>
    </w:p>
    <w:p w14:paraId="516DEB62" w14:textId="124153F9" w:rsidR="00B3141E" w:rsidRPr="00B3141E" w:rsidRDefault="0038498D" w:rsidP="00B3141E">
      <w:pPr>
        <w:spacing w:after="0" w:line="240" w:lineRule="auto"/>
        <w:ind w:firstLine="709"/>
        <w:jc w:val="both"/>
        <w:rPr>
          <w:rFonts w:ascii="Times New Roman" w:eastAsia="Calibri" w:hAnsi="Times New Roman" w:cs="Times New Roman"/>
          <w:sz w:val="24"/>
          <w:szCs w:val="24"/>
          <w:lang w:val="bg-BG"/>
        </w:rPr>
      </w:pPr>
      <w:r w:rsidRPr="005E7A0E">
        <w:rPr>
          <w:rFonts w:ascii="Times New Roman" w:eastAsia="Calibri" w:hAnsi="Times New Roman" w:cs="Times New Roman"/>
          <w:sz w:val="24"/>
          <w:szCs w:val="24"/>
          <w:lang w:val="bg-BG"/>
        </w:rPr>
        <w:t>Приоритет 7</w:t>
      </w:r>
      <w:r>
        <w:rPr>
          <w:rFonts w:ascii="Times New Roman" w:eastAsia="Calibri" w:hAnsi="Times New Roman" w:cs="Times New Roman"/>
          <w:sz w:val="24"/>
          <w:szCs w:val="24"/>
          <w:lang w:val="bg-BG"/>
        </w:rPr>
        <w:t xml:space="preserve"> „Устойчивост на водите“ е насочен</w:t>
      </w:r>
      <w:r w:rsidRPr="005E7A0E">
        <w:rPr>
          <w:rFonts w:ascii="Times New Roman" w:eastAsia="Calibri" w:hAnsi="Times New Roman" w:cs="Times New Roman"/>
          <w:sz w:val="24"/>
          <w:szCs w:val="24"/>
          <w:lang w:val="bg-BG"/>
        </w:rPr>
        <w:t xml:space="preserve"> към постигането на цел 3 на Европейската стратегия за устойчивост на водните ресурси за осигуряване на чиста вода и добри санитарно-хигиенни условия на достъпни цени за всички по всяко време и овластяване на гражданите за устойчивост на водните ресурси.</w:t>
      </w:r>
      <w:r>
        <w:rPr>
          <w:rFonts w:ascii="Times New Roman" w:eastAsia="Calibri" w:hAnsi="Times New Roman" w:cs="Times New Roman"/>
          <w:sz w:val="24"/>
          <w:szCs w:val="24"/>
          <w:lang w:val="bg-BG"/>
        </w:rPr>
        <w:t xml:space="preserve"> </w:t>
      </w:r>
      <w:r w:rsidR="00320310">
        <w:rPr>
          <w:rFonts w:ascii="Times New Roman" w:eastAsia="Calibri" w:hAnsi="Times New Roman" w:cs="Times New Roman"/>
          <w:sz w:val="24"/>
          <w:szCs w:val="24"/>
          <w:lang w:val="bg-BG"/>
        </w:rPr>
        <w:t>Д</w:t>
      </w:r>
      <w:r w:rsidR="00320310" w:rsidRPr="00320310">
        <w:rPr>
          <w:rFonts w:ascii="Times New Roman" w:eastAsia="Calibri" w:hAnsi="Times New Roman" w:cs="Times New Roman"/>
          <w:sz w:val="24"/>
          <w:szCs w:val="24"/>
          <w:lang w:val="bg-BG"/>
        </w:rPr>
        <w:t xml:space="preserve">опустимите интервенции </w:t>
      </w:r>
      <w:r w:rsidR="00320310">
        <w:rPr>
          <w:rFonts w:ascii="Times New Roman" w:eastAsia="Calibri" w:hAnsi="Times New Roman" w:cs="Times New Roman"/>
          <w:sz w:val="24"/>
          <w:szCs w:val="24"/>
          <w:lang w:val="bg-BG"/>
        </w:rPr>
        <w:t xml:space="preserve">са свързани с </w:t>
      </w:r>
      <w:r w:rsidR="00320310">
        <w:rPr>
          <w:rFonts w:ascii="Times New Roman" w:eastAsia="Calibri" w:hAnsi="Times New Roman" w:cs="Times New Roman"/>
          <w:sz w:val="24"/>
          <w:szCs w:val="24"/>
          <w:lang w:val="bg-BG"/>
        </w:rPr>
        <w:lastRenderedPageBreak/>
        <w:t xml:space="preserve">идентифицираните допълнителни нужди от </w:t>
      </w:r>
      <w:r w:rsidR="00B3141E">
        <w:rPr>
          <w:rFonts w:ascii="Times New Roman" w:eastAsia="Calibri" w:hAnsi="Times New Roman" w:cs="Times New Roman"/>
          <w:sz w:val="24"/>
          <w:szCs w:val="24"/>
          <w:lang w:val="bg-BG"/>
        </w:rPr>
        <w:t xml:space="preserve">проектиране и </w:t>
      </w:r>
      <w:r w:rsidR="00320310">
        <w:rPr>
          <w:rFonts w:ascii="Times New Roman" w:eastAsia="Calibri" w:hAnsi="Times New Roman" w:cs="Times New Roman"/>
          <w:sz w:val="24"/>
          <w:szCs w:val="24"/>
          <w:lang w:val="bg-BG"/>
        </w:rPr>
        <w:t xml:space="preserve">изграждане на ВиК инфраструктура в агломерации между </w:t>
      </w:r>
      <w:r w:rsidR="00320310" w:rsidRPr="00320310">
        <w:rPr>
          <w:rFonts w:ascii="Times New Roman" w:eastAsia="Calibri" w:hAnsi="Times New Roman" w:cs="Times New Roman"/>
          <w:sz w:val="24"/>
          <w:szCs w:val="24"/>
          <w:lang w:val="bg-BG"/>
        </w:rPr>
        <w:t>5 000 и 10 000 екв. ж.</w:t>
      </w:r>
      <w:r w:rsidR="00320310">
        <w:rPr>
          <w:rFonts w:ascii="Times New Roman" w:eastAsia="Calibri" w:hAnsi="Times New Roman" w:cs="Times New Roman"/>
          <w:sz w:val="24"/>
          <w:szCs w:val="24"/>
          <w:lang w:val="bg-BG"/>
        </w:rPr>
        <w:t xml:space="preserve">, с цел </w:t>
      </w:r>
      <w:r w:rsidR="00320310" w:rsidRPr="00320310">
        <w:rPr>
          <w:rFonts w:ascii="Times New Roman" w:eastAsia="Calibri" w:hAnsi="Times New Roman" w:cs="Times New Roman"/>
          <w:sz w:val="24"/>
          <w:szCs w:val="24"/>
          <w:lang w:val="bg-BG"/>
        </w:rPr>
        <w:t xml:space="preserve">предотвратяване на нови наказателни процедури срещу </w:t>
      </w:r>
      <w:r w:rsidR="00320310">
        <w:rPr>
          <w:rFonts w:ascii="Times New Roman" w:eastAsia="Calibri" w:hAnsi="Times New Roman" w:cs="Times New Roman"/>
          <w:sz w:val="24"/>
          <w:szCs w:val="24"/>
          <w:lang w:val="bg-BG"/>
        </w:rPr>
        <w:t xml:space="preserve">РБългария. </w:t>
      </w:r>
      <w:r w:rsidR="00B3141E">
        <w:rPr>
          <w:rFonts w:ascii="Times New Roman" w:eastAsia="Calibri" w:hAnsi="Times New Roman" w:cs="Times New Roman"/>
          <w:sz w:val="24"/>
          <w:szCs w:val="24"/>
          <w:lang w:val="bg-BG"/>
        </w:rPr>
        <w:t xml:space="preserve">Финансиране се осигурява и за </w:t>
      </w:r>
      <w:r w:rsidR="00B3141E" w:rsidRPr="00B3141E">
        <w:rPr>
          <w:rFonts w:ascii="Times New Roman" w:eastAsia="Calibri" w:hAnsi="Times New Roman" w:cs="Times New Roman"/>
          <w:sz w:val="24"/>
          <w:szCs w:val="24"/>
          <w:lang w:val="bg-BG"/>
        </w:rPr>
        <w:t>адекватно</w:t>
      </w:r>
      <w:r w:rsidR="00B3141E">
        <w:rPr>
          <w:rFonts w:ascii="Times New Roman" w:eastAsia="Calibri" w:hAnsi="Times New Roman" w:cs="Times New Roman"/>
          <w:sz w:val="24"/>
          <w:szCs w:val="24"/>
          <w:lang w:val="bg-BG"/>
        </w:rPr>
        <w:t>то</w:t>
      </w:r>
      <w:r w:rsidR="00B3141E" w:rsidRPr="00B3141E">
        <w:rPr>
          <w:rFonts w:ascii="Times New Roman" w:eastAsia="Calibri" w:hAnsi="Times New Roman" w:cs="Times New Roman"/>
          <w:sz w:val="24"/>
          <w:szCs w:val="24"/>
          <w:lang w:val="bg-BG"/>
        </w:rPr>
        <w:t xml:space="preserve"> пречистване </w:t>
      </w:r>
      <w:r w:rsidR="00B3141E">
        <w:rPr>
          <w:rFonts w:ascii="Times New Roman" w:eastAsia="Calibri" w:hAnsi="Times New Roman" w:cs="Times New Roman"/>
          <w:sz w:val="24"/>
          <w:szCs w:val="24"/>
          <w:lang w:val="bg-BG"/>
        </w:rPr>
        <w:t>з</w:t>
      </w:r>
      <w:r w:rsidR="00B3141E" w:rsidRPr="00B3141E">
        <w:rPr>
          <w:rFonts w:ascii="Times New Roman" w:eastAsia="Calibri" w:hAnsi="Times New Roman" w:cs="Times New Roman"/>
          <w:sz w:val="24"/>
          <w:szCs w:val="24"/>
          <w:lang w:val="bg-BG"/>
        </w:rPr>
        <w:t xml:space="preserve">а около 60 000 екв. ж., </w:t>
      </w:r>
      <w:r w:rsidR="00B3141E">
        <w:rPr>
          <w:rFonts w:ascii="Times New Roman" w:eastAsia="Calibri" w:hAnsi="Times New Roman" w:cs="Times New Roman"/>
          <w:sz w:val="24"/>
          <w:szCs w:val="24"/>
          <w:lang w:val="bg-BG"/>
        </w:rPr>
        <w:t>с цел опазване на водите на</w:t>
      </w:r>
      <w:r w:rsidR="00B3141E" w:rsidRPr="00B3141E">
        <w:rPr>
          <w:rFonts w:ascii="Times New Roman" w:eastAsia="Calibri" w:hAnsi="Times New Roman" w:cs="Times New Roman"/>
          <w:sz w:val="24"/>
          <w:szCs w:val="24"/>
          <w:lang w:val="bg-BG"/>
        </w:rPr>
        <w:t xml:space="preserve"> Черно море.</w:t>
      </w:r>
    </w:p>
    <w:p w14:paraId="579236E4" w14:textId="2FAF0955" w:rsidR="0038498D" w:rsidRDefault="0038498D" w:rsidP="0038498D">
      <w:pPr>
        <w:spacing w:after="0" w:line="240" w:lineRule="auto"/>
        <w:ind w:firstLine="709"/>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В обхвата на приоритета ще бъдат включени следните мерки:</w:t>
      </w:r>
    </w:p>
    <w:p w14:paraId="1F50A418" w14:textId="0ED7DB2E" w:rsidR="0038498D" w:rsidRPr="00D60C5F" w:rsidRDefault="0038498D" w:rsidP="0038498D">
      <w:pPr>
        <w:pStyle w:val="ListParagraph"/>
        <w:numPr>
          <w:ilvl w:val="0"/>
          <w:numId w:val="26"/>
        </w:numPr>
        <w:spacing w:after="0" w:line="240" w:lineRule="auto"/>
        <w:ind w:left="0" w:firstLine="851"/>
        <w:jc w:val="both"/>
        <w:rPr>
          <w:rFonts w:ascii="Times New Roman" w:eastAsia="Calibri" w:hAnsi="Times New Roman" w:cs="Times New Roman"/>
          <w:sz w:val="24"/>
          <w:szCs w:val="24"/>
          <w:lang w:val="bg-BG" w:bidi="bg-BG"/>
        </w:rPr>
      </w:pPr>
      <w:r>
        <w:rPr>
          <w:rFonts w:ascii="Times New Roman" w:eastAsia="Calibri" w:hAnsi="Times New Roman" w:cs="Times New Roman"/>
          <w:sz w:val="24"/>
          <w:szCs w:val="24"/>
          <w:lang w:val="bg-BG"/>
        </w:rPr>
        <w:t xml:space="preserve">Мярка 1 - </w:t>
      </w:r>
      <w:r w:rsidRPr="009D5AA6">
        <w:rPr>
          <w:rFonts w:ascii="Times New Roman" w:eastAsia="Calibri" w:hAnsi="Times New Roman" w:cs="Times New Roman"/>
          <w:sz w:val="24"/>
          <w:szCs w:val="24"/>
          <w:lang w:val="bg-BG"/>
        </w:rPr>
        <w:t>Инфраструктурни мерки (подготовка и изпълнение) за събиране, отвеждане и пречистване на отпадъчни води с принос за постигане на съответствие с Директива 91/271/ЕИО</w:t>
      </w:r>
      <w:r>
        <w:rPr>
          <w:rFonts w:ascii="Times New Roman" w:eastAsia="Calibri" w:hAnsi="Times New Roman" w:cs="Times New Roman"/>
          <w:sz w:val="24"/>
          <w:szCs w:val="24"/>
          <w:lang w:val="bg-BG"/>
        </w:rPr>
        <w:t xml:space="preserve"> </w:t>
      </w:r>
      <w:r w:rsidRPr="00D60C5F">
        <w:rPr>
          <w:rFonts w:ascii="Times New Roman" w:eastAsia="Calibri" w:hAnsi="Times New Roman" w:cs="Times New Roman"/>
          <w:sz w:val="24"/>
          <w:szCs w:val="24"/>
          <w:lang w:val="bg-BG"/>
        </w:rPr>
        <w:t xml:space="preserve">и за водоснабдяване във връзка с </w:t>
      </w:r>
      <w:r w:rsidRPr="000C4B66">
        <w:rPr>
          <w:rFonts w:ascii="Times New Roman" w:eastAsia="Calibri" w:hAnsi="Times New Roman" w:cs="Times New Roman"/>
          <w:sz w:val="24"/>
          <w:szCs w:val="24"/>
          <w:lang w:val="bg-BG"/>
        </w:rPr>
        <w:t>Директива (ЕС) 2020/2184 на Европейския парламент и на Съвета от 16 декември 2020 година относно качеството на водата, предназначена за консумация от човека (преработена)</w:t>
      </w:r>
      <w:r w:rsidRPr="00D60C5F">
        <w:rPr>
          <w:rFonts w:ascii="Times New Roman" w:eastAsia="Calibri" w:hAnsi="Times New Roman" w:cs="Times New Roman"/>
          <w:sz w:val="24"/>
          <w:szCs w:val="24"/>
          <w:lang w:val="bg-BG" w:bidi="bg-BG"/>
        </w:rPr>
        <w:t xml:space="preserve">; </w:t>
      </w:r>
    </w:p>
    <w:p w14:paraId="73B3E955" w14:textId="33BD0D22" w:rsidR="0038498D" w:rsidRPr="003E3410" w:rsidRDefault="0038498D" w:rsidP="0038498D">
      <w:pPr>
        <w:spacing w:after="0" w:line="240" w:lineRule="auto"/>
        <w:ind w:firstLine="708"/>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За целите на</w:t>
      </w:r>
      <w:r w:rsidRPr="003E3410">
        <w:rPr>
          <w:rFonts w:ascii="Times New Roman" w:eastAsia="Calibri" w:hAnsi="Times New Roman" w:cs="Times New Roman"/>
          <w:sz w:val="24"/>
          <w:szCs w:val="24"/>
          <w:lang w:val="bg-BG"/>
        </w:rPr>
        <w:t xml:space="preserve"> мярка 1 се </w:t>
      </w:r>
      <w:r>
        <w:rPr>
          <w:rFonts w:ascii="Times New Roman" w:eastAsia="Calibri" w:hAnsi="Times New Roman" w:cs="Times New Roman"/>
          <w:sz w:val="24"/>
          <w:szCs w:val="24"/>
          <w:lang w:val="bg-BG"/>
        </w:rPr>
        <w:t xml:space="preserve">извършва насочване на </w:t>
      </w:r>
      <w:r w:rsidRPr="003E3410">
        <w:rPr>
          <w:rFonts w:ascii="Times New Roman" w:eastAsia="Calibri" w:hAnsi="Times New Roman" w:cs="Times New Roman"/>
          <w:sz w:val="24"/>
          <w:szCs w:val="24"/>
          <w:lang w:val="bg-BG"/>
        </w:rPr>
        <w:t>инвестиции</w:t>
      </w:r>
      <w:r>
        <w:rPr>
          <w:rFonts w:ascii="Times New Roman" w:eastAsia="Calibri" w:hAnsi="Times New Roman" w:cs="Times New Roman"/>
          <w:sz w:val="24"/>
          <w:szCs w:val="24"/>
          <w:lang w:val="bg-BG"/>
        </w:rPr>
        <w:t>те</w:t>
      </w:r>
      <w:r w:rsidRPr="003E3410">
        <w:rPr>
          <w:rFonts w:ascii="Times New Roman" w:eastAsia="Calibri" w:hAnsi="Times New Roman" w:cs="Times New Roman"/>
          <w:sz w:val="24"/>
          <w:szCs w:val="24"/>
          <w:lang w:val="bg-BG"/>
        </w:rPr>
        <w:t xml:space="preserve"> в агломерациите между 5 000 и 10 000 екв. ж. от Националния план за възстановяване и устойчивост</w:t>
      </w:r>
      <w:r>
        <w:rPr>
          <w:rFonts w:ascii="Times New Roman" w:eastAsia="Calibri" w:hAnsi="Times New Roman" w:cs="Times New Roman"/>
          <w:sz w:val="24"/>
          <w:szCs w:val="24"/>
          <w:lang w:val="bg-BG"/>
        </w:rPr>
        <w:t xml:space="preserve"> от Приоритет 1 „Води“ на ПОС към новия Приоритет 7 „Устойчивост на водите“, </w:t>
      </w:r>
      <w:r w:rsidRPr="003E3410">
        <w:rPr>
          <w:rFonts w:ascii="Times New Roman" w:eastAsia="Calibri" w:hAnsi="Times New Roman" w:cs="Times New Roman"/>
          <w:sz w:val="24"/>
          <w:szCs w:val="24"/>
          <w:lang w:val="bg-BG"/>
        </w:rPr>
        <w:t xml:space="preserve">отчитайки възможността, която предоставя чл. 7а, пар. 2, буква </w:t>
      </w:r>
      <w:r w:rsidR="00686007">
        <w:rPr>
          <w:rFonts w:ascii="Times New Roman" w:eastAsia="Calibri" w:hAnsi="Times New Roman" w:cs="Times New Roman"/>
          <w:sz w:val="24"/>
          <w:szCs w:val="24"/>
          <w:lang w:val="bg-BG"/>
        </w:rPr>
        <w:t>„</w:t>
      </w:r>
      <w:r w:rsidRPr="003E3410">
        <w:rPr>
          <w:rFonts w:ascii="Times New Roman" w:eastAsia="Calibri" w:hAnsi="Times New Roman" w:cs="Times New Roman"/>
          <w:sz w:val="24"/>
          <w:szCs w:val="24"/>
          <w:lang w:val="bg-BG"/>
        </w:rPr>
        <w:t>г</w:t>
      </w:r>
      <w:r w:rsidR="00686007">
        <w:rPr>
          <w:rFonts w:ascii="Times New Roman" w:eastAsia="Calibri" w:hAnsi="Times New Roman" w:cs="Times New Roman"/>
          <w:sz w:val="24"/>
          <w:szCs w:val="24"/>
          <w:lang w:val="bg-BG"/>
        </w:rPr>
        <w:t>“</w:t>
      </w:r>
      <w:r w:rsidRPr="003E3410">
        <w:rPr>
          <w:rFonts w:ascii="Times New Roman" w:eastAsia="Calibri" w:hAnsi="Times New Roman" w:cs="Times New Roman"/>
          <w:sz w:val="24"/>
          <w:szCs w:val="24"/>
          <w:lang w:val="bg-BG"/>
        </w:rPr>
        <w:t xml:space="preserve"> на Регламент (ЕС) 2021/1058. </w:t>
      </w:r>
      <w:r>
        <w:rPr>
          <w:rFonts w:ascii="Times New Roman" w:eastAsia="Calibri" w:hAnsi="Times New Roman" w:cs="Times New Roman"/>
          <w:sz w:val="24"/>
          <w:szCs w:val="24"/>
          <w:lang w:val="bg-BG"/>
        </w:rPr>
        <w:t>Допустимо е финансиране на</w:t>
      </w:r>
      <w:r w:rsidRPr="003E3410">
        <w:rPr>
          <w:rFonts w:ascii="Times New Roman" w:eastAsia="Calibri" w:hAnsi="Times New Roman" w:cs="Times New Roman"/>
          <w:sz w:val="24"/>
          <w:szCs w:val="24"/>
          <w:lang w:val="bg-BG"/>
        </w:rPr>
        <w:t xml:space="preserve"> инвестициите във ВиК инфраструктура за агломерации Долни Чифлик </w:t>
      </w:r>
      <w:r w:rsidR="00671BF3">
        <w:rPr>
          <w:rFonts w:ascii="Times New Roman" w:eastAsia="Calibri" w:hAnsi="Times New Roman" w:cs="Times New Roman"/>
          <w:sz w:val="24"/>
          <w:szCs w:val="24"/>
          <w:lang w:val="bg-BG"/>
        </w:rPr>
        <w:t xml:space="preserve">и Девня </w:t>
      </w:r>
      <w:r w:rsidRPr="003E3410">
        <w:rPr>
          <w:rFonts w:ascii="Times New Roman" w:eastAsia="Calibri" w:hAnsi="Times New Roman" w:cs="Times New Roman"/>
          <w:sz w:val="24"/>
          <w:szCs w:val="24"/>
          <w:lang w:val="bg-BG"/>
        </w:rPr>
        <w:t>(ВиК Варна), Ген. Тошево (ВиК Добрич), Крумовград (ВиК Кърджали), Рогош-Скутаре и Съединение (ВиК Пловдив), Котел (ВиК Сливен), Девин (ВиК Смолян), Гълъбово и Павел Баня (ВиК Стара Загора), които с изменението на програмата съгласно чл. 18 на Регламент (ЕС) 2021/1060 бяха включени и мотивирани като резервни проекти по Приоритет 1 „Води“ на ПОС 2021-2027 г.</w:t>
      </w:r>
      <w:r>
        <w:rPr>
          <w:rFonts w:ascii="Times New Roman" w:eastAsia="Calibri" w:hAnsi="Times New Roman" w:cs="Times New Roman"/>
          <w:sz w:val="24"/>
          <w:szCs w:val="24"/>
          <w:lang w:val="bg-BG"/>
        </w:rPr>
        <w:t>,</w:t>
      </w:r>
      <w:r w:rsidRPr="00895ED8">
        <w:rPr>
          <w:lang w:val="bg-BG"/>
        </w:rPr>
        <w:t xml:space="preserve"> </w:t>
      </w:r>
      <w:r w:rsidRPr="002F46B3">
        <w:rPr>
          <w:rFonts w:ascii="Times New Roman" w:eastAsia="Calibri" w:hAnsi="Times New Roman" w:cs="Times New Roman"/>
          <w:sz w:val="24"/>
          <w:szCs w:val="24"/>
          <w:lang w:val="bg-BG"/>
        </w:rPr>
        <w:t>без алокиране на допълнителен ресурс към програмата</w:t>
      </w:r>
      <w:r>
        <w:rPr>
          <w:rFonts w:ascii="Times New Roman" w:eastAsia="Calibri" w:hAnsi="Times New Roman" w:cs="Times New Roman"/>
          <w:sz w:val="24"/>
          <w:szCs w:val="24"/>
          <w:lang w:val="bg-BG"/>
        </w:rPr>
        <w:t>.</w:t>
      </w:r>
    </w:p>
    <w:p w14:paraId="580B600F" w14:textId="7128DF08" w:rsidR="0038498D" w:rsidRPr="00A25B9F" w:rsidRDefault="0038498D" w:rsidP="0038498D">
      <w:pPr>
        <w:pStyle w:val="ListParagraph"/>
        <w:numPr>
          <w:ilvl w:val="0"/>
          <w:numId w:val="26"/>
        </w:numPr>
        <w:spacing w:after="0" w:line="240" w:lineRule="auto"/>
        <w:ind w:left="0" w:firstLine="851"/>
        <w:jc w:val="both"/>
        <w:rPr>
          <w:rFonts w:ascii="Times New Roman" w:eastAsia="Calibri" w:hAnsi="Times New Roman" w:cs="Times New Roman"/>
          <w:iCs/>
          <w:sz w:val="24"/>
          <w:szCs w:val="24"/>
          <w:lang w:val="bg-BG" w:bidi="bg-BG"/>
        </w:rPr>
      </w:pPr>
      <w:r>
        <w:rPr>
          <w:rFonts w:ascii="Times New Roman" w:eastAsia="Calibri" w:hAnsi="Times New Roman" w:cs="Times New Roman"/>
          <w:sz w:val="24"/>
          <w:szCs w:val="24"/>
          <w:lang w:val="bg-BG"/>
        </w:rPr>
        <w:t xml:space="preserve">Мярка 2 - </w:t>
      </w:r>
      <w:r w:rsidRPr="00A25B9F">
        <w:rPr>
          <w:rFonts w:ascii="Times New Roman" w:eastAsia="Calibri" w:hAnsi="Times New Roman" w:cs="Times New Roman"/>
          <w:sz w:val="24"/>
          <w:szCs w:val="24"/>
          <w:lang w:val="bg-BG" w:bidi="bg-BG"/>
        </w:rPr>
        <w:t xml:space="preserve">Допълнителни инвестиции за постигане на съответствие с Директива 91/271/ЕИО и адресиране на значителния антропогенен натиск в Черно море в района на </w:t>
      </w:r>
      <w:r>
        <w:rPr>
          <w:rFonts w:ascii="Times New Roman" w:eastAsia="Calibri" w:hAnsi="Times New Roman" w:cs="Times New Roman"/>
          <w:sz w:val="24"/>
          <w:szCs w:val="24"/>
          <w:lang w:val="bg-BG" w:bidi="bg-BG"/>
        </w:rPr>
        <w:t xml:space="preserve">к.к. </w:t>
      </w:r>
      <w:r w:rsidRPr="00A25B9F">
        <w:rPr>
          <w:rFonts w:ascii="Times New Roman" w:eastAsia="Calibri" w:hAnsi="Times New Roman" w:cs="Times New Roman"/>
          <w:sz w:val="24"/>
          <w:szCs w:val="24"/>
          <w:lang w:val="bg-BG" w:bidi="bg-BG"/>
        </w:rPr>
        <w:t>Елените - Свети Влас</w:t>
      </w:r>
      <w:r>
        <w:rPr>
          <w:rFonts w:ascii="Times New Roman" w:eastAsia="Calibri" w:hAnsi="Times New Roman" w:cs="Times New Roman"/>
          <w:sz w:val="24"/>
          <w:szCs w:val="24"/>
          <w:lang w:val="bg-BG" w:bidi="bg-BG"/>
        </w:rPr>
        <w:t>.</w:t>
      </w:r>
      <w:r w:rsidR="00BC0F23">
        <w:rPr>
          <w:rFonts w:ascii="Times New Roman" w:eastAsia="Calibri" w:hAnsi="Times New Roman" w:cs="Times New Roman"/>
          <w:sz w:val="24"/>
          <w:szCs w:val="24"/>
          <w:lang w:val="bg-BG" w:bidi="bg-BG"/>
        </w:rPr>
        <w:t xml:space="preserve"> </w:t>
      </w:r>
      <w:r w:rsidR="00BC0F23" w:rsidRPr="00BC0F23">
        <w:rPr>
          <w:rFonts w:ascii="Times New Roman" w:eastAsia="Calibri" w:hAnsi="Times New Roman" w:cs="Times New Roman"/>
          <w:sz w:val="24"/>
          <w:szCs w:val="24"/>
          <w:lang w:val="bg-BG" w:bidi="bg-BG"/>
        </w:rPr>
        <w:t>С мярката се цели опазване на водните ресурси от замърсяване, вкл. водите на Черно море, което ще се яви допълнителен гарант за устойчива политика по управление на водите.</w:t>
      </w:r>
      <w:r w:rsidR="00320310">
        <w:rPr>
          <w:rFonts w:ascii="Times New Roman" w:eastAsia="Calibri" w:hAnsi="Times New Roman" w:cs="Times New Roman"/>
          <w:sz w:val="24"/>
          <w:szCs w:val="24"/>
          <w:lang w:val="bg-BG" w:bidi="bg-BG"/>
        </w:rPr>
        <w:t xml:space="preserve"> </w:t>
      </w:r>
    </w:p>
    <w:p w14:paraId="4770F4CB" w14:textId="77777777" w:rsidR="0038498D" w:rsidRDefault="0038498D" w:rsidP="0038498D">
      <w:pPr>
        <w:pStyle w:val="ListParagraph"/>
        <w:numPr>
          <w:ilvl w:val="0"/>
          <w:numId w:val="26"/>
        </w:numPr>
        <w:spacing w:after="0" w:line="240" w:lineRule="auto"/>
        <w:ind w:left="0" w:firstLine="851"/>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Мярка 3 - </w:t>
      </w:r>
      <w:r>
        <w:rPr>
          <w:rFonts w:ascii="Times New Roman" w:hAnsi="Times New Roman" w:cs="Times New Roman"/>
          <w:sz w:val="24"/>
          <w:szCs w:val="24"/>
          <w:lang w:val="bg-BG"/>
        </w:rPr>
        <w:t>И</w:t>
      </w:r>
      <w:r w:rsidRPr="00E2407A">
        <w:rPr>
          <w:rFonts w:ascii="Times New Roman" w:hAnsi="Times New Roman" w:cs="Times New Roman"/>
          <w:sz w:val="24"/>
          <w:szCs w:val="24"/>
          <w:lang w:val="bg-BG"/>
        </w:rPr>
        <w:t>нвестиции в проектиране на ВиК инфраструктура в агломерации между 5 000 и 10 000 екв. ж.</w:t>
      </w:r>
      <w:r w:rsidRPr="00895ED8">
        <w:rPr>
          <w:lang w:val="bg-BG"/>
        </w:rPr>
        <w:t xml:space="preserve"> </w:t>
      </w:r>
      <w:r w:rsidRPr="00E94283">
        <w:rPr>
          <w:rFonts w:ascii="Times New Roman" w:hAnsi="Times New Roman" w:cs="Times New Roman"/>
          <w:sz w:val="24"/>
          <w:szCs w:val="24"/>
          <w:lang w:val="bg-BG"/>
        </w:rPr>
        <w:t>(по докладване от Директива 91/271/ЕИО - 2024 г.).</w:t>
      </w:r>
    </w:p>
    <w:p w14:paraId="536BE550" w14:textId="77777777" w:rsidR="0038498D" w:rsidRPr="0090131B" w:rsidRDefault="0038498D" w:rsidP="0038498D">
      <w:pPr>
        <w:spacing w:after="0" w:line="240" w:lineRule="auto"/>
        <w:ind w:firstLine="708"/>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Тази мярка ще послужи като о</w:t>
      </w:r>
      <w:r w:rsidRPr="0090131B">
        <w:rPr>
          <w:rFonts w:ascii="Times New Roman" w:eastAsia="Calibri" w:hAnsi="Times New Roman" w:cs="Times New Roman"/>
          <w:sz w:val="24"/>
          <w:szCs w:val="24"/>
          <w:lang w:val="bg-BG"/>
        </w:rPr>
        <w:t xml:space="preserve">снова за последващи инвестиции </w:t>
      </w:r>
      <w:r>
        <w:rPr>
          <w:rFonts w:ascii="Times New Roman" w:eastAsia="Calibri" w:hAnsi="Times New Roman" w:cs="Times New Roman"/>
          <w:sz w:val="24"/>
          <w:szCs w:val="24"/>
          <w:lang w:val="bg-BG"/>
        </w:rPr>
        <w:t xml:space="preserve">във ВиК инфраструктура </w:t>
      </w:r>
      <w:r w:rsidRPr="0090131B">
        <w:rPr>
          <w:rFonts w:ascii="Times New Roman" w:eastAsia="Calibri" w:hAnsi="Times New Roman" w:cs="Times New Roman"/>
          <w:sz w:val="24"/>
          <w:szCs w:val="24"/>
          <w:lang w:val="bg-BG"/>
        </w:rPr>
        <w:t>и осигуряване на проектна готовност за постигане на приоритетите за устойчивост на водните ресурси в светлината на Европейската стратегия</w:t>
      </w:r>
      <w:r>
        <w:rPr>
          <w:rFonts w:ascii="Times New Roman" w:eastAsia="Calibri" w:hAnsi="Times New Roman" w:cs="Times New Roman"/>
          <w:sz w:val="24"/>
          <w:szCs w:val="24"/>
          <w:lang w:val="bg-BG"/>
        </w:rPr>
        <w:t xml:space="preserve"> </w:t>
      </w:r>
      <w:r w:rsidRPr="005E7A0E">
        <w:rPr>
          <w:rFonts w:ascii="Times New Roman" w:eastAsia="Calibri" w:hAnsi="Times New Roman" w:cs="Times New Roman"/>
          <w:sz w:val="24"/>
          <w:szCs w:val="24"/>
          <w:lang w:val="bg-BG"/>
        </w:rPr>
        <w:t>за устойчивост на водните ресурси</w:t>
      </w:r>
      <w:r w:rsidRPr="0090131B">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 xml:space="preserve"> </w:t>
      </w:r>
    </w:p>
    <w:p w14:paraId="6D491888" w14:textId="77777777" w:rsidR="0038498D" w:rsidRDefault="0038498D" w:rsidP="005363AF">
      <w:pPr>
        <w:spacing w:after="0" w:line="240" w:lineRule="auto"/>
        <w:ind w:firstLine="709"/>
        <w:jc w:val="both"/>
        <w:rPr>
          <w:rFonts w:ascii="Times New Roman" w:eastAsia="Calibri" w:hAnsi="Times New Roman" w:cs="Times New Roman"/>
          <w:sz w:val="24"/>
          <w:szCs w:val="24"/>
          <w:lang w:val="bg-BG"/>
        </w:rPr>
      </w:pPr>
      <w:r w:rsidRPr="005E7A0E">
        <w:rPr>
          <w:rFonts w:ascii="Times New Roman" w:eastAsia="Calibri" w:hAnsi="Times New Roman" w:cs="Times New Roman"/>
          <w:sz w:val="24"/>
          <w:szCs w:val="24"/>
          <w:lang w:val="bg-BG"/>
        </w:rPr>
        <w:t>Мерките, които се предлага да бъдат включени в обхвата на новия приоритет, ще подсилят ефекта от П</w:t>
      </w:r>
      <w:r>
        <w:rPr>
          <w:rFonts w:ascii="Times New Roman" w:eastAsia="Calibri" w:hAnsi="Times New Roman" w:cs="Times New Roman"/>
          <w:sz w:val="24"/>
          <w:szCs w:val="24"/>
          <w:lang w:val="bg-BG"/>
        </w:rPr>
        <w:t xml:space="preserve">ОС 2021-2027 </w:t>
      </w:r>
      <w:r w:rsidRPr="005E7A0E">
        <w:rPr>
          <w:rFonts w:ascii="Times New Roman" w:eastAsia="Calibri" w:hAnsi="Times New Roman" w:cs="Times New Roman"/>
          <w:sz w:val="24"/>
          <w:szCs w:val="24"/>
          <w:lang w:val="bg-BG"/>
        </w:rPr>
        <w:t xml:space="preserve">за постигане на интегрирано и устойчиво управление на водните ресурси чрез допълнителни </w:t>
      </w:r>
      <w:r>
        <w:rPr>
          <w:rFonts w:ascii="Times New Roman" w:eastAsia="Calibri" w:hAnsi="Times New Roman" w:cs="Times New Roman"/>
          <w:sz w:val="24"/>
          <w:szCs w:val="24"/>
          <w:lang w:val="bg-BG"/>
        </w:rPr>
        <w:t xml:space="preserve">и допълващи </w:t>
      </w:r>
      <w:r w:rsidRPr="005E7A0E">
        <w:rPr>
          <w:rFonts w:ascii="Times New Roman" w:eastAsia="Calibri" w:hAnsi="Times New Roman" w:cs="Times New Roman"/>
          <w:sz w:val="24"/>
          <w:szCs w:val="24"/>
          <w:lang w:val="bg-BG"/>
        </w:rPr>
        <w:t>инвестиции в подобряване пречистването на отпадъчни води</w:t>
      </w:r>
      <w:r>
        <w:rPr>
          <w:rFonts w:ascii="Times New Roman" w:eastAsia="Calibri" w:hAnsi="Times New Roman" w:cs="Times New Roman"/>
          <w:sz w:val="24"/>
          <w:szCs w:val="24"/>
          <w:lang w:val="bg-BG"/>
        </w:rPr>
        <w:t xml:space="preserve"> и</w:t>
      </w:r>
      <w:r w:rsidRPr="005E7A0E">
        <w:rPr>
          <w:rFonts w:ascii="Times New Roman" w:eastAsia="Calibri" w:hAnsi="Times New Roman" w:cs="Times New Roman"/>
          <w:sz w:val="24"/>
          <w:szCs w:val="24"/>
          <w:lang w:val="bg-BG"/>
        </w:rPr>
        <w:t xml:space="preserve"> повишаване качеството на питейните води</w:t>
      </w:r>
      <w:r>
        <w:rPr>
          <w:rFonts w:ascii="Times New Roman" w:eastAsia="Calibri" w:hAnsi="Times New Roman" w:cs="Times New Roman"/>
          <w:sz w:val="24"/>
          <w:szCs w:val="24"/>
          <w:lang w:val="bg-BG"/>
        </w:rPr>
        <w:t xml:space="preserve"> и увеличаване или подобряване на достъпа до вода</w:t>
      </w:r>
      <w:r w:rsidRPr="005E7A0E">
        <w:rPr>
          <w:rFonts w:ascii="Times New Roman" w:eastAsia="Calibri" w:hAnsi="Times New Roman" w:cs="Times New Roman"/>
          <w:sz w:val="24"/>
          <w:szCs w:val="24"/>
          <w:lang w:val="bg-BG"/>
        </w:rPr>
        <w:t>. Ще бъде увеличен принос</w:t>
      </w:r>
      <w:r>
        <w:rPr>
          <w:rFonts w:ascii="Times New Roman" w:eastAsia="Calibri" w:hAnsi="Times New Roman" w:cs="Times New Roman"/>
          <w:sz w:val="24"/>
          <w:szCs w:val="24"/>
          <w:lang w:val="bg-BG"/>
        </w:rPr>
        <w:t>ът</w:t>
      </w:r>
      <w:r w:rsidRPr="005E7A0E">
        <w:rPr>
          <w:rFonts w:ascii="Times New Roman" w:eastAsia="Calibri" w:hAnsi="Times New Roman" w:cs="Times New Roman"/>
          <w:sz w:val="24"/>
          <w:szCs w:val="24"/>
          <w:lang w:val="bg-BG"/>
        </w:rPr>
        <w:t xml:space="preserve"> към постигане на екологичните цели на Рамковата директива за водите (2000/60/ЕО), </w:t>
      </w:r>
      <w:r w:rsidRPr="000F146C">
        <w:rPr>
          <w:rFonts w:ascii="Times New Roman" w:eastAsia="Calibri" w:hAnsi="Times New Roman" w:cs="Times New Roman"/>
          <w:sz w:val="24"/>
          <w:szCs w:val="24"/>
          <w:lang w:val="bg-BG"/>
        </w:rPr>
        <w:t xml:space="preserve">ще бъдат опазени водните ресурси от замърсяване, вкл. с опазване на водите на Черно море, </w:t>
      </w:r>
      <w:r w:rsidRPr="005E7A0E">
        <w:rPr>
          <w:rFonts w:ascii="Times New Roman" w:eastAsia="Calibri" w:hAnsi="Times New Roman" w:cs="Times New Roman"/>
          <w:sz w:val="24"/>
          <w:szCs w:val="24"/>
          <w:lang w:val="bg-BG"/>
        </w:rPr>
        <w:t xml:space="preserve">което ще се яви допълнителен гарант за устойчива политика по управление на водите. </w:t>
      </w:r>
      <w:r>
        <w:rPr>
          <w:rFonts w:ascii="Times New Roman" w:eastAsia="Calibri" w:hAnsi="Times New Roman" w:cs="Times New Roman"/>
          <w:sz w:val="24"/>
          <w:szCs w:val="24"/>
          <w:lang w:val="bg-BG"/>
        </w:rPr>
        <w:t xml:space="preserve"> </w:t>
      </w:r>
    </w:p>
    <w:p w14:paraId="25BE6E22" w14:textId="7AA1C344" w:rsidR="0038498D" w:rsidRDefault="0038498D" w:rsidP="00E10208">
      <w:pPr>
        <w:spacing w:after="0" w:line="240" w:lineRule="auto"/>
        <w:ind w:firstLine="708"/>
        <w:jc w:val="both"/>
        <w:rPr>
          <w:rFonts w:ascii="Times New Roman" w:eastAsia="Calibri" w:hAnsi="Times New Roman" w:cs="Times New Roman"/>
          <w:b/>
          <w:bCs/>
          <w:sz w:val="24"/>
          <w:szCs w:val="24"/>
          <w:lang w:val="bg-BG"/>
        </w:rPr>
      </w:pPr>
      <w:r w:rsidRPr="0038498D">
        <w:rPr>
          <w:rFonts w:ascii="Times New Roman" w:eastAsia="Calibri" w:hAnsi="Times New Roman" w:cs="Times New Roman"/>
          <w:sz w:val="24"/>
          <w:szCs w:val="24"/>
          <w:lang w:val="bg-BG"/>
        </w:rPr>
        <w:t xml:space="preserve">Инвестициите в подобряване пречистването на отпадъчни води осигуряват безопасното им връщане във водния цикъл и намаляват риска от замърсяване при екстремни метеорологични явления в контекста на климатичните промени. Осигуряването на допълнителна подкрепа за постигане на съответствие с изискванията чрез изграждане на ВиК инфраструктура е инвестиция в сигурността на водната система. Градските отпадъчни води са един от основните източници на замърсяване на водните тела. Съгласно преамбюла на Регламент (ЕС) 2020/741 на Европейския парламент и на Съвета от 25 май 2020 година относно </w:t>
      </w:r>
      <w:r w:rsidRPr="0038498D">
        <w:rPr>
          <w:rFonts w:ascii="Times New Roman" w:eastAsia="Calibri" w:hAnsi="Times New Roman" w:cs="Times New Roman"/>
          <w:sz w:val="24"/>
          <w:szCs w:val="24"/>
          <w:lang w:val="bg-BG"/>
        </w:rPr>
        <w:lastRenderedPageBreak/>
        <w:t>минималните изисквания за повторното използване на водата, способността на ЕС да реагира на нарастващия натиск върху водните ресурси би могла да се подобри чрез по-широко повторно използване на пречистени отпадъчни води, чрез ограничаване на водочерпенето от повърхностните водни обекти и подземните водни обекти, намаляване на въздействието от заустването на пречистени отпадъчни води във водните обекти и насърчаване на икономиите на вода чрез многократното използване на градските отпадъчни води, като същевременно се гарантира високо равнище на опазване на околната среда. Инвестициите в съоръжения за пречистване на питейни води пък гарантират съответствието с преработената Директива (ЕС) 2020/2184 и възможност за справяне със силно устойчивите замърсители, което от своя страна осигурява качествения аспект на сигурния достъп до вода в светлината на Европейската стратегията за устойчивост на водните ресурси.</w:t>
      </w:r>
    </w:p>
    <w:p w14:paraId="14803988" w14:textId="1D0E29B1" w:rsidR="00BD0B52" w:rsidRPr="005E7A0E" w:rsidRDefault="00BD0B52" w:rsidP="00BD0B52">
      <w:pPr>
        <w:pStyle w:val="ListParagraph"/>
        <w:numPr>
          <w:ilvl w:val="0"/>
          <w:numId w:val="15"/>
        </w:numPr>
        <w:spacing w:before="240" w:after="100" w:afterAutospacing="1" w:line="245" w:lineRule="auto"/>
        <w:jc w:val="both"/>
        <w:rPr>
          <w:rFonts w:ascii="Times New Roman" w:eastAsia="Calibri" w:hAnsi="Times New Roman" w:cs="Times New Roman"/>
          <w:b/>
          <w:bCs/>
          <w:sz w:val="24"/>
          <w:szCs w:val="24"/>
          <w:lang w:val="bg-BG"/>
        </w:rPr>
      </w:pPr>
      <w:r w:rsidRPr="005E7A0E">
        <w:rPr>
          <w:rFonts w:ascii="Times New Roman" w:eastAsia="Calibri" w:hAnsi="Times New Roman" w:cs="Times New Roman"/>
          <w:b/>
          <w:bCs/>
          <w:sz w:val="24"/>
          <w:szCs w:val="24"/>
          <w:lang w:val="bg-BG"/>
        </w:rPr>
        <w:t>Законодателни промени като основание за разработване на Допълнителна оценка на резултатите на изпълнението на програма „Околна среда” 2021–2027 г. за целите на междинния преглед</w:t>
      </w:r>
      <w:r w:rsidR="0035388C" w:rsidRPr="00895ED8">
        <w:rPr>
          <w:rFonts w:ascii="Times New Roman" w:eastAsia="Calibri" w:hAnsi="Times New Roman" w:cs="Times New Roman"/>
          <w:b/>
          <w:bCs/>
          <w:sz w:val="24"/>
          <w:szCs w:val="24"/>
          <w:lang w:val="bg-BG"/>
        </w:rPr>
        <w:t>.</w:t>
      </w:r>
      <w:r w:rsidRPr="005E7A0E">
        <w:rPr>
          <w:rFonts w:ascii="Times New Roman" w:eastAsia="Calibri" w:hAnsi="Times New Roman" w:cs="Times New Roman"/>
          <w:b/>
          <w:bCs/>
          <w:sz w:val="24"/>
          <w:szCs w:val="24"/>
          <w:lang w:val="bg-BG"/>
        </w:rPr>
        <w:t xml:space="preserve"> </w:t>
      </w:r>
    </w:p>
    <w:p w14:paraId="35FB50E1" w14:textId="4E3B4DA0" w:rsidR="00D36D8C" w:rsidRPr="005E7A0E" w:rsidRDefault="00D36D8C" w:rsidP="006041C9">
      <w:pPr>
        <w:spacing w:after="0" w:line="240" w:lineRule="auto"/>
        <w:ind w:firstLine="708"/>
        <w:jc w:val="both"/>
        <w:rPr>
          <w:rFonts w:ascii="Times New Roman" w:eastAsia="Calibri" w:hAnsi="Times New Roman" w:cs="Times New Roman"/>
          <w:sz w:val="24"/>
          <w:szCs w:val="24"/>
          <w:lang w:val="bg-BG"/>
        </w:rPr>
      </w:pPr>
      <w:r w:rsidRPr="005E7A0E">
        <w:rPr>
          <w:rFonts w:ascii="Times New Roman" w:eastAsia="Calibri" w:hAnsi="Times New Roman" w:cs="Times New Roman"/>
          <w:sz w:val="24"/>
          <w:szCs w:val="24"/>
          <w:lang w:val="bg-BG"/>
        </w:rPr>
        <w:t xml:space="preserve">Съгласно изискванията на чл. 18 от Регламент (ЕС) 2021/1060, Управляващият орган на Програма „Околна среда“ 2021-2027 г. (УО на ПОС) извърши Междинен преглед на изпълнението на Програма „Околна среда” 2021–2027 г. На основание чл. 18, параграф 5 </w:t>
      </w:r>
      <w:r w:rsidR="00486D0F">
        <w:rPr>
          <w:rFonts w:ascii="Times New Roman" w:eastAsia="Calibri" w:hAnsi="Times New Roman" w:cs="Times New Roman"/>
          <w:sz w:val="24"/>
          <w:szCs w:val="24"/>
          <w:lang w:val="bg-BG"/>
        </w:rPr>
        <w:t xml:space="preserve">и чл. 24 </w:t>
      </w:r>
      <w:r w:rsidRPr="005E7A0E">
        <w:rPr>
          <w:rFonts w:ascii="Times New Roman" w:eastAsia="Calibri" w:hAnsi="Times New Roman" w:cs="Times New Roman"/>
          <w:sz w:val="24"/>
          <w:szCs w:val="24"/>
          <w:lang w:val="bg-BG"/>
        </w:rPr>
        <w:t>от Регламент (ЕС) 2021/1060</w:t>
      </w:r>
      <w:r w:rsidR="00154751">
        <w:rPr>
          <w:rFonts w:ascii="Times New Roman" w:eastAsia="Calibri" w:hAnsi="Times New Roman" w:cs="Times New Roman"/>
          <w:sz w:val="24"/>
          <w:szCs w:val="24"/>
          <w:lang w:val="bg-BG"/>
        </w:rPr>
        <w:t>,</w:t>
      </w:r>
      <w:r w:rsidRPr="005E7A0E">
        <w:rPr>
          <w:rFonts w:ascii="Times New Roman" w:eastAsia="Calibri" w:hAnsi="Times New Roman" w:cs="Times New Roman"/>
          <w:sz w:val="24"/>
          <w:szCs w:val="24"/>
          <w:lang w:val="bg-BG"/>
        </w:rPr>
        <w:t xml:space="preserve"> с Решение за изпълнение C(2025) 3638 от 4.6.2025 г. Европейската комисия одобри направеното предложение за изменение на програмата и за окончателно разпределяне на сумата за гъвкавост за ПОС 2021-2027 г., посочена в член 86, параграф 1, </w:t>
      </w:r>
      <w:r w:rsidR="00486D0F">
        <w:rPr>
          <w:rFonts w:ascii="Times New Roman" w:eastAsia="Calibri" w:hAnsi="Times New Roman" w:cs="Times New Roman"/>
          <w:sz w:val="24"/>
          <w:szCs w:val="24"/>
          <w:lang w:val="bg-BG"/>
        </w:rPr>
        <w:t>параграф втори</w:t>
      </w:r>
      <w:r w:rsidRPr="005E7A0E">
        <w:rPr>
          <w:rFonts w:ascii="Times New Roman" w:eastAsia="Calibri" w:hAnsi="Times New Roman" w:cs="Times New Roman"/>
          <w:sz w:val="24"/>
          <w:szCs w:val="24"/>
          <w:lang w:val="bg-BG"/>
        </w:rPr>
        <w:t xml:space="preserve"> от Регламент (ЕС) 2021/1060. </w:t>
      </w:r>
    </w:p>
    <w:p w14:paraId="055AA9D3" w14:textId="77777777" w:rsidR="00D36D8C" w:rsidRPr="005E7A0E" w:rsidRDefault="00D36D8C" w:rsidP="006041C9">
      <w:pPr>
        <w:spacing w:after="0" w:line="240" w:lineRule="auto"/>
        <w:jc w:val="both"/>
        <w:rPr>
          <w:rFonts w:ascii="Times New Roman" w:eastAsia="Calibri" w:hAnsi="Times New Roman" w:cs="Times New Roman"/>
          <w:sz w:val="24"/>
          <w:szCs w:val="24"/>
          <w:lang w:val="bg-BG"/>
        </w:rPr>
      </w:pPr>
      <w:r w:rsidRPr="005E7A0E">
        <w:rPr>
          <w:rFonts w:ascii="Times New Roman" w:eastAsia="Calibri" w:hAnsi="Times New Roman" w:cs="Times New Roman"/>
          <w:sz w:val="24"/>
          <w:szCs w:val="24"/>
          <w:lang w:val="bg-BG"/>
        </w:rPr>
        <w:tab/>
        <w:t xml:space="preserve">В отговор на новите предизвикателства, породени от динамичните промени в глобалната среда, ЕК измени действащото законодателство в областта на кохезионната политика с цел преструктуриране на някои от стратегическите политически приоритети на Съюза, като предостави повече структурни възможности, които да позволят на държавите членки да се справят с тези оказващи натиск стратегически геополитически предизвикателства и да пренасочат ресурсите си към нововъзникващи приоритети. </w:t>
      </w:r>
    </w:p>
    <w:p w14:paraId="0231AE37" w14:textId="5933CB5F" w:rsidR="00D36D8C" w:rsidRPr="005E7A0E" w:rsidRDefault="00D36D8C" w:rsidP="00381634">
      <w:pPr>
        <w:spacing w:after="0" w:line="240" w:lineRule="auto"/>
        <w:jc w:val="both"/>
        <w:rPr>
          <w:rFonts w:ascii="Times New Roman" w:hAnsi="Times New Roman" w:cs="Times New Roman"/>
          <w:sz w:val="24"/>
          <w:szCs w:val="24"/>
          <w:lang w:val="bg-BG"/>
        </w:rPr>
      </w:pPr>
      <w:r w:rsidRPr="005E7A0E">
        <w:rPr>
          <w:rFonts w:ascii="Times New Roman" w:hAnsi="Times New Roman" w:cs="Times New Roman"/>
          <w:sz w:val="24"/>
          <w:szCs w:val="24"/>
          <w:lang w:val="bg-BG"/>
        </w:rPr>
        <w:tab/>
        <w:t xml:space="preserve">С приемането на </w:t>
      </w:r>
      <w:bookmarkStart w:id="1" w:name="_Hlk216354175"/>
      <w:r w:rsidRPr="005E7A0E">
        <w:rPr>
          <w:rFonts w:ascii="Times New Roman" w:hAnsi="Times New Roman" w:cs="Times New Roman"/>
          <w:i/>
          <w:iCs/>
          <w:sz w:val="24"/>
          <w:szCs w:val="24"/>
          <w:lang w:val="bg-BG"/>
        </w:rPr>
        <w:t>Регламент (ЕС) 2025/1914 на Европейския парламент и на Съвета от 18 септември 2025 г. за изменение на Регламенти (ЕС) 2021/1058 и (ЕС) 2021/1056 по отношение на специални мерки за справяне със стратегически предизвикателства в контекста на междинния преглед</w:t>
      </w:r>
      <w:bookmarkEnd w:id="1"/>
      <w:r w:rsidRPr="005E7A0E">
        <w:rPr>
          <w:rFonts w:ascii="Times New Roman" w:hAnsi="Times New Roman" w:cs="Times New Roman"/>
          <w:i/>
          <w:iCs/>
          <w:sz w:val="24"/>
          <w:szCs w:val="24"/>
          <w:lang w:val="bg-BG"/>
        </w:rPr>
        <w:t xml:space="preserve"> </w:t>
      </w:r>
      <w:r w:rsidRPr="005E7A0E">
        <w:rPr>
          <w:rFonts w:ascii="Times New Roman" w:hAnsi="Times New Roman" w:cs="Times New Roman"/>
          <w:sz w:val="24"/>
          <w:szCs w:val="24"/>
          <w:lang w:val="bg-BG"/>
        </w:rPr>
        <w:t>(Регламент (ЕС) 2025/1914) се насърчава препрограмирането в посока засилване на фокуса върху новите стратегически приоритети на ЕС, свързани с конкурентоспособност и декарбонизация; отбрана и сигурност; модернизиране на транспортните мрежи; енергийна сигурност; достъпни (вкл. социални) жилища; устойчивост на водните ресурси; енергиен преход; целенасочена подкрепа за граничните източни региони на ЕС. В тази връзка, в Регламент (ЕС) 2021/1058 са предложени нови специфични цели в обхвата на подкрепа от Европейския фонд за регионално развитие/Кохезионния фонд</w:t>
      </w:r>
      <w:r w:rsidR="00037E19" w:rsidRPr="005E7A0E">
        <w:rPr>
          <w:rFonts w:ascii="Times New Roman" w:hAnsi="Times New Roman" w:cs="Times New Roman"/>
          <w:sz w:val="24"/>
          <w:szCs w:val="24"/>
          <w:lang w:val="bg-BG"/>
        </w:rPr>
        <w:t xml:space="preserve"> (ЕФРР/КФ)</w:t>
      </w:r>
      <w:r w:rsidRPr="005E7A0E">
        <w:rPr>
          <w:rFonts w:ascii="Times New Roman" w:hAnsi="Times New Roman" w:cs="Times New Roman"/>
          <w:sz w:val="24"/>
          <w:szCs w:val="24"/>
          <w:lang w:val="bg-BG"/>
        </w:rPr>
        <w:t xml:space="preserve">. Една от новите специфични цели е насочена към устойчивостта на водните ресурси, сигурния достъп до вода, устойчиво управление на водите, включително интегрирано управление на водите. </w:t>
      </w:r>
      <w:r w:rsidR="006C5FDB" w:rsidRPr="005E7A0E">
        <w:rPr>
          <w:rFonts w:ascii="Times New Roman" w:hAnsi="Times New Roman" w:cs="Times New Roman"/>
          <w:sz w:val="24"/>
          <w:szCs w:val="24"/>
          <w:lang w:val="bg-BG"/>
        </w:rPr>
        <w:t>Също така, за да се даде възможност за цялостно препрограмиране към новите стратегически приоритети в контекста на междинния преглед, държавите членки следва да допълнят своята оценка на резултата от междинния преглед и свързаните изменения в програмата.</w:t>
      </w:r>
    </w:p>
    <w:p w14:paraId="46F52E0D" w14:textId="32708D8C" w:rsidR="00D36D8C" w:rsidRPr="005E7A0E" w:rsidRDefault="00D36D8C" w:rsidP="00381634">
      <w:pPr>
        <w:spacing w:after="0" w:line="240" w:lineRule="auto"/>
        <w:jc w:val="both"/>
        <w:rPr>
          <w:rFonts w:ascii="Times New Roman" w:hAnsi="Times New Roman" w:cs="Times New Roman"/>
          <w:sz w:val="24"/>
          <w:szCs w:val="24"/>
          <w:lang w:val="bg-BG"/>
        </w:rPr>
      </w:pPr>
      <w:r w:rsidRPr="005E7A0E">
        <w:rPr>
          <w:rFonts w:ascii="Times New Roman" w:hAnsi="Times New Roman" w:cs="Times New Roman"/>
          <w:sz w:val="24"/>
          <w:szCs w:val="24"/>
          <w:lang w:val="bg-BG"/>
        </w:rPr>
        <w:lastRenderedPageBreak/>
        <w:tab/>
        <w:t>С изменението на регламентите</w:t>
      </w:r>
      <w:r w:rsidR="00602C6B">
        <w:rPr>
          <w:rFonts w:ascii="Times New Roman" w:hAnsi="Times New Roman" w:cs="Times New Roman"/>
          <w:sz w:val="24"/>
          <w:szCs w:val="24"/>
          <w:lang w:val="bg-BG"/>
        </w:rPr>
        <w:t>,</w:t>
      </w:r>
      <w:r w:rsidRPr="005E7A0E">
        <w:rPr>
          <w:rFonts w:ascii="Times New Roman" w:hAnsi="Times New Roman" w:cs="Times New Roman"/>
          <w:sz w:val="24"/>
          <w:szCs w:val="24"/>
          <w:lang w:val="bg-BG"/>
        </w:rPr>
        <w:t xml:space="preserve"> Комисията предоставя допълнителни възможности под формата на финансови стимули, от които държавите-членки могат да се възползват, при изпълнение на следните условия: </w:t>
      </w:r>
    </w:p>
    <w:p w14:paraId="46F479CC" w14:textId="77777777" w:rsidR="00D36D8C" w:rsidRPr="005E7A0E" w:rsidRDefault="00D36D8C" w:rsidP="00381634">
      <w:pPr>
        <w:pStyle w:val="ListParagraph"/>
        <w:numPr>
          <w:ilvl w:val="0"/>
          <w:numId w:val="24"/>
        </w:numPr>
        <w:spacing w:after="0" w:line="240" w:lineRule="auto"/>
        <w:jc w:val="both"/>
        <w:rPr>
          <w:rFonts w:ascii="Times New Roman" w:hAnsi="Times New Roman"/>
          <w:sz w:val="24"/>
          <w:szCs w:val="24"/>
          <w:lang w:val="bg-BG"/>
        </w:rPr>
      </w:pPr>
      <w:r w:rsidRPr="005E7A0E">
        <w:rPr>
          <w:rFonts w:ascii="Times New Roman" w:hAnsi="Times New Roman"/>
          <w:sz w:val="24"/>
          <w:szCs w:val="24"/>
          <w:lang w:val="bg-BG"/>
        </w:rPr>
        <w:t>алокиране на ресурс в размер на минимум 10% от бюджета на програмите към специален приоритет, установен за новите специфични цели;</w:t>
      </w:r>
    </w:p>
    <w:p w14:paraId="2BF1661F" w14:textId="16A339EA" w:rsidR="00D36D8C" w:rsidRPr="005E7A0E" w:rsidRDefault="00D36D8C" w:rsidP="00381634">
      <w:pPr>
        <w:pStyle w:val="ListParagraph"/>
        <w:numPr>
          <w:ilvl w:val="0"/>
          <w:numId w:val="24"/>
        </w:numPr>
        <w:spacing w:after="0" w:line="240" w:lineRule="auto"/>
        <w:jc w:val="both"/>
        <w:rPr>
          <w:rFonts w:ascii="Times New Roman" w:hAnsi="Times New Roman"/>
          <w:sz w:val="24"/>
          <w:szCs w:val="24"/>
          <w:lang w:val="bg-BG"/>
        </w:rPr>
      </w:pPr>
      <w:r w:rsidRPr="005E7A0E">
        <w:rPr>
          <w:rFonts w:ascii="Times New Roman" w:hAnsi="Times New Roman"/>
          <w:sz w:val="24"/>
          <w:szCs w:val="24"/>
          <w:lang w:val="bg-BG"/>
        </w:rPr>
        <w:t>представяне на проект на изменение на програмите за преразпределяне на най-малко 10% от финансовите ресурси по програмите към специал</w:t>
      </w:r>
      <w:r w:rsidR="004A3603" w:rsidRPr="005E7A0E">
        <w:rPr>
          <w:rFonts w:ascii="Times New Roman" w:hAnsi="Times New Roman"/>
          <w:sz w:val="24"/>
          <w:szCs w:val="24"/>
          <w:lang w:val="bg-BG"/>
        </w:rPr>
        <w:t>е</w:t>
      </w:r>
      <w:r w:rsidRPr="005E7A0E">
        <w:rPr>
          <w:rFonts w:ascii="Times New Roman" w:hAnsi="Times New Roman"/>
          <w:sz w:val="24"/>
          <w:szCs w:val="24"/>
          <w:lang w:val="bg-BG"/>
        </w:rPr>
        <w:t>н</w:t>
      </w:r>
      <w:r w:rsidR="004A3603" w:rsidRPr="005E7A0E">
        <w:rPr>
          <w:rFonts w:ascii="Times New Roman" w:hAnsi="Times New Roman"/>
          <w:sz w:val="24"/>
          <w:szCs w:val="24"/>
          <w:lang w:val="bg-BG"/>
        </w:rPr>
        <w:t xml:space="preserve"> </w:t>
      </w:r>
      <w:r w:rsidRPr="005E7A0E">
        <w:rPr>
          <w:rFonts w:ascii="Times New Roman" w:hAnsi="Times New Roman"/>
          <w:sz w:val="24"/>
          <w:szCs w:val="24"/>
          <w:lang w:val="bg-BG"/>
        </w:rPr>
        <w:t>приоритет в срок до 31.12.2025 г.</w:t>
      </w:r>
    </w:p>
    <w:p w14:paraId="66E77306" w14:textId="770304F7" w:rsidR="00D36D8C" w:rsidRPr="005E7A0E" w:rsidRDefault="00D36D8C" w:rsidP="00E10208">
      <w:pPr>
        <w:spacing w:after="0" w:line="240" w:lineRule="auto"/>
        <w:ind w:firstLine="708"/>
        <w:jc w:val="both"/>
        <w:rPr>
          <w:rFonts w:ascii="Times New Roman" w:hAnsi="Times New Roman"/>
          <w:sz w:val="24"/>
          <w:szCs w:val="24"/>
          <w:lang w:val="bg-BG"/>
        </w:rPr>
      </w:pPr>
      <w:r w:rsidRPr="005E7A0E">
        <w:rPr>
          <w:rFonts w:ascii="Times New Roman" w:hAnsi="Times New Roman"/>
          <w:sz w:val="24"/>
          <w:szCs w:val="24"/>
          <w:lang w:val="bg-BG"/>
        </w:rPr>
        <w:t>При изпълнение на тези условия държавите-членки могат да се възползват от следните възможности:</w:t>
      </w:r>
    </w:p>
    <w:p w14:paraId="58349D1F" w14:textId="77777777" w:rsidR="00D36D8C" w:rsidRPr="005E7A0E" w:rsidRDefault="00D36D8C" w:rsidP="00E10208">
      <w:pPr>
        <w:pStyle w:val="ListParagraph"/>
        <w:numPr>
          <w:ilvl w:val="0"/>
          <w:numId w:val="25"/>
        </w:numPr>
        <w:spacing w:after="0" w:line="240" w:lineRule="auto"/>
        <w:jc w:val="both"/>
        <w:rPr>
          <w:rFonts w:ascii="Times New Roman" w:hAnsi="Times New Roman"/>
          <w:sz w:val="24"/>
          <w:szCs w:val="24"/>
          <w:lang w:val="bg-BG"/>
        </w:rPr>
      </w:pPr>
      <w:r w:rsidRPr="005E7A0E">
        <w:rPr>
          <w:rFonts w:ascii="Times New Roman" w:hAnsi="Times New Roman"/>
          <w:sz w:val="24"/>
          <w:szCs w:val="24"/>
          <w:lang w:val="bg-BG"/>
        </w:rPr>
        <w:t xml:space="preserve">удължаване на крайния срок за допустимост на разходите и за отмяна на бюджетни задължения до 31.12.2030 г. при одобрено изменение на програмата за преразпределяне на най-малко 10% от финансовите ресурси към един или повече специални приоритети; </w:t>
      </w:r>
    </w:p>
    <w:p w14:paraId="472C69B8" w14:textId="174E78BE" w:rsidR="00FF56BA" w:rsidRDefault="00D36D8C" w:rsidP="00E10208">
      <w:pPr>
        <w:pStyle w:val="ListParagraph"/>
        <w:numPr>
          <w:ilvl w:val="0"/>
          <w:numId w:val="25"/>
        </w:numPr>
        <w:spacing w:after="0" w:line="240" w:lineRule="auto"/>
        <w:jc w:val="both"/>
        <w:rPr>
          <w:rFonts w:ascii="Times New Roman" w:hAnsi="Times New Roman"/>
          <w:sz w:val="24"/>
          <w:szCs w:val="24"/>
          <w:lang w:val="bg-BG"/>
        </w:rPr>
      </w:pPr>
      <w:r w:rsidRPr="005E7A0E">
        <w:rPr>
          <w:rFonts w:ascii="Times New Roman" w:hAnsi="Times New Roman"/>
          <w:sz w:val="24"/>
          <w:szCs w:val="24"/>
          <w:lang w:val="bg-BG"/>
        </w:rPr>
        <w:t>при представяне на предложение за изменение на програмата до 31.12.2025 г., изплащане от страна на ЕК на 20% от разпределените средства за тези специални приоритети, като извънредно еднократно предварително финансиране в допълнение към годишното предварително финансиране за програмата, предвидено в чл. 90, пар. 1 и 2 от Регламент 2021/1060 и в чл. 51, пар. 2, 3 и 4 от Регламент 2021/1059. Извънредното еднократно предварително финансиране се изплаща в срок от 60 дни приемането на решението на ЕК за одобрение на изменението на програмата;</w:t>
      </w:r>
    </w:p>
    <w:p w14:paraId="6A4D4F66" w14:textId="1F2E1D72" w:rsidR="006C5FDB" w:rsidRPr="00FF56BA" w:rsidRDefault="00D36D8C" w:rsidP="00E10208">
      <w:pPr>
        <w:pStyle w:val="ListParagraph"/>
        <w:numPr>
          <w:ilvl w:val="0"/>
          <w:numId w:val="25"/>
        </w:numPr>
        <w:spacing w:after="0" w:line="240" w:lineRule="auto"/>
        <w:jc w:val="both"/>
        <w:rPr>
          <w:rFonts w:ascii="Times New Roman" w:hAnsi="Times New Roman"/>
          <w:sz w:val="24"/>
          <w:szCs w:val="24"/>
          <w:lang w:val="bg-BG"/>
        </w:rPr>
      </w:pPr>
      <w:r w:rsidRPr="00FF56BA">
        <w:rPr>
          <w:rFonts w:ascii="Times New Roman" w:hAnsi="Times New Roman"/>
          <w:sz w:val="24"/>
          <w:szCs w:val="24"/>
          <w:lang w:val="bg-BG"/>
        </w:rPr>
        <w:t>през 2026 г. изплащане на 1,5% от ресурса по линия на ЕФРР и КФ като допълнително еднократно предварително финансиране</w:t>
      </w:r>
      <w:r w:rsidR="00711F1F" w:rsidRPr="00895ED8">
        <w:rPr>
          <w:rFonts w:ascii="Times New Roman" w:hAnsi="Times New Roman"/>
          <w:sz w:val="24"/>
          <w:szCs w:val="24"/>
          <w:lang w:val="bg-BG"/>
        </w:rPr>
        <w:t>.</w:t>
      </w:r>
      <w:r w:rsidRPr="00FF56BA">
        <w:rPr>
          <w:rFonts w:ascii="Times New Roman" w:eastAsia="Calibri" w:hAnsi="Times New Roman" w:cs="Times New Roman"/>
          <w:sz w:val="24"/>
          <w:szCs w:val="24"/>
          <w:lang w:val="bg-BG"/>
        </w:rPr>
        <w:tab/>
      </w:r>
    </w:p>
    <w:p w14:paraId="1D8990A5" w14:textId="3FECAC4A" w:rsidR="00BD0B52" w:rsidRPr="005E7A0E" w:rsidRDefault="00BD0B52" w:rsidP="00E10208">
      <w:pPr>
        <w:spacing w:after="0" w:line="240" w:lineRule="auto"/>
        <w:jc w:val="both"/>
        <w:rPr>
          <w:rFonts w:ascii="Times New Roman" w:hAnsi="Times New Roman"/>
          <w:b/>
          <w:bCs/>
          <w:sz w:val="24"/>
          <w:szCs w:val="24"/>
          <w:lang w:val="bg-BG"/>
        </w:rPr>
      </w:pPr>
    </w:p>
    <w:p w14:paraId="78DAC047" w14:textId="6E42905E" w:rsidR="00BD0B52" w:rsidRPr="005E7A0E" w:rsidRDefault="006C5FDB" w:rsidP="00BD0B52">
      <w:pPr>
        <w:pStyle w:val="ListParagraph"/>
        <w:numPr>
          <w:ilvl w:val="0"/>
          <w:numId w:val="15"/>
        </w:numPr>
        <w:spacing w:before="240" w:after="100" w:afterAutospacing="1" w:line="245" w:lineRule="auto"/>
        <w:jc w:val="both"/>
        <w:rPr>
          <w:rFonts w:ascii="Times New Roman" w:eastAsia="Calibri" w:hAnsi="Times New Roman" w:cs="Times New Roman"/>
          <w:b/>
          <w:bCs/>
          <w:sz w:val="24"/>
          <w:szCs w:val="24"/>
          <w:lang w:val="bg-BG"/>
        </w:rPr>
      </w:pPr>
      <w:r w:rsidRPr="005E7A0E">
        <w:rPr>
          <w:rFonts w:ascii="Times New Roman" w:eastAsia="Calibri" w:hAnsi="Times New Roman" w:cs="Times New Roman"/>
          <w:b/>
          <w:bCs/>
          <w:sz w:val="24"/>
          <w:szCs w:val="24"/>
          <w:lang w:val="bg-BG"/>
        </w:rPr>
        <w:t xml:space="preserve">Анализ на финансовото изпълнение на ПОС </w:t>
      </w:r>
      <w:r w:rsidR="00BD0B52" w:rsidRPr="005E7A0E">
        <w:rPr>
          <w:rFonts w:ascii="Times New Roman" w:eastAsia="Calibri" w:hAnsi="Times New Roman" w:cs="Times New Roman"/>
          <w:b/>
          <w:bCs/>
          <w:sz w:val="24"/>
          <w:szCs w:val="24"/>
          <w:lang w:val="bg-BG"/>
        </w:rPr>
        <w:t xml:space="preserve">2021-2027 г. </w:t>
      </w:r>
      <w:r w:rsidR="00C436A4" w:rsidRPr="005E7A0E">
        <w:rPr>
          <w:rFonts w:ascii="Times New Roman" w:eastAsia="Calibri" w:hAnsi="Times New Roman" w:cs="Times New Roman"/>
          <w:b/>
          <w:bCs/>
          <w:sz w:val="24"/>
          <w:szCs w:val="24"/>
          <w:lang w:val="bg-BG"/>
        </w:rPr>
        <w:t xml:space="preserve">към м. ноември 2025 г. </w:t>
      </w:r>
      <w:r w:rsidRPr="005E7A0E">
        <w:rPr>
          <w:rFonts w:ascii="Times New Roman" w:eastAsia="Calibri" w:hAnsi="Times New Roman" w:cs="Times New Roman"/>
          <w:b/>
          <w:bCs/>
          <w:sz w:val="24"/>
          <w:szCs w:val="24"/>
          <w:lang w:val="bg-BG"/>
        </w:rPr>
        <w:t xml:space="preserve">във връзка със създаването на </w:t>
      </w:r>
      <w:r w:rsidR="00BD0B52" w:rsidRPr="005E7A0E">
        <w:rPr>
          <w:rFonts w:ascii="Times New Roman" w:eastAsia="Calibri" w:hAnsi="Times New Roman" w:cs="Times New Roman"/>
          <w:b/>
          <w:bCs/>
          <w:sz w:val="24"/>
          <w:szCs w:val="24"/>
          <w:lang w:val="bg-BG"/>
        </w:rPr>
        <w:t>нов специален приоритет 7</w:t>
      </w:r>
      <w:r w:rsidR="008C091B" w:rsidRPr="005E7A0E">
        <w:rPr>
          <w:rFonts w:ascii="Times New Roman" w:eastAsia="Calibri" w:hAnsi="Times New Roman" w:cs="Times New Roman"/>
          <w:b/>
          <w:bCs/>
          <w:sz w:val="24"/>
          <w:szCs w:val="24"/>
          <w:lang w:val="bg-BG"/>
        </w:rPr>
        <w:t xml:space="preserve"> </w:t>
      </w:r>
      <w:r w:rsidR="00BD0B52" w:rsidRPr="005E7A0E">
        <w:rPr>
          <w:rFonts w:ascii="Times New Roman" w:eastAsia="Calibri" w:hAnsi="Times New Roman" w:cs="Times New Roman"/>
          <w:b/>
          <w:bCs/>
          <w:sz w:val="24"/>
          <w:szCs w:val="24"/>
          <w:lang w:val="bg-BG"/>
        </w:rPr>
        <w:t>„Устойчивост на водите“</w:t>
      </w:r>
      <w:r w:rsidRPr="005E7A0E">
        <w:rPr>
          <w:rFonts w:ascii="Times New Roman" w:eastAsia="Calibri" w:hAnsi="Times New Roman" w:cs="Times New Roman"/>
          <w:b/>
          <w:bCs/>
          <w:sz w:val="24"/>
          <w:szCs w:val="24"/>
          <w:lang w:val="bg-BG"/>
        </w:rPr>
        <w:t>.</w:t>
      </w:r>
    </w:p>
    <w:p w14:paraId="14122404" w14:textId="7FC65E5A" w:rsidR="003978D6" w:rsidRDefault="003978D6" w:rsidP="003978D6">
      <w:pPr>
        <w:spacing w:after="0" w:line="240" w:lineRule="auto"/>
        <w:ind w:firstLine="720"/>
        <w:jc w:val="both"/>
        <w:rPr>
          <w:rFonts w:ascii="Times New Roman" w:hAnsi="Times New Roman" w:cs="Times New Roman"/>
          <w:kern w:val="2"/>
          <w:sz w:val="24"/>
          <w:szCs w:val="24"/>
          <w:lang w:val="bg-BG"/>
          <w14:ligatures w14:val="standardContextual"/>
        </w:rPr>
      </w:pPr>
      <w:r w:rsidRPr="00557BA9">
        <w:rPr>
          <w:rFonts w:ascii="Times New Roman" w:hAnsi="Times New Roman" w:cs="Times New Roman"/>
          <w:kern w:val="2"/>
          <w:sz w:val="24"/>
          <w:szCs w:val="24"/>
          <w:lang w:val="bg-BG"/>
          <w14:ligatures w14:val="standardContextual"/>
        </w:rPr>
        <w:t xml:space="preserve">Предложеният нов специален приоритет 7 „Устойчивост на водите“ е с общ бюджет от 430 млн. лв. от ЕФРР/КФ и национално съфинансиране, равняващи се на 186,08 млн. евро принос от ЕФРР и КФ, възлизащи на 12,15% от бюджета на ПОС 2021-2027 г. Сумата от 430 млн. лв. се формира от 352 млн. лв. за 7 бр. проекти на ВиК оператори за инвестиции в агломерациите между 5 000 и 10 000 екв. ж. (прехвърлени от НПВУ в ПОС </w:t>
      </w:r>
      <w:r w:rsidR="00500B63">
        <w:rPr>
          <w:rFonts w:ascii="Times New Roman" w:hAnsi="Times New Roman" w:cs="Times New Roman"/>
          <w:kern w:val="2"/>
          <w:sz w:val="24"/>
          <w:szCs w:val="24"/>
          <w:lang w:val="bg-BG"/>
          <w14:ligatures w14:val="standardContextual"/>
        </w:rPr>
        <w:t xml:space="preserve">2021-2027 г. </w:t>
      </w:r>
      <w:r w:rsidRPr="00557BA9">
        <w:rPr>
          <w:rFonts w:ascii="Times New Roman" w:hAnsi="Times New Roman" w:cs="Times New Roman"/>
          <w:kern w:val="2"/>
          <w:sz w:val="24"/>
          <w:szCs w:val="24"/>
          <w:lang w:val="bg-BG"/>
          <w14:ligatures w14:val="standardContextual"/>
        </w:rPr>
        <w:t xml:space="preserve">на по-ранен етап), около 57 млн. лв. за допълнителни инвестиции за постигане на съответствие с Директива 91/271/ЕИО и адресиране на значителния антропогенен натиск в Черно море в района на к.к. Елените - Свети Влас и приблизително 21 млн. лв. за инвестиции в проектиране на ВиК инфраструктура в агломерации между 5 000 и 10 000 екв. ж. Прехвърлянето на 7-те проекта на ВиК операторите от приоритет 1 „Води“ в новия специален приоритет 7 „Устойчивост на водите“ реално не изисква допълнителен финансов ресурс. Финансирането за въпросните проекти бе осигурено с последното изменение на програмата, одобрено от Комитета за наблюдение на ПОС 2021-2027 г. </w:t>
      </w:r>
      <w:r w:rsidRPr="00372B66">
        <w:rPr>
          <w:rFonts w:ascii="Times New Roman" w:hAnsi="Times New Roman" w:cs="Times New Roman"/>
          <w:kern w:val="2"/>
          <w:sz w:val="24"/>
          <w:szCs w:val="24"/>
          <w:lang w:val="bg-BG"/>
          <w14:ligatures w14:val="standardContextual"/>
        </w:rPr>
        <w:t xml:space="preserve">на </w:t>
      </w:r>
      <w:r w:rsidR="00372B66" w:rsidRPr="00372B66">
        <w:rPr>
          <w:rFonts w:ascii="Times New Roman" w:hAnsi="Times New Roman" w:cs="Times New Roman"/>
          <w:kern w:val="2"/>
          <w:sz w:val="24"/>
          <w:szCs w:val="24"/>
          <w:lang w:val="bg-BG"/>
          <w14:ligatures w14:val="standardContextual"/>
        </w:rPr>
        <w:t>4</w:t>
      </w:r>
      <w:r w:rsidRPr="00372B66">
        <w:rPr>
          <w:rFonts w:ascii="Times New Roman" w:hAnsi="Times New Roman" w:cs="Times New Roman"/>
          <w:kern w:val="2"/>
          <w:sz w:val="24"/>
          <w:szCs w:val="24"/>
          <w:lang w:val="bg-BG"/>
          <w14:ligatures w14:val="standardContextual"/>
        </w:rPr>
        <w:t xml:space="preserve"> март 2025 г. и от</w:t>
      </w:r>
      <w:r w:rsidRPr="00557BA9">
        <w:rPr>
          <w:rFonts w:ascii="Times New Roman" w:hAnsi="Times New Roman" w:cs="Times New Roman"/>
          <w:kern w:val="2"/>
          <w:sz w:val="24"/>
          <w:szCs w:val="24"/>
          <w:lang w:val="bg-BG"/>
          <w14:ligatures w14:val="standardContextual"/>
        </w:rPr>
        <w:t xml:space="preserve"> Европейската комисия на 4 юни 2025 г. С настоящото предложение за изменение се добавят нови мерки за едва 78 млн. лв., равняващи се на 2,15% от бюджета на програмата. </w:t>
      </w:r>
    </w:p>
    <w:p w14:paraId="16FC717E" w14:textId="77777777" w:rsidR="003978D6" w:rsidRDefault="003978D6" w:rsidP="003978D6">
      <w:pPr>
        <w:spacing w:after="0" w:line="240" w:lineRule="auto"/>
        <w:ind w:firstLine="720"/>
        <w:jc w:val="both"/>
        <w:rPr>
          <w:rFonts w:ascii="Times New Roman" w:hAnsi="Times New Roman" w:cs="Times New Roman"/>
          <w:kern w:val="2"/>
          <w:sz w:val="24"/>
          <w:szCs w:val="24"/>
          <w:lang w:val="bg-BG"/>
          <w14:ligatures w14:val="standardContextual"/>
        </w:rPr>
      </w:pPr>
      <w:r w:rsidRPr="00557BA9">
        <w:rPr>
          <w:rFonts w:ascii="Times New Roman" w:hAnsi="Times New Roman" w:cs="Times New Roman"/>
          <w:kern w:val="2"/>
          <w:sz w:val="24"/>
          <w:szCs w:val="24"/>
          <w:lang w:val="bg-BG"/>
          <w14:ligatures w14:val="standardContextual"/>
        </w:rPr>
        <w:t>Предвид размера на допълнителните мерки от 2,15%</w:t>
      </w:r>
      <w:r>
        <w:rPr>
          <w:rFonts w:ascii="Times New Roman" w:hAnsi="Times New Roman" w:cs="Times New Roman"/>
          <w:kern w:val="2"/>
          <w:sz w:val="24"/>
          <w:szCs w:val="24"/>
          <w:lang w:val="bg-BG"/>
          <w14:ligatures w14:val="standardContextual"/>
        </w:rPr>
        <w:t>, ф</w:t>
      </w:r>
      <w:r w:rsidRPr="00557BA9">
        <w:rPr>
          <w:rFonts w:ascii="Times New Roman" w:hAnsi="Times New Roman" w:cs="Times New Roman"/>
          <w:kern w:val="2"/>
          <w:sz w:val="24"/>
          <w:szCs w:val="24"/>
          <w:lang w:val="bg-BG"/>
          <w14:ligatures w14:val="standardContextual"/>
        </w:rPr>
        <w:t xml:space="preserve">инансирането </w:t>
      </w:r>
      <w:r>
        <w:rPr>
          <w:rFonts w:ascii="Times New Roman" w:hAnsi="Times New Roman" w:cs="Times New Roman"/>
          <w:kern w:val="2"/>
          <w:sz w:val="24"/>
          <w:szCs w:val="24"/>
          <w:lang w:val="bg-BG"/>
          <w14:ligatures w14:val="standardContextual"/>
        </w:rPr>
        <w:t>по</w:t>
      </w:r>
      <w:r w:rsidRPr="00557BA9">
        <w:rPr>
          <w:rFonts w:ascii="Times New Roman" w:hAnsi="Times New Roman" w:cs="Times New Roman"/>
          <w:kern w:val="2"/>
          <w:sz w:val="24"/>
          <w:szCs w:val="24"/>
          <w:lang w:val="bg-BG"/>
          <w14:ligatures w14:val="standardContextual"/>
        </w:rPr>
        <w:t xml:space="preserve"> Приоритет 7 „Устойчивост на водите“ </w:t>
      </w:r>
      <w:r>
        <w:rPr>
          <w:rFonts w:ascii="Times New Roman" w:hAnsi="Times New Roman" w:cs="Times New Roman"/>
          <w:kern w:val="2"/>
          <w:sz w:val="24"/>
          <w:szCs w:val="24"/>
          <w:lang w:val="bg-BG"/>
          <w14:ligatures w14:val="standardContextual"/>
        </w:rPr>
        <w:t xml:space="preserve">ще </w:t>
      </w:r>
      <w:r w:rsidRPr="00557BA9">
        <w:rPr>
          <w:rFonts w:ascii="Times New Roman" w:hAnsi="Times New Roman" w:cs="Times New Roman"/>
          <w:kern w:val="2"/>
          <w:sz w:val="24"/>
          <w:szCs w:val="24"/>
          <w:lang w:val="bg-BG"/>
          <w14:ligatures w14:val="standardContextual"/>
        </w:rPr>
        <w:t>се обезпеч</w:t>
      </w:r>
      <w:r>
        <w:rPr>
          <w:rFonts w:ascii="Times New Roman" w:hAnsi="Times New Roman" w:cs="Times New Roman"/>
          <w:kern w:val="2"/>
          <w:sz w:val="24"/>
          <w:szCs w:val="24"/>
          <w:lang w:val="bg-BG"/>
          <w14:ligatures w14:val="standardContextual"/>
        </w:rPr>
        <w:t>и</w:t>
      </w:r>
      <w:r w:rsidRPr="00557BA9">
        <w:rPr>
          <w:rFonts w:ascii="Times New Roman" w:hAnsi="Times New Roman" w:cs="Times New Roman"/>
          <w:kern w:val="2"/>
          <w:sz w:val="24"/>
          <w:szCs w:val="24"/>
          <w:lang w:val="bg-BG"/>
          <w14:ligatures w14:val="standardContextual"/>
        </w:rPr>
        <w:t xml:space="preserve"> от реализираните до момента икономии, както и от очакваните такива. </w:t>
      </w:r>
    </w:p>
    <w:p w14:paraId="6D9A9F8D" w14:textId="50CB87D2" w:rsidR="003978D6" w:rsidRPr="00557BA9" w:rsidRDefault="003978D6" w:rsidP="003978D6">
      <w:pPr>
        <w:spacing w:after="0" w:line="240" w:lineRule="auto"/>
        <w:ind w:firstLine="720"/>
        <w:jc w:val="both"/>
        <w:rPr>
          <w:rFonts w:ascii="Times New Roman" w:hAnsi="Times New Roman" w:cs="Times New Roman"/>
          <w:kern w:val="2"/>
          <w:sz w:val="24"/>
          <w:szCs w:val="24"/>
          <w:lang w:val="bg-BG"/>
          <w14:ligatures w14:val="standardContextual"/>
        </w:rPr>
      </w:pPr>
      <w:r w:rsidRPr="00557BA9">
        <w:rPr>
          <w:rFonts w:ascii="Times New Roman" w:hAnsi="Times New Roman" w:cs="Times New Roman"/>
          <w:kern w:val="2"/>
          <w:sz w:val="24"/>
          <w:szCs w:val="24"/>
          <w:lang w:val="bg-BG"/>
          <w14:ligatures w14:val="standardContextual"/>
        </w:rPr>
        <w:lastRenderedPageBreak/>
        <w:t>Анализът на данните за реализираните икономии от предходния програмен период, както и наличните данни за изпълнението на проектите от настоящия такъв</w:t>
      </w:r>
      <w:r w:rsidR="00424D83">
        <w:rPr>
          <w:rFonts w:ascii="Times New Roman" w:hAnsi="Times New Roman" w:cs="Times New Roman"/>
          <w:kern w:val="2"/>
          <w:sz w:val="24"/>
          <w:szCs w:val="24"/>
          <w:lang w:val="bg-BG"/>
          <w14:ligatures w14:val="standardContextual"/>
        </w:rPr>
        <w:t>,</w:t>
      </w:r>
      <w:r w:rsidRPr="00557BA9">
        <w:rPr>
          <w:rFonts w:ascii="Times New Roman" w:hAnsi="Times New Roman" w:cs="Times New Roman"/>
          <w:kern w:val="2"/>
          <w:sz w:val="24"/>
          <w:szCs w:val="24"/>
          <w:lang w:val="bg-BG"/>
          <w14:ligatures w14:val="standardContextual"/>
        </w:rPr>
        <w:t xml:space="preserve"> ясно индикират необходимостта от предприемане на своевременни мерки за компенсиране с допустими разходи на освобождаваните суми (икономиите) в хода на изпълнение на проектите. Данните на УО показват, че почти всички проекти реализират икономии при изпълнението си. Част от икономиите се формират още на етап провеждане на процедури за избор на изпълнители по реда на ЗОП. Други възникват в резултат на неизпълнение в срок на проектните дейности и/или отпадане на част от предвидените дейности/ намаляване обхвата им, както и поради потенциален отказ от верификация на разходи в предвидените от </w:t>
      </w:r>
      <w:r>
        <w:rPr>
          <w:rFonts w:ascii="Times New Roman" w:hAnsi="Times New Roman" w:cs="Times New Roman"/>
          <w:kern w:val="2"/>
          <w:sz w:val="24"/>
          <w:szCs w:val="24"/>
          <w:lang w:val="bg-BG"/>
          <w14:ligatures w14:val="standardContextual"/>
        </w:rPr>
        <w:t>з</w:t>
      </w:r>
      <w:r w:rsidRPr="00557BA9">
        <w:rPr>
          <w:rFonts w:ascii="Times New Roman" w:hAnsi="Times New Roman" w:cs="Times New Roman"/>
          <w:kern w:val="2"/>
          <w:sz w:val="24"/>
          <w:szCs w:val="24"/>
          <w:lang w:val="bg-BG"/>
          <w14:ligatures w14:val="standardContextual"/>
        </w:rPr>
        <w:t>акона случаи. Финансовите корекции, налагани от УО или от национални и европейски одитни органи при проверката за законосъобразност на провеждането на обществени поръчки също водят до редуциране на предоставеното финансиране. В допълнение, икономии се реализират и на етап кандидатстване. Често пъти представените проектни предложения са на по-ниска стойност от обявения за кандидатстване финансов ресурс.</w:t>
      </w:r>
    </w:p>
    <w:p w14:paraId="5FE7C793" w14:textId="1F9C8EB0" w:rsidR="003978D6" w:rsidRPr="00557BA9" w:rsidRDefault="003978D6" w:rsidP="00134E81">
      <w:pPr>
        <w:spacing w:after="0" w:line="240" w:lineRule="auto"/>
        <w:ind w:firstLine="708"/>
        <w:jc w:val="both"/>
        <w:rPr>
          <w:rFonts w:ascii="Times New Roman" w:hAnsi="Times New Roman" w:cs="Times New Roman"/>
          <w:kern w:val="2"/>
          <w:sz w:val="24"/>
          <w:szCs w:val="24"/>
          <w:lang w:val="bg-BG"/>
          <w14:ligatures w14:val="standardContextual"/>
        </w:rPr>
      </w:pPr>
      <w:r w:rsidRPr="00557BA9">
        <w:rPr>
          <w:rFonts w:ascii="Times New Roman" w:hAnsi="Times New Roman" w:cs="Times New Roman"/>
          <w:kern w:val="2"/>
          <w:sz w:val="24"/>
          <w:szCs w:val="24"/>
          <w:lang w:val="bg-BG"/>
          <w14:ligatures w14:val="standardContextual"/>
        </w:rPr>
        <w:t xml:space="preserve">Именно реализирането на икономии е причината вече трети програмен период да се прилага практика за договаряне на суми над бюджета на програмата. В противен случай, при </w:t>
      </w:r>
      <w:r>
        <w:rPr>
          <w:rFonts w:ascii="Times New Roman" w:hAnsi="Times New Roman" w:cs="Times New Roman"/>
          <w:kern w:val="2"/>
          <w:sz w:val="24"/>
          <w:szCs w:val="24"/>
          <w:lang w:val="bg-BG"/>
          <w14:ligatures w14:val="standardContextual"/>
        </w:rPr>
        <w:t>приключване</w:t>
      </w:r>
      <w:r w:rsidRPr="00557BA9">
        <w:rPr>
          <w:rFonts w:ascii="Times New Roman" w:hAnsi="Times New Roman" w:cs="Times New Roman"/>
          <w:kern w:val="2"/>
          <w:sz w:val="24"/>
          <w:szCs w:val="24"/>
          <w:lang w:val="bg-BG"/>
          <w14:ligatures w14:val="standardContextual"/>
        </w:rPr>
        <w:t xml:space="preserve"> на програмния период биха се реализирали значителни по размер загуби от фондовете на ЕС. С оглед недопускане развитието на подобен сценарий</w:t>
      </w:r>
      <w:r>
        <w:rPr>
          <w:rFonts w:ascii="Times New Roman" w:hAnsi="Times New Roman" w:cs="Times New Roman"/>
          <w:kern w:val="2"/>
          <w:sz w:val="24"/>
          <w:szCs w:val="24"/>
          <w:lang w:val="bg-BG"/>
          <w14:ligatures w14:val="standardContextual"/>
        </w:rPr>
        <w:t>,</w:t>
      </w:r>
      <w:r w:rsidRPr="00557BA9">
        <w:rPr>
          <w:rFonts w:ascii="Times New Roman" w:hAnsi="Times New Roman" w:cs="Times New Roman"/>
          <w:kern w:val="2"/>
          <w:sz w:val="24"/>
          <w:szCs w:val="24"/>
          <w:lang w:val="bg-BG"/>
          <w14:ligatures w14:val="standardContextual"/>
        </w:rPr>
        <w:t xml:space="preserve"> още през 2024 г</w:t>
      </w:r>
      <w:r>
        <w:rPr>
          <w:rFonts w:ascii="Times New Roman" w:hAnsi="Times New Roman" w:cs="Times New Roman"/>
          <w:kern w:val="2"/>
          <w:sz w:val="24"/>
          <w:szCs w:val="24"/>
          <w:lang w:val="bg-BG"/>
          <w14:ligatures w14:val="standardContextual"/>
        </w:rPr>
        <w:t>.</w:t>
      </w:r>
      <w:r w:rsidRPr="00557BA9">
        <w:rPr>
          <w:rFonts w:ascii="Times New Roman" w:hAnsi="Times New Roman" w:cs="Times New Roman"/>
          <w:kern w:val="2"/>
          <w:sz w:val="24"/>
          <w:szCs w:val="24"/>
          <w:lang w:val="bg-BG"/>
          <w14:ligatures w14:val="standardContextual"/>
        </w:rPr>
        <w:t xml:space="preserve"> УО на ПОС</w:t>
      </w:r>
      <w:r w:rsidR="000E563B">
        <w:rPr>
          <w:rFonts w:ascii="Times New Roman" w:hAnsi="Times New Roman" w:cs="Times New Roman"/>
          <w:kern w:val="2"/>
          <w:sz w:val="24"/>
          <w:szCs w:val="24"/>
          <w:lang w:val="bg-BG"/>
          <w14:ligatures w14:val="standardContextual"/>
        </w:rPr>
        <w:t xml:space="preserve"> 2021-2027 г.</w:t>
      </w:r>
      <w:r w:rsidRPr="00557BA9">
        <w:rPr>
          <w:rFonts w:ascii="Times New Roman" w:hAnsi="Times New Roman" w:cs="Times New Roman"/>
          <w:kern w:val="2"/>
          <w:sz w:val="24"/>
          <w:szCs w:val="24"/>
          <w:lang w:val="bg-BG"/>
          <w14:ligatures w14:val="standardContextual"/>
        </w:rPr>
        <w:t>, заедно с другите Управляващи органи, предприе необходимите стъпки за нормативно обезпечаване на възможността за договаряне на суми над бюджета на програмата. На 30 август 2024 г. беше прието Решение № 623</w:t>
      </w:r>
      <w:r>
        <w:rPr>
          <w:rFonts w:ascii="Times New Roman" w:hAnsi="Times New Roman" w:cs="Times New Roman"/>
          <w:kern w:val="2"/>
          <w:sz w:val="24"/>
          <w:szCs w:val="24"/>
          <w:lang w:val="bg-BG"/>
          <w14:ligatures w14:val="standardContextual"/>
        </w:rPr>
        <w:t xml:space="preserve"> </w:t>
      </w:r>
      <w:r w:rsidRPr="00557BA9">
        <w:rPr>
          <w:rFonts w:ascii="Times New Roman" w:hAnsi="Times New Roman" w:cs="Times New Roman"/>
          <w:kern w:val="2"/>
          <w:sz w:val="24"/>
          <w:szCs w:val="24"/>
          <w:lang w:val="bg-BG"/>
          <w14:ligatures w14:val="standardContextual"/>
        </w:rPr>
        <w:t xml:space="preserve">на Министерския съвет, с което се дава съгласие за предоставяне на финансова подкрепа от програмите, над общия бюджет по съответната програма, като за ПОС </w:t>
      </w:r>
      <w:r w:rsidR="00A466AD">
        <w:rPr>
          <w:rFonts w:ascii="Times New Roman" w:hAnsi="Times New Roman" w:cs="Times New Roman"/>
          <w:kern w:val="2"/>
          <w:sz w:val="24"/>
          <w:szCs w:val="24"/>
          <w:lang w:val="bg-BG"/>
          <w14:ligatures w14:val="standardContextual"/>
        </w:rPr>
        <w:t xml:space="preserve">2021-2027 г. </w:t>
      </w:r>
      <w:r w:rsidRPr="00557BA9">
        <w:rPr>
          <w:rFonts w:ascii="Times New Roman" w:hAnsi="Times New Roman" w:cs="Times New Roman"/>
          <w:kern w:val="2"/>
          <w:sz w:val="24"/>
          <w:szCs w:val="24"/>
          <w:lang w:val="bg-BG"/>
          <w14:ligatures w14:val="standardContextual"/>
        </w:rPr>
        <w:t>това са 20% над бюджета</w:t>
      </w:r>
      <w:r w:rsidR="00134E81">
        <w:rPr>
          <w:rFonts w:ascii="Times New Roman" w:hAnsi="Times New Roman" w:cs="Times New Roman"/>
          <w:kern w:val="2"/>
          <w:sz w:val="24"/>
          <w:szCs w:val="24"/>
          <w:lang w:val="bg-BG"/>
          <w14:ligatures w14:val="standardContextual"/>
        </w:rPr>
        <w:t xml:space="preserve"> на програмата.</w:t>
      </w:r>
      <w:r w:rsidR="00A466AD">
        <w:rPr>
          <w:rFonts w:ascii="Times New Roman" w:hAnsi="Times New Roman" w:cs="Times New Roman"/>
          <w:kern w:val="2"/>
          <w:sz w:val="24"/>
          <w:szCs w:val="24"/>
          <w:lang w:val="bg-BG"/>
          <w14:ligatures w14:val="standardContextual"/>
        </w:rPr>
        <w:t xml:space="preserve"> </w:t>
      </w:r>
    </w:p>
    <w:p w14:paraId="44DED0E7" w14:textId="60FBBFB8" w:rsidR="00495860" w:rsidRDefault="003978D6"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557BA9">
        <w:rPr>
          <w:rFonts w:ascii="Times New Roman" w:hAnsi="Times New Roman" w:cs="Times New Roman"/>
          <w:kern w:val="2"/>
          <w:sz w:val="24"/>
          <w:szCs w:val="24"/>
          <w:lang w:val="bg-BG"/>
          <w14:ligatures w14:val="standardContextual"/>
        </w:rPr>
        <w:t>Без настоящото предложение за изменение на програмата очакваното договаряне би могло да достигне 1,729 мл</w:t>
      </w:r>
      <w:r>
        <w:rPr>
          <w:rFonts w:ascii="Times New Roman" w:hAnsi="Times New Roman" w:cs="Times New Roman"/>
          <w:kern w:val="2"/>
          <w:sz w:val="24"/>
          <w:szCs w:val="24"/>
          <w:lang w:val="bg-BG"/>
          <w14:ligatures w14:val="standardContextual"/>
        </w:rPr>
        <w:t>рд.</w:t>
      </w:r>
      <w:r w:rsidRPr="00557BA9">
        <w:rPr>
          <w:rFonts w:ascii="Times New Roman" w:hAnsi="Times New Roman" w:cs="Times New Roman"/>
          <w:kern w:val="2"/>
          <w:sz w:val="24"/>
          <w:szCs w:val="24"/>
          <w:lang w:val="bg-BG"/>
          <w14:ligatures w14:val="standardContextual"/>
        </w:rPr>
        <w:t xml:space="preserve"> евро принос от ЕС или 112,87 % от наличния финансов ресурс, като в упоменатата стойност се включват прехвърлените от НПВУ проекти на 7-те ВиК оператора. Видно от данните в таблицата по-долу, с настоящото предложение за изменение </w:t>
      </w:r>
      <w:r w:rsidR="00112AC0">
        <w:rPr>
          <w:rFonts w:ascii="Times New Roman" w:hAnsi="Times New Roman" w:cs="Times New Roman"/>
          <w:kern w:val="2"/>
          <w:sz w:val="24"/>
          <w:szCs w:val="24"/>
          <w:lang w:val="bg-BG"/>
          <w14:ligatures w14:val="standardContextual"/>
        </w:rPr>
        <w:t xml:space="preserve">на ПОС 2021-2027 г. </w:t>
      </w:r>
      <w:r w:rsidRPr="00557BA9">
        <w:rPr>
          <w:rFonts w:ascii="Times New Roman" w:hAnsi="Times New Roman" w:cs="Times New Roman"/>
          <w:kern w:val="2"/>
          <w:sz w:val="24"/>
          <w:szCs w:val="24"/>
          <w:lang w:val="bg-BG"/>
          <w14:ligatures w14:val="standardContextual"/>
        </w:rPr>
        <w:t>очакваното договаряне на практика се увеличава с едва 2,15%, като достига до 1,762 мл</w:t>
      </w:r>
      <w:r>
        <w:rPr>
          <w:rFonts w:ascii="Times New Roman" w:hAnsi="Times New Roman" w:cs="Times New Roman"/>
          <w:kern w:val="2"/>
          <w:sz w:val="24"/>
          <w:szCs w:val="24"/>
          <w:lang w:val="bg-BG"/>
          <w14:ligatures w14:val="standardContextual"/>
        </w:rPr>
        <w:t>рд</w:t>
      </w:r>
      <w:r w:rsidRPr="00557BA9">
        <w:rPr>
          <w:rFonts w:ascii="Times New Roman" w:hAnsi="Times New Roman" w:cs="Times New Roman"/>
          <w:kern w:val="2"/>
          <w:sz w:val="24"/>
          <w:szCs w:val="24"/>
          <w:lang w:val="bg-BG"/>
          <w14:ligatures w14:val="standardContextual"/>
        </w:rPr>
        <w:t>. евро принос от ЕС или 115,03 %.</w:t>
      </w:r>
    </w:p>
    <w:p w14:paraId="48F27664" w14:textId="77777777" w:rsidR="00495860" w:rsidRDefault="00495860" w:rsidP="00092D66">
      <w:pPr>
        <w:spacing w:after="0" w:line="240" w:lineRule="auto"/>
        <w:ind w:firstLine="360"/>
        <w:jc w:val="both"/>
        <w:rPr>
          <w:rFonts w:ascii="Times New Roman" w:hAnsi="Times New Roman" w:cs="Times New Roman"/>
          <w:kern w:val="2"/>
          <w:sz w:val="24"/>
          <w:szCs w:val="24"/>
          <w:lang w:val="bg-BG"/>
          <w14:ligatures w14:val="standardContextual"/>
        </w:rPr>
      </w:pPr>
    </w:p>
    <w:p w14:paraId="0A445C57"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45BAA375"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729BC362"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7763BC28"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638149D5"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64416550"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07B9D37B"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1545AB9E"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7609FFA1"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43F7B8D2"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7E1C8E01"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45BE8676"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1D37DFE9" w14:textId="77777777" w:rsidR="004E6622" w:rsidRPr="00895ED8" w:rsidRDefault="004E6622"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6E66072A" w14:textId="77777777" w:rsidR="00425A64" w:rsidRDefault="00425A64"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07BA47EE" w14:textId="77777777" w:rsidR="00425A64" w:rsidRDefault="00425A64"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39B07732" w14:textId="77777777" w:rsidR="00425A64" w:rsidRDefault="00425A64" w:rsidP="001A7B7D">
      <w:pPr>
        <w:spacing w:after="0" w:line="240" w:lineRule="auto"/>
        <w:ind w:firstLine="708"/>
        <w:jc w:val="both"/>
        <w:rPr>
          <w:rFonts w:ascii="Times New Roman" w:hAnsi="Times New Roman" w:cs="Times New Roman"/>
          <w:kern w:val="2"/>
          <w:sz w:val="24"/>
          <w:szCs w:val="24"/>
          <w:lang w:val="bg-BG"/>
          <w14:ligatures w14:val="standardContextual"/>
        </w:rPr>
      </w:pPr>
    </w:p>
    <w:p w14:paraId="67766708" w14:textId="10662545" w:rsidR="00495860" w:rsidRDefault="00435274"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216090">
        <w:rPr>
          <w:rFonts w:ascii="Times New Roman" w:hAnsi="Times New Roman" w:cs="Times New Roman"/>
          <w:kern w:val="2"/>
          <w:sz w:val="24"/>
          <w:szCs w:val="24"/>
          <w:lang w:val="bg-BG"/>
          <w14:ligatures w14:val="standardContextual"/>
        </w:rPr>
        <w:lastRenderedPageBreak/>
        <w:t>Таблица</w:t>
      </w:r>
      <w:r w:rsidR="00216090" w:rsidRPr="00216090">
        <w:rPr>
          <w:rFonts w:ascii="Times New Roman" w:hAnsi="Times New Roman" w:cs="Times New Roman"/>
          <w:kern w:val="2"/>
          <w:sz w:val="24"/>
          <w:szCs w:val="24"/>
          <w:lang w:val="bg-BG"/>
          <w14:ligatures w14:val="standardContextual"/>
        </w:rPr>
        <w:t xml:space="preserve"> 1</w:t>
      </w:r>
      <w:r w:rsidRPr="00216090">
        <w:rPr>
          <w:rFonts w:ascii="Times New Roman" w:hAnsi="Times New Roman" w:cs="Times New Roman"/>
          <w:kern w:val="2"/>
          <w:sz w:val="24"/>
          <w:szCs w:val="24"/>
          <w:lang w:val="bg-BG"/>
          <w14:ligatures w14:val="standardContextual"/>
        </w:rPr>
        <w:t>: Прогноза за очаквано договаряне на суми по ПОС 2021-2027 г.:</w:t>
      </w:r>
    </w:p>
    <w:p w14:paraId="297DC3D7" w14:textId="77777777" w:rsidR="00216090" w:rsidRDefault="00216090" w:rsidP="00092D66">
      <w:pPr>
        <w:spacing w:after="0" w:line="240" w:lineRule="auto"/>
        <w:ind w:firstLine="360"/>
        <w:jc w:val="both"/>
        <w:rPr>
          <w:rFonts w:ascii="Times New Roman" w:hAnsi="Times New Roman" w:cs="Times New Roman"/>
          <w:kern w:val="2"/>
          <w:sz w:val="24"/>
          <w:szCs w:val="24"/>
          <w:lang w:val="bg-BG"/>
          <w14:ligatures w14:val="standardContextual"/>
        </w:rPr>
      </w:pPr>
    </w:p>
    <w:p w14:paraId="5875838D" w14:textId="4CE89A78" w:rsidR="00435274" w:rsidRDefault="00216090" w:rsidP="00092D66">
      <w:pPr>
        <w:spacing w:after="0" w:line="240" w:lineRule="auto"/>
        <w:ind w:firstLine="360"/>
        <w:jc w:val="both"/>
        <w:rPr>
          <w:rFonts w:ascii="Times New Roman" w:hAnsi="Times New Roman" w:cs="Times New Roman"/>
          <w:kern w:val="2"/>
          <w:sz w:val="24"/>
          <w:szCs w:val="24"/>
          <w:lang w:val="bg-BG"/>
          <w14:ligatures w14:val="standardContextual"/>
        </w:rPr>
      </w:pPr>
      <w:r w:rsidRPr="00410B82">
        <w:rPr>
          <w:noProof/>
        </w:rPr>
        <w:drawing>
          <wp:inline distT="0" distB="0" distL="0" distR="0" wp14:anchorId="127AC63D" wp14:editId="0B13C112">
            <wp:extent cx="5925490" cy="4304581"/>
            <wp:effectExtent l="0" t="0" r="0" b="1270"/>
            <wp:docPr id="990745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497" cy="4311124"/>
                    </a:xfrm>
                    <a:prstGeom prst="rect">
                      <a:avLst/>
                    </a:prstGeom>
                    <a:noFill/>
                    <a:ln>
                      <a:noFill/>
                    </a:ln>
                  </pic:spPr>
                </pic:pic>
              </a:graphicData>
            </a:graphic>
          </wp:inline>
        </w:drawing>
      </w:r>
    </w:p>
    <w:p w14:paraId="087FF8D9" w14:textId="77777777" w:rsidR="00495860" w:rsidRDefault="00495860" w:rsidP="00092D66">
      <w:pPr>
        <w:spacing w:after="0" w:line="240" w:lineRule="auto"/>
        <w:ind w:firstLine="360"/>
        <w:jc w:val="both"/>
        <w:rPr>
          <w:rFonts w:ascii="Times New Roman" w:hAnsi="Times New Roman" w:cs="Times New Roman"/>
          <w:kern w:val="2"/>
          <w:sz w:val="24"/>
          <w:szCs w:val="24"/>
          <w:lang w:val="bg-BG"/>
          <w14:ligatures w14:val="standardContextual"/>
        </w:rPr>
      </w:pPr>
    </w:p>
    <w:p w14:paraId="45C88A13" w14:textId="77777777" w:rsidR="00216090" w:rsidRDefault="00216090" w:rsidP="001A7B7D">
      <w:pPr>
        <w:spacing w:after="0" w:line="240" w:lineRule="auto"/>
        <w:ind w:firstLine="708"/>
        <w:jc w:val="both"/>
        <w:rPr>
          <w:rFonts w:ascii="Times New Roman" w:hAnsi="Times New Roman" w:cs="Times New Roman"/>
          <w:kern w:val="2"/>
          <w:sz w:val="24"/>
          <w:szCs w:val="24"/>
          <w:lang w:val="bg-BG"/>
          <w14:ligatures w14:val="standardContextual"/>
        </w:rPr>
      </w:pPr>
      <w:r>
        <w:rPr>
          <w:rFonts w:ascii="Times New Roman" w:hAnsi="Times New Roman" w:cs="Times New Roman"/>
          <w:kern w:val="2"/>
          <w:sz w:val="24"/>
          <w:szCs w:val="24"/>
          <w:lang w:val="bg-BG"/>
          <w14:ligatures w14:val="standardContextual"/>
        </w:rPr>
        <w:t>По</w:t>
      </w:r>
      <w:r w:rsidRPr="00435274">
        <w:rPr>
          <w:rFonts w:ascii="Times New Roman" w:hAnsi="Times New Roman" w:cs="Times New Roman"/>
          <w:kern w:val="2"/>
          <w:sz w:val="24"/>
          <w:szCs w:val="24"/>
          <w:lang w:val="bg-BG"/>
          <w14:ligatures w14:val="standardContextual"/>
        </w:rPr>
        <w:t>-долу в настоящия анализ се представят по-конкретни данни за настоящото изпълнение на обявените процедури и договорените проекти, на които се основават финансовите параметри на настоящото предложение за изменение на програмата:</w:t>
      </w:r>
    </w:p>
    <w:p w14:paraId="10D08385" w14:textId="41D99CAB" w:rsidR="00216090" w:rsidRDefault="00216090"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435274">
        <w:rPr>
          <w:rFonts w:ascii="Times New Roman" w:hAnsi="Times New Roman" w:cs="Times New Roman"/>
          <w:kern w:val="2"/>
          <w:sz w:val="24"/>
          <w:szCs w:val="24"/>
          <w:lang w:val="bg-BG"/>
          <w14:ligatures w14:val="standardContextual"/>
        </w:rPr>
        <w:t>Таблица</w:t>
      </w:r>
      <w:r>
        <w:rPr>
          <w:rFonts w:ascii="Times New Roman" w:hAnsi="Times New Roman" w:cs="Times New Roman"/>
          <w:kern w:val="2"/>
          <w:sz w:val="24"/>
          <w:szCs w:val="24"/>
          <w:lang w:val="bg-BG"/>
          <w14:ligatures w14:val="standardContextual"/>
        </w:rPr>
        <w:t xml:space="preserve"> 2.</w:t>
      </w:r>
      <w:r w:rsidRPr="00435274">
        <w:rPr>
          <w:rFonts w:ascii="Times New Roman" w:hAnsi="Times New Roman" w:cs="Times New Roman"/>
          <w:kern w:val="2"/>
          <w:sz w:val="24"/>
          <w:szCs w:val="24"/>
          <w:lang w:val="bg-BG"/>
          <w14:ligatures w14:val="standardContextual"/>
        </w:rPr>
        <w:t xml:space="preserve"> Данни за реализирани икономии от приключили процедури за представяне на проектни предложения по ПОС 2021-2027 г. по приоритети (не се включват Финансовите инструменти в секторите „Води“ и „Отпадъци“, както и 3 бр. процедури без подадени и/или одобрени проектни предложения):</w:t>
      </w:r>
    </w:p>
    <w:p w14:paraId="798A24F5" w14:textId="77777777" w:rsidR="00216090" w:rsidRDefault="00216090" w:rsidP="00216090">
      <w:pPr>
        <w:spacing w:after="0" w:line="240" w:lineRule="auto"/>
        <w:ind w:firstLine="360"/>
        <w:jc w:val="both"/>
        <w:rPr>
          <w:rFonts w:ascii="Times New Roman" w:hAnsi="Times New Roman" w:cs="Times New Roman"/>
          <w:kern w:val="2"/>
          <w:sz w:val="24"/>
          <w:szCs w:val="24"/>
          <w:lang w:val="bg-BG"/>
          <w14:ligatures w14:val="standardContextual"/>
        </w:rPr>
      </w:pPr>
    </w:p>
    <w:p w14:paraId="5F28525A" w14:textId="25E096B9" w:rsidR="00216090" w:rsidRPr="00435274" w:rsidRDefault="00216090" w:rsidP="00216090">
      <w:pPr>
        <w:spacing w:after="0" w:line="240" w:lineRule="auto"/>
        <w:ind w:firstLine="360"/>
        <w:jc w:val="center"/>
        <w:rPr>
          <w:rFonts w:ascii="Times New Roman" w:hAnsi="Times New Roman" w:cs="Times New Roman"/>
          <w:kern w:val="2"/>
          <w:sz w:val="24"/>
          <w:szCs w:val="24"/>
          <w:lang w:val="bg-BG"/>
          <w14:ligatures w14:val="standardContextual"/>
        </w:rPr>
      </w:pPr>
      <w:r w:rsidRPr="00F70CE4">
        <w:rPr>
          <w:noProof/>
        </w:rPr>
        <w:drawing>
          <wp:inline distT="0" distB="0" distL="0" distR="0" wp14:anchorId="3402EE81" wp14:editId="6F84A6A6">
            <wp:extent cx="5564038" cy="1845919"/>
            <wp:effectExtent l="0" t="0" r="0" b="2540"/>
            <wp:docPr id="21145345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4334" cy="1852652"/>
                    </a:xfrm>
                    <a:prstGeom prst="rect">
                      <a:avLst/>
                    </a:prstGeom>
                    <a:noFill/>
                    <a:ln>
                      <a:noFill/>
                    </a:ln>
                  </pic:spPr>
                </pic:pic>
              </a:graphicData>
            </a:graphic>
          </wp:inline>
        </w:drawing>
      </w:r>
    </w:p>
    <w:p w14:paraId="3C503BD0" w14:textId="758A850C" w:rsidR="00216090" w:rsidRPr="00435274" w:rsidRDefault="00435274" w:rsidP="00425A64">
      <w:pPr>
        <w:spacing w:after="0" w:line="240" w:lineRule="auto"/>
        <w:ind w:firstLine="360"/>
        <w:jc w:val="both"/>
        <w:rPr>
          <w:rFonts w:ascii="Times New Roman" w:hAnsi="Times New Roman" w:cs="Times New Roman"/>
          <w:kern w:val="2"/>
          <w:sz w:val="24"/>
          <w:szCs w:val="24"/>
          <w:lang w:val="bg-BG"/>
          <w14:ligatures w14:val="standardContextual"/>
        </w:rPr>
      </w:pPr>
      <w:r w:rsidRPr="00435274">
        <w:rPr>
          <w:rFonts w:ascii="Times New Roman" w:hAnsi="Times New Roman" w:cs="Times New Roman"/>
          <w:kern w:val="2"/>
          <w:sz w:val="24"/>
          <w:szCs w:val="24"/>
          <w:lang w:val="bg-BG"/>
          <w14:ligatures w14:val="standardContextual"/>
        </w:rPr>
        <w:lastRenderedPageBreak/>
        <w:t xml:space="preserve"> </w:t>
      </w:r>
      <w:r w:rsidR="00425A64">
        <w:rPr>
          <w:rFonts w:ascii="Times New Roman" w:hAnsi="Times New Roman" w:cs="Times New Roman"/>
          <w:kern w:val="2"/>
          <w:sz w:val="24"/>
          <w:szCs w:val="24"/>
          <w:lang w:val="bg-BG"/>
          <w14:ligatures w14:val="standardContextual"/>
        </w:rPr>
        <w:tab/>
      </w:r>
      <w:r w:rsidR="00216090" w:rsidRPr="00435274">
        <w:rPr>
          <w:rFonts w:ascii="Times New Roman" w:hAnsi="Times New Roman" w:cs="Times New Roman"/>
          <w:kern w:val="2"/>
          <w:sz w:val="24"/>
          <w:szCs w:val="24"/>
          <w:lang w:val="bg-BG"/>
          <w14:ligatures w14:val="standardContextual"/>
        </w:rPr>
        <w:t>От обявените общо 41 бр. процедури за предоставяне на безвъзмездно финансиране до момента са приключили 35 бр. за 1,418 млрд. евро принос от ЕС. Видно от данните в таблицата по-горе, ангажираният финансов ресурс по приключилите 35 бр. процедури възлиза на 1,257 млрд. евро принос от ЕС. Още на етап кандидатстване и договаряне на безвъзмездна финансова помощ, свободни остават малко над 160 млн. евро принос от ЕС или 11,32% от обявеният ресурс. Следва да се има предвид, че при изчисляване на ангажирания финансов ресурс се взимат предвид както договорените проекти, така и тези в оценка</w:t>
      </w:r>
      <w:r w:rsidR="00216090">
        <w:rPr>
          <w:rFonts w:ascii="Times New Roman" w:hAnsi="Times New Roman" w:cs="Times New Roman"/>
          <w:kern w:val="2"/>
          <w:sz w:val="24"/>
          <w:szCs w:val="24"/>
          <w:lang w:val="bg-BG"/>
          <w14:ligatures w14:val="standardContextual"/>
        </w:rPr>
        <w:t>,</w:t>
      </w:r>
      <w:r w:rsidR="00216090" w:rsidRPr="00435274">
        <w:rPr>
          <w:rFonts w:ascii="Times New Roman" w:hAnsi="Times New Roman" w:cs="Times New Roman"/>
          <w:kern w:val="2"/>
          <w:sz w:val="24"/>
          <w:szCs w:val="24"/>
          <w:lang w:val="bg-BG"/>
          <w14:ligatures w14:val="standardContextual"/>
        </w:rPr>
        <w:t xml:space="preserve"> независимо че стойностите им е възможно да претърпят промени преди да бъдат одобрени за финансиране. Разбивката по приоритети на реализираните до момента икономии от приключили процедури показва, че още на етап кандидатстване остава извънредно голям ресурс по </w:t>
      </w:r>
      <w:r w:rsidR="00057641" w:rsidRPr="00435274">
        <w:rPr>
          <w:rFonts w:ascii="Times New Roman" w:hAnsi="Times New Roman" w:cs="Times New Roman"/>
          <w:kern w:val="2"/>
          <w:sz w:val="24"/>
          <w:szCs w:val="24"/>
          <w:lang w:val="bg-BG"/>
          <w14:ligatures w14:val="standardContextual"/>
        </w:rPr>
        <w:t xml:space="preserve">Приоритет </w:t>
      </w:r>
      <w:r w:rsidR="00216090" w:rsidRPr="00435274">
        <w:rPr>
          <w:rFonts w:ascii="Times New Roman" w:hAnsi="Times New Roman" w:cs="Times New Roman"/>
          <w:kern w:val="2"/>
          <w:sz w:val="24"/>
          <w:szCs w:val="24"/>
          <w:lang w:val="bg-BG"/>
          <w14:ligatures w14:val="standardContextual"/>
        </w:rPr>
        <w:t xml:space="preserve">2, докато по приоритети 3, 4 и 5 не се наблюдават дисбаланси. По </w:t>
      </w:r>
      <w:r w:rsidR="00057641" w:rsidRPr="00435274">
        <w:rPr>
          <w:rFonts w:ascii="Times New Roman" w:hAnsi="Times New Roman" w:cs="Times New Roman"/>
          <w:kern w:val="2"/>
          <w:sz w:val="24"/>
          <w:szCs w:val="24"/>
          <w:lang w:val="bg-BG"/>
          <w14:ligatures w14:val="standardContextual"/>
        </w:rPr>
        <w:t xml:space="preserve">Приоритет </w:t>
      </w:r>
      <w:r w:rsidR="00216090" w:rsidRPr="00435274">
        <w:rPr>
          <w:rFonts w:ascii="Times New Roman" w:hAnsi="Times New Roman" w:cs="Times New Roman"/>
          <w:kern w:val="2"/>
          <w:sz w:val="24"/>
          <w:szCs w:val="24"/>
          <w:lang w:val="bg-BG"/>
          <w14:ligatures w14:val="standardContextual"/>
        </w:rPr>
        <w:t xml:space="preserve">1 се реализират най-малко икономии на етап кандидатстване поради спецификата на финансираните мерки – основно инфраструктурни проекти с предварително определени стойности. За разлика от останалите приоритети обаче, по </w:t>
      </w:r>
      <w:r w:rsidR="00057641" w:rsidRPr="00435274">
        <w:rPr>
          <w:rFonts w:ascii="Times New Roman" w:hAnsi="Times New Roman" w:cs="Times New Roman"/>
          <w:kern w:val="2"/>
          <w:sz w:val="24"/>
          <w:szCs w:val="24"/>
          <w:lang w:val="bg-BG"/>
          <w14:ligatures w14:val="standardContextual"/>
        </w:rPr>
        <w:t xml:space="preserve">Приоритет </w:t>
      </w:r>
      <w:r w:rsidR="00216090" w:rsidRPr="00435274">
        <w:rPr>
          <w:rFonts w:ascii="Times New Roman" w:hAnsi="Times New Roman" w:cs="Times New Roman"/>
          <w:kern w:val="2"/>
          <w:sz w:val="24"/>
          <w:szCs w:val="24"/>
          <w:lang w:val="bg-BG"/>
          <w14:ligatures w14:val="standardContextual"/>
        </w:rPr>
        <w:t xml:space="preserve">1 обикновено се реализират значителни по размер икономии от договорени суми на етап изпълнение на проектните дейности. </w:t>
      </w:r>
    </w:p>
    <w:p w14:paraId="6D1371A0" w14:textId="6679075D" w:rsidR="00216090" w:rsidRPr="00435274" w:rsidRDefault="00216090"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435274">
        <w:rPr>
          <w:rFonts w:ascii="Times New Roman" w:hAnsi="Times New Roman" w:cs="Times New Roman"/>
          <w:kern w:val="2"/>
          <w:sz w:val="24"/>
          <w:szCs w:val="24"/>
          <w:lang w:val="bg-BG"/>
          <w14:ligatures w14:val="standardContextual"/>
        </w:rPr>
        <w:t>Данните за изпълнението на 15 бр. ВиК проекти, финансирани от ОПОС 2014-2020 г. (14 бр. ВиК оператори и Столична община) показват следното: първоначално е договорена безвъзмездна финансова помощ в размер на 575 млн. евро принос от ЕС, а проектите приключват с финална безвъзмездна финансова помощ от 340 млн. евро принос от ЕС. На практика</w:t>
      </w:r>
      <w:r w:rsidR="007D1212">
        <w:rPr>
          <w:rFonts w:ascii="Times New Roman" w:hAnsi="Times New Roman" w:cs="Times New Roman"/>
          <w:kern w:val="2"/>
          <w:sz w:val="24"/>
          <w:szCs w:val="24"/>
          <w:lang w:val="bg-BG"/>
          <w14:ligatures w14:val="standardContextual"/>
        </w:rPr>
        <w:t>,</w:t>
      </w:r>
      <w:r w:rsidRPr="00435274">
        <w:rPr>
          <w:rFonts w:ascii="Times New Roman" w:hAnsi="Times New Roman" w:cs="Times New Roman"/>
          <w:kern w:val="2"/>
          <w:sz w:val="24"/>
          <w:szCs w:val="24"/>
          <w:lang w:val="bg-BG"/>
          <w14:ligatures w14:val="standardContextual"/>
        </w:rPr>
        <w:t xml:space="preserve"> в хода на изпълнение на проектните дейности</w:t>
      </w:r>
      <w:r w:rsidR="007D1212">
        <w:rPr>
          <w:rFonts w:ascii="Times New Roman" w:hAnsi="Times New Roman" w:cs="Times New Roman"/>
          <w:kern w:val="2"/>
          <w:sz w:val="24"/>
          <w:szCs w:val="24"/>
          <w:lang w:val="bg-BG"/>
          <w14:ligatures w14:val="standardContextual"/>
        </w:rPr>
        <w:t>,</w:t>
      </w:r>
      <w:r w:rsidRPr="00435274">
        <w:rPr>
          <w:rFonts w:ascii="Times New Roman" w:hAnsi="Times New Roman" w:cs="Times New Roman"/>
          <w:kern w:val="2"/>
          <w:sz w:val="24"/>
          <w:szCs w:val="24"/>
          <w:lang w:val="bg-BG"/>
          <w14:ligatures w14:val="standardContextual"/>
        </w:rPr>
        <w:t xml:space="preserve"> са освободени 235 млн. евро принос от ЕС, представляващи икономия от над 40%. Важно е да се отбележи, че в усвоените 340 млн. евро се включват и 35 млн. евро за индексация на разходите за СМР в резултат от инфлацията, т.е. над 10% от усвоения ресурс по 15-те проекта се дължи на индексацията, без която икономията по проектите би била още по-голяма. Част от освободения финансов ресурс се дължи на забавяне в изпълнението на проектните дейности, поради което 8 от 15-те проекта се </w:t>
      </w:r>
      <w:proofErr w:type="spellStart"/>
      <w:r w:rsidRPr="00435274">
        <w:rPr>
          <w:rFonts w:ascii="Times New Roman" w:hAnsi="Times New Roman" w:cs="Times New Roman"/>
          <w:kern w:val="2"/>
          <w:sz w:val="24"/>
          <w:szCs w:val="24"/>
          <w:lang w:val="bg-BG"/>
          <w14:ligatures w14:val="standardContextual"/>
        </w:rPr>
        <w:t>фазираха</w:t>
      </w:r>
      <w:proofErr w:type="spellEnd"/>
      <w:r w:rsidRPr="00435274">
        <w:rPr>
          <w:rFonts w:ascii="Times New Roman" w:hAnsi="Times New Roman" w:cs="Times New Roman"/>
          <w:kern w:val="2"/>
          <w:sz w:val="24"/>
          <w:szCs w:val="24"/>
          <w:lang w:val="bg-BG"/>
          <w14:ligatures w14:val="standardContextual"/>
        </w:rPr>
        <w:t xml:space="preserve">, като за довършването им се осигури финансиране от ПОС 2021-2027 г. Данните за изпълнението на фазираните проекти са както следва: от първоначално договорени 391 млн. евро принос от ЕС се усвоиха 164 млн. евро принос от ЕС, оставящи свободни 58%. Единствено прехвърлянето на суми между приоритетните оси и договарянето над бюджета на програмата предотвратиха значителни загуби на средства от фондовете на ЕС. </w:t>
      </w:r>
    </w:p>
    <w:p w14:paraId="1DFB09E1" w14:textId="79B8A3D3" w:rsidR="00216090" w:rsidRPr="00435274" w:rsidRDefault="00216090"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435274">
        <w:rPr>
          <w:rFonts w:ascii="Times New Roman" w:hAnsi="Times New Roman" w:cs="Times New Roman"/>
          <w:kern w:val="2"/>
          <w:sz w:val="24"/>
          <w:szCs w:val="24"/>
          <w:lang w:val="bg-BG"/>
          <w14:ligatures w14:val="standardContextual"/>
        </w:rPr>
        <w:t xml:space="preserve">Предвид актуалните данни за статуса на провежданите обществените поръчки на финансираните от ПОС 2021-2027 г. ВиК проекти, УО няма основания да очаква по-различно изпълнение на проектните дейности по </w:t>
      </w:r>
      <w:r w:rsidR="007D1212" w:rsidRPr="00435274">
        <w:rPr>
          <w:rFonts w:ascii="Times New Roman" w:hAnsi="Times New Roman" w:cs="Times New Roman"/>
          <w:kern w:val="2"/>
          <w:sz w:val="24"/>
          <w:szCs w:val="24"/>
          <w:lang w:val="bg-BG"/>
          <w14:ligatures w14:val="standardContextual"/>
        </w:rPr>
        <w:t xml:space="preserve">Приоритет </w:t>
      </w:r>
      <w:r w:rsidRPr="00435274">
        <w:rPr>
          <w:rFonts w:ascii="Times New Roman" w:hAnsi="Times New Roman" w:cs="Times New Roman"/>
          <w:kern w:val="2"/>
          <w:sz w:val="24"/>
          <w:szCs w:val="24"/>
          <w:lang w:val="bg-BG"/>
          <w14:ligatures w14:val="standardContextual"/>
        </w:rPr>
        <w:t xml:space="preserve">1 „Води“. </w:t>
      </w:r>
    </w:p>
    <w:p w14:paraId="17708AEA" w14:textId="6CFFC069" w:rsidR="00216090" w:rsidRDefault="00216090"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435274">
        <w:rPr>
          <w:rFonts w:ascii="Times New Roman" w:hAnsi="Times New Roman" w:cs="Times New Roman"/>
          <w:kern w:val="2"/>
          <w:sz w:val="24"/>
          <w:szCs w:val="24"/>
          <w:lang w:val="bg-BG"/>
          <w14:ligatures w14:val="standardContextual"/>
        </w:rPr>
        <w:t xml:space="preserve">В периода 13 януари – 10 февруари 2025 г. бяха сключени 7 бр. договори за предоставяне на </w:t>
      </w:r>
      <w:r w:rsidR="007D1212">
        <w:rPr>
          <w:rFonts w:ascii="Times New Roman" w:hAnsi="Times New Roman" w:cs="Times New Roman"/>
          <w:kern w:val="2"/>
          <w:sz w:val="24"/>
          <w:szCs w:val="24"/>
          <w:lang w:val="bg-BG"/>
          <w14:ligatures w14:val="standardContextual"/>
        </w:rPr>
        <w:t>безвъзмездна финансова помощ (</w:t>
      </w:r>
      <w:r w:rsidRPr="00435274">
        <w:rPr>
          <w:rFonts w:ascii="Times New Roman" w:hAnsi="Times New Roman" w:cs="Times New Roman"/>
          <w:kern w:val="2"/>
          <w:sz w:val="24"/>
          <w:szCs w:val="24"/>
          <w:lang w:val="bg-BG"/>
          <w14:ligatures w14:val="standardContextual"/>
        </w:rPr>
        <w:t>БФП</w:t>
      </w:r>
      <w:r w:rsidR="007D1212">
        <w:rPr>
          <w:rFonts w:ascii="Times New Roman" w:hAnsi="Times New Roman" w:cs="Times New Roman"/>
          <w:kern w:val="2"/>
          <w:sz w:val="24"/>
          <w:szCs w:val="24"/>
          <w:lang w:val="bg-BG"/>
          <w14:ligatures w14:val="standardContextual"/>
        </w:rPr>
        <w:t>)</w:t>
      </w:r>
      <w:r w:rsidRPr="00435274">
        <w:rPr>
          <w:rFonts w:ascii="Times New Roman" w:hAnsi="Times New Roman" w:cs="Times New Roman"/>
          <w:kern w:val="2"/>
          <w:sz w:val="24"/>
          <w:szCs w:val="24"/>
          <w:lang w:val="bg-BG"/>
          <w14:ligatures w14:val="standardContextual"/>
        </w:rPr>
        <w:t xml:space="preserve"> за 331 млн. евро принос от ЕС за изграждане на ВиК инфраструктура за 7 ВиК оператора. След първоначално обявяване на всички планирани обществени поръчки в периода октомври 2024 – януари 2025 г., в рамките на месец януари 2025 г. почти всички обществени поръчки за СМР/инженеринг бяха прекратени. Докато част от прекратените обществени поръчки бяха обявени повторно, то немалка част все още не са. Предвижда се по проектите да бъдат сключени общо 57 бр. договори за строителство/инженеринг. До момента са сключени</w:t>
      </w:r>
      <w:r>
        <w:rPr>
          <w:rFonts w:ascii="Times New Roman" w:hAnsi="Times New Roman" w:cs="Times New Roman"/>
          <w:kern w:val="2"/>
          <w:sz w:val="24"/>
          <w:szCs w:val="24"/>
          <w:lang w:val="bg-BG"/>
          <w14:ligatures w14:val="standardContextual"/>
        </w:rPr>
        <w:t xml:space="preserve"> </w:t>
      </w:r>
      <w:r w:rsidRPr="00435274">
        <w:rPr>
          <w:rFonts w:ascii="Times New Roman" w:hAnsi="Times New Roman" w:cs="Times New Roman"/>
          <w:kern w:val="2"/>
          <w:sz w:val="24"/>
          <w:szCs w:val="24"/>
          <w:lang w:val="bg-BG"/>
          <w14:ligatures w14:val="standardContextual"/>
        </w:rPr>
        <w:t xml:space="preserve">5 бр., избрани са изпълнители за 16 бр., 2 бр. са в оценка, 11 бр. са в срок за подаване на оферти от кандидатите, а за изпълнението на цели 23 бр. договори с изпълнители обществените поръчки не са обявени. От гледна точка </w:t>
      </w:r>
      <w:r w:rsidR="00F75616">
        <w:rPr>
          <w:rFonts w:ascii="Times New Roman" w:hAnsi="Times New Roman" w:cs="Times New Roman"/>
          <w:kern w:val="2"/>
          <w:sz w:val="24"/>
          <w:szCs w:val="24"/>
          <w:lang w:val="bg-BG"/>
          <w14:ligatures w14:val="standardContextual"/>
        </w:rPr>
        <w:t xml:space="preserve">на </w:t>
      </w:r>
      <w:r w:rsidRPr="00435274">
        <w:rPr>
          <w:rFonts w:ascii="Times New Roman" w:hAnsi="Times New Roman" w:cs="Times New Roman"/>
          <w:kern w:val="2"/>
          <w:sz w:val="24"/>
          <w:szCs w:val="24"/>
          <w:lang w:val="bg-BG"/>
          <w14:ligatures w14:val="standardContextual"/>
        </w:rPr>
        <w:t>финансов</w:t>
      </w:r>
      <w:r w:rsidR="00F75616">
        <w:rPr>
          <w:rFonts w:ascii="Times New Roman" w:hAnsi="Times New Roman" w:cs="Times New Roman"/>
          <w:kern w:val="2"/>
          <w:sz w:val="24"/>
          <w:szCs w:val="24"/>
          <w:lang w:val="bg-BG"/>
          <w14:ligatures w14:val="standardContextual"/>
        </w:rPr>
        <w:t>ия</w:t>
      </w:r>
      <w:r w:rsidRPr="00435274">
        <w:rPr>
          <w:rFonts w:ascii="Times New Roman" w:hAnsi="Times New Roman" w:cs="Times New Roman"/>
          <w:kern w:val="2"/>
          <w:sz w:val="24"/>
          <w:szCs w:val="24"/>
          <w:lang w:val="bg-BG"/>
          <w14:ligatures w14:val="standardContextual"/>
        </w:rPr>
        <w:t xml:space="preserve"> ресурс</w:t>
      </w:r>
      <w:r w:rsidR="00F75616">
        <w:rPr>
          <w:rFonts w:ascii="Times New Roman" w:hAnsi="Times New Roman" w:cs="Times New Roman"/>
          <w:kern w:val="2"/>
          <w:sz w:val="24"/>
          <w:szCs w:val="24"/>
          <w:lang w:val="bg-BG"/>
          <w14:ligatures w14:val="standardContextual"/>
        </w:rPr>
        <w:t>,</w:t>
      </w:r>
      <w:r w:rsidRPr="00435274">
        <w:rPr>
          <w:rFonts w:ascii="Times New Roman" w:hAnsi="Times New Roman" w:cs="Times New Roman"/>
          <w:kern w:val="2"/>
          <w:sz w:val="24"/>
          <w:szCs w:val="24"/>
          <w:lang w:val="bg-BG"/>
          <w14:ligatures w14:val="standardContextual"/>
        </w:rPr>
        <w:t xml:space="preserve"> ситуацията с обществените поръчки на ВиК операторите е представена таблично, както следва (данните представят приноса от ЕС):</w:t>
      </w:r>
    </w:p>
    <w:p w14:paraId="1D19E098" w14:textId="26E0C19E" w:rsidR="00435274" w:rsidRDefault="00435274" w:rsidP="00216090">
      <w:pPr>
        <w:spacing w:after="0" w:line="240" w:lineRule="auto"/>
        <w:ind w:firstLine="360"/>
        <w:jc w:val="both"/>
        <w:rPr>
          <w:rFonts w:ascii="Times New Roman" w:hAnsi="Times New Roman" w:cs="Times New Roman"/>
          <w:kern w:val="2"/>
          <w:sz w:val="24"/>
          <w:szCs w:val="24"/>
          <w:lang w:val="bg-BG"/>
          <w14:ligatures w14:val="standardContextual"/>
        </w:rPr>
      </w:pPr>
      <w:r w:rsidRPr="00435274">
        <w:rPr>
          <w:rFonts w:ascii="Times New Roman" w:hAnsi="Times New Roman" w:cs="Times New Roman"/>
          <w:kern w:val="2"/>
          <w:sz w:val="24"/>
          <w:szCs w:val="24"/>
          <w:lang w:val="bg-BG"/>
          <w14:ligatures w14:val="standardContextual"/>
        </w:rPr>
        <w:t xml:space="preserve"> </w:t>
      </w:r>
    </w:p>
    <w:p w14:paraId="7BC5943C" w14:textId="6FEB1E72" w:rsidR="00216090" w:rsidRDefault="00216090" w:rsidP="001A7B7D">
      <w:pPr>
        <w:spacing w:after="0" w:line="240" w:lineRule="auto"/>
        <w:ind w:firstLine="708"/>
        <w:jc w:val="both"/>
        <w:rPr>
          <w:rFonts w:ascii="Times New Roman" w:hAnsi="Times New Roman" w:cs="Times New Roman"/>
          <w:kern w:val="2"/>
          <w:sz w:val="24"/>
          <w:szCs w:val="24"/>
          <w:lang w:val="bg-BG"/>
          <w14:ligatures w14:val="standardContextual"/>
        </w:rPr>
      </w:pPr>
      <w:r>
        <w:rPr>
          <w:rFonts w:ascii="Times New Roman" w:hAnsi="Times New Roman" w:cs="Times New Roman"/>
          <w:kern w:val="2"/>
          <w:sz w:val="24"/>
          <w:szCs w:val="24"/>
          <w:lang w:val="bg-BG"/>
          <w14:ligatures w14:val="standardContextual"/>
        </w:rPr>
        <w:lastRenderedPageBreak/>
        <w:t>Таблица 3. Статус на провежданите обществени поръчки от ВиК операторите</w:t>
      </w:r>
      <w:r w:rsidR="0021604B">
        <w:rPr>
          <w:rFonts w:ascii="Times New Roman" w:hAnsi="Times New Roman" w:cs="Times New Roman"/>
          <w:kern w:val="2"/>
          <w:sz w:val="24"/>
          <w:szCs w:val="24"/>
          <w:lang w:val="bg-BG"/>
          <w14:ligatures w14:val="standardContextual"/>
        </w:rPr>
        <w:t>:</w:t>
      </w:r>
    </w:p>
    <w:p w14:paraId="002F627E" w14:textId="0B8EAE68" w:rsidR="00216090" w:rsidRDefault="00216090" w:rsidP="00216090">
      <w:pPr>
        <w:spacing w:after="0" w:line="240" w:lineRule="auto"/>
        <w:ind w:firstLine="360"/>
        <w:jc w:val="both"/>
        <w:rPr>
          <w:rFonts w:ascii="Times New Roman" w:hAnsi="Times New Roman" w:cs="Times New Roman"/>
          <w:kern w:val="2"/>
          <w:sz w:val="24"/>
          <w:szCs w:val="24"/>
          <w:lang w:val="bg-BG"/>
          <w14:ligatures w14:val="standardContextual"/>
        </w:rPr>
      </w:pPr>
      <w:r>
        <w:rPr>
          <w:rFonts w:ascii="Times New Roman" w:hAnsi="Times New Roman" w:cs="Times New Roman"/>
          <w:kern w:val="2"/>
          <w:sz w:val="24"/>
          <w:szCs w:val="24"/>
          <w:lang w:val="bg-BG"/>
          <w14:ligatures w14:val="standardContextual"/>
        </w:rPr>
        <w:t xml:space="preserve"> </w:t>
      </w:r>
      <w:r w:rsidRPr="00435274">
        <w:rPr>
          <w:rFonts w:ascii="Times New Roman" w:hAnsi="Times New Roman" w:cs="Times New Roman"/>
          <w:kern w:val="2"/>
          <w:sz w:val="24"/>
          <w:szCs w:val="24"/>
          <w:lang w:val="bg-BG"/>
          <w14:ligatures w14:val="standardContextual"/>
        </w:rPr>
        <w:t xml:space="preserve"> </w:t>
      </w:r>
    </w:p>
    <w:p w14:paraId="0B0CD7D8" w14:textId="4E457AC5" w:rsidR="006B45F0" w:rsidRPr="00435274" w:rsidRDefault="00216090" w:rsidP="00EC41A3">
      <w:pPr>
        <w:spacing w:after="0" w:line="240" w:lineRule="auto"/>
        <w:ind w:firstLine="360"/>
        <w:jc w:val="center"/>
        <w:rPr>
          <w:rFonts w:ascii="Times New Roman" w:hAnsi="Times New Roman" w:cs="Times New Roman"/>
          <w:kern w:val="2"/>
          <w:sz w:val="24"/>
          <w:szCs w:val="24"/>
          <w:lang w:val="bg-BG"/>
          <w14:ligatures w14:val="standardContextual"/>
        </w:rPr>
      </w:pPr>
      <w:r w:rsidRPr="00A70F62">
        <w:rPr>
          <w:noProof/>
        </w:rPr>
        <w:drawing>
          <wp:inline distT="0" distB="0" distL="0" distR="0" wp14:anchorId="5A83BFF1" wp14:editId="0B675B5E">
            <wp:extent cx="5184476" cy="1405890"/>
            <wp:effectExtent l="0" t="0" r="0" b="3810"/>
            <wp:docPr id="1184828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5975" cy="1406297"/>
                    </a:xfrm>
                    <a:prstGeom prst="rect">
                      <a:avLst/>
                    </a:prstGeom>
                    <a:noFill/>
                    <a:ln>
                      <a:noFill/>
                    </a:ln>
                  </pic:spPr>
                </pic:pic>
              </a:graphicData>
            </a:graphic>
          </wp:inline>
        </w:drawing>
      </w:r>
    </w:p>
    <w:p w14:paraId="4A30DDE2" w14:textId="77777777" w:rsidR="00112874" w:rsidRDefault="00112874" w:rsidP="00BE674A">
      <w:pPr>
        <w:spacing w:after="0" w:line="240" w:lineRule="auto"/>
        <w:jc w:val="both"/>
        <w:rPr>
          <w:rFonts w:ascii="Times New Roman" w:hAnsi="Times New Roman" w:cs="Times New Roman"/>
          <w:kern w:val="2"/>
          <w:sz w:val="24"/>
          <w:szCs w:val="24"/>
          <w:lang w:val="bg-BG"/>
          <w14:ligatures w14:val="standardContextual"/>
        </w:rPr>
      </w:pPr>
    </w:p>
    <w:p w14:paraId="7B6A8EA1" w14:textId="2825B24F" w:rsidR="00C37691" w:rsidRPr="00C37691" w:rsidRDefault="00C37691"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C37691">
        <w:rPr>
          <w:rFonts w:ascii="Times New Roman" w:hAnsi="Times New Roman" w:cs="Times New Roman"/>
          <w:kern w:val="2"/>
          <w:sz w:val="24"/>
          <w:szCs w:val="24"/>
          <w:lang w:val="bg-BG"/>
          <w14:ligatures w14:val="standardContextual"/>
        </w:rPr>
        <w:t>Анализът на данните на изпълнените инфраструктурни проекти в сектор „Води“ по ОПОС 2014-2020 г., както и актуалният статус на обществени поръчки за избор на изпълнители за основни дейности на ВиК проектите по ПОС 2021-2027 г., ясно показват необходимостта от своевременна реакция от страна на УО</w:t>
      </w:r>
      <w:r w:rsidR="00952297">
        <w:rPr>
          <w:rFonts w:ascii="Times New Roman" w:hAnsi="Times New Roman" w:cs="Times New Roman"/>
          <w:kern w:val="2"/>
          <w:sz w:val="24"/>
          <w:szCs w:val="24"/>
          <w:lang w:val="bg-BG"/>
          <w14:ligatures w14:val="standardContextual"/>
        </w:rPr>
        <w:t>,</w:t>
      </w:r>
      <w:r w:rsidRPr="00C37691">
        <w:rPr>
          <w:rFonts w:ascii="Times New Roman" w:hAnsi="Times New Roman" w:cs="Times New Roman"/>
          <w:kern w:val="2"/>
          <w:sz w:val="24"/>
          <w:szCs w:val="24"/>
          <w:lang w:val="bg-BG"/>
          <w14:ligatures w14:val="standardContextual"/>
        </w:rPr>
        <w:t xml:space="preserve"> с цел минимизиране на евентуалния риск от загуба на средства от фондовете на ЕС в края на програмния период. </w:t>
      </w:r>
    </w:p>
    <w:p w14:paraId="41EEAD06" w14:textId="0C6C66AD" w:rsidR="00C37691" w:rsidRPr="00C37691" w:rsidRDefault="00C37691" w:rsidP="001A7B7D">
      <w:pPr>
        <w:spacing w:after="0" w:line="240" w:lineRule="auto"/>
        <w:ind w:firstLine="708"/>
        <w:jc w:val="both"/>
        <w:rPr>
          <w:rFonts w:ascii="Times New Roman" w:hAnsi="Times New Roman" w:cs="Times New Roman"/>
          <w:kern w:val="2"/>
          <w:sz w:val="24"/>
          <w:szCs w:val="24"/>
          <w:lang w:val="bg-BG"/>
          <w14:ligatures w14:val="standardContextual"/>
        </w:rPr>
      </w:pPr>
      <w:bookmarkStart w:id="2" w:name="_Hlk216348914"/>
      <w:r w:rsidRPr="00C37691">
        <w:rPr>
          <w:rFonts w:ascii="Times New Roman" w:hAnsi="Times New Roman" w:cs="Times New Roman"/>
          <w:kern w:val="2"/>
          <w:sz w:val="24"/>
          <w:szCs w:val="24"/>
          <w:lang w:val="bg-BG"/>
          <w14:ligatures w14:val="standardContextual"/>
        </w:rPr>
        <w:t xml:space="preserve">По отношение на </w:t>
      </w:r>
      <w:r w:rsidR="00952297"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 xml:space="preserve">2 „Отпадъци“ и </w:t>
      </w:r>
      <w:r w:rsidR="00952297"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5 „Въздух“ на ПОС</w:t>
      </w:r>
      <w:r w:rsidR="00952297">
        <w:rPr>
          <w:rFonts w:ascii="Times New Roman" w:hAnsi="Times New Roman" w:cs="Times New Roman"/>
          <w:kern w:val="2"/>
          <w:sz w:val="24"/>
          <w:szCs w:val="24"/>
          <w:lang w:val="bg-BG"/>
          <w14:ligatures w14:val="standardContextual"/>
        </w:rPr>
        <w:t xml:space="preserve"> 2021-2027 г.</w:t>
      </w:r>
      <w:r w:rsidRPr="00C37691">
        <w:rPr>
          <w:rFonts w:ascii="Times New Roman" w:hAnsi="Times New Roman" w:cs="Times New Roman"/>
          <w:kern w:val="2"/>
          <w:sz w:val="24"/>
          <w:szCs w:val="24"/>
          <w:lang w:val="bg-BG"/>
          <w14:ligatures w14:val="standardContextual"/>
        </w:rPr>
        <w:t xml:space="preserve">, от които УО предлага прехвърляне на суми в новия специален </w:t>
      </w:r>
      <w:r w:rsidR="00E64DFB"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7 „Устойчивост на водите“, следва да се има предвид, че УО проявява достатъчна предпазливост като не предлага трансфер на цялата изчислена очаквана икономия от изпълнението на проектите</w:t>
      </w:r>
      <w:bookmarkEnd w:id="2"/>
      <w:r w:rsidRPr="00C37691">
        <w:rPr>
          <w:rFonts w:ascii="Times New Roman" w:hAnsi="Times New Roman" w:cs="Times New Roman"/>
          <w:kern w:val="2"/>
          <w:sz w:val="24"/>
          <w:szCs w:val="24"/>
          <w:lang w:val="bg-BG"/>
          <w14:ligatures w14:val="standardContextual"/>
        </w:rPr>
        <w:t xml:space="preserve">, което е видно от представените данни в </w:t>
      </w:r>
      <w:r w:rsidR="002A54E2">
        <w:rPr>
          <w:rFonts w:ascii="Times New Roman" w:hAnsi="Times New Roman" w:cs="Times New Roman"/>
          <w:kern w:val="2"/>
          <w:sz w:val="24"/>
          <w:szCs w:val="24"/>
          <w:lang w:val="bg-BG"/>
          <w14:ligatures w14:val="standardContextual"/>
        </w:rPr>
        <w:t>„</w:t>
      </w:r>
      <w:r w:rsidRPr="00C37691">
        <w:rPr>
          <w:rFonts w:ascii="Times New Roman" w:hAnsi="Times New Roman" w:cs="Times New Roman"/>
          <w:kern w:val="2"/>
          <w:sz w:val="24"/>
          <w:szCs w:val="24"/>
          <w:lang w:val="bg-BG"/>
          <w14:ligatures w14:val="standardContextual"/>
        </w:rPr>
        <w:t>Таблица 5. Прехвърляне на суми в нов приоритет по ПОС 2021-2027 г.</w:t>
      </w:r>
      <w:r w:rsidR="002A54E2">
        <w:rPr>
          <w:rFonts w:ascii="Times New Roman" w:hAnsi="Times New Roman" w:cs="Times New Roman"/>
          <w:kern w:val="2"/>
          <w:sz w:val="24"/>
          <w:szCs w:val="24"/>
          <w:lang w:val="bg-BG"/>
          <w14:ligatures w14:val="standardContextual"/>
        </w:rPr>
        <w:t>“.</w:t>
      </w:r>
      <w:r w:rsidRPr="00C37691">
        <w:rPr>
          <w:rFonts w:ascii="Times New Roman" w:hAnsi="Times New Roman" w:cs="Times New Roman"/>
          <w:kern w:val="2"/>
          <w:sz w:val="24"/>
          <w:szCs w:val="24"/>
          <w:lang w:val="bg-BG"/>
          <w14:ligatures w14:val="standardContextual"/>
        </w:rPr>
        <w:t xml:space="preserve"> Независимо от прогнозите за по-големи икономии по </w:t>
      </w:r>
      <w:r w:rsidR="00E64DFB"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 xml:space="preserve">2 „Отпадъци“ и </w:t>
      </w:r>
      <w:r w:rsidR="00E64DFB"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 xml:space="preserve">5 „Въздух“, с цел да се оставят достатъчни буфери, в случай на по-голямо усвояване от очакваното, с настоящото предложение за изменение УО предлага прехвърляне на част от оставащите суми на посочените приоритети. В допълнение, по </w:t>
      </w:r>
      <w:r w:rsidR="00E64DFB"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 xml:space="preserve">5 „Въздух“ е важно да се отбележи, че процесът на договаряне на БФП предстои да приключи. В оценка и в процес на договаряне са 7 бр. проектни предложения, очаква се представянето на още 2 бр., с които договарянето по приоритета може да достигне максимум 93% от настоящия бюджет. В ИГРП за 2025 г. и за 2026 г. не са планирани други процедури по </w:t>
      </w:r>
      <w:r w:rsidR="00E64DFB"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5 „Въздух“, следователно още отсега е видно</w:t>
      </w:r>
      <w:r w:rsidR="00285ACE" w:rsidRPr="00895ED8">
        <w:rPr>
          <w:rFonts w:ascii="Times New Roman" w:hAnsi="Times New Roman" w:cs="Times New Roman"/>
          <w:kern w:val="2"/>
          <w:sz w:val="24"/>
          <w:szCs w:val="24"/>
          <w:lang w:val="bg-BG"/>
          <w14:ligatures w14:val="standardContextual"/>
        </w:rPr>
        <w:t>,</w:t>
      </w:r>
      <w:r w:rsidRPr="00C37691">
        <w:rPr>
          <w:rFonts w:ascii="Times New Roman" w:hAnsi="Times New Roman" w:cs="Times New Roman"/>
          <w:kern w:val="2"/>
          <w:sz w:val="24"/>
          <w:szCs w:val="24"/>
          <w:lang w:val="bg-BG"/>
          <w14:ligatures w14:val="standardContextual"/>
        </w:rPr>
        <w:t xml:space="preserve"> че остават 7% от бюджета на приоритета. С настоящото предложение за изменение УО предлага прехвърляне на малко над 10% от настоящия бюджет на приоритета. На практика по-голямата част от сумата за прехвърляне произтича от вече реализирана икономия още на етап договаряне, а едва 3% от бюджета се прехвърля за сметка на очаквани икономии от изпълнението на договорените проекти. </w:t>
      </w:r>
    </w:p>
    <w:p w14:paraId="7C70A6CD" w14:textId="5D06AD5B" w:rsidR="00C37691" w:rsidRPr="00C37691" w:rsidRDefault="00C37691"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C37691">
        <w:rPr>
          <w:rFonts w:ascii="Times New Roman" w:hAnsi="Times New Roman" w:cs="Times New Roman"/>
          <w:kern w:val="2"/>
          <w:sz w:val="24"/>
          <w:szCs w:val="24"/>
          <w:lang w:val="bg-BG"/>
          <w14:ligatures w14:val="standardContextual"/>
        </w:rPr>
        <w:t xml:space="preserve">По отношение на </w:t>
      </w:r>
      <w:r w:rsidR="00E64DFB"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 xml:space="preserve">2 „Отпадъци“, данните от представената по-горе Таблица 2 за реализираните икономии от приключили процедури достатъчно ясно илюстрират интереса от страна на потенциалните бенефициенти. Въпреки значителните икономии, поради това че са планирани още процедури за обявяване в ИГРП </w:t>
      </w:r>
      <w:r w:rsidR="001061BF">
        <w:rPr>
          <w:rFonts w:ascii="Times New Roman" w:hAnsi="Times New Roman" w:cs="Times New Roman"/>
          <w:kern w:val="2"/>
          <w:sz w:val="24"/>
          <w:szCs w:val="24"/>
          <w:lang w:val="bg-BG"/>
          <w14:ligatures w14:val="standardContextual"/>
        </w:rPr>
        <w:t xml:space="preserve">за </w:t>
      </w:r>
      <w:r w:rsidRPr="00C37691">
        <w:rPr>
          <w:rFonts w:ascii="Times New Roman" w:hAnsi="Times New Roman" w:cs="Times New Roman"/>
          <w:kern w:val="2"/>
          <w:sz w:val="24"/>
          <w:szCs w:val="24"/>
          <w:lang w:val="bg-BG"/>
          <w14:ligatures w14:val="standardContextual"/>
        </w:rPr>
        <w:t>2025</w:t>
      </w:r>
      <w:r w:rsidR="001061BF">
        <w:rPr>
          <w:rFonts w:ascii="Times New Roman" w:hAnsi="Times New Roman" w:cs="Times New Roman"/>
          <w:kern w:val="2"/>
          <w:sz w:val="24"/>
          <w:szCs w:val="24"/>
          <w:lang w:val="bg-BG"/>
          <w14:ligatures w14:val="standardContextual"/>
        </w:rPr>
        <w:t xml:space="preserve"> г.</w:t>
      </w:r>
      <w:r w:rsidRPr="00C37691">
        <w:rPr>
          <w:rFonts w:ascii="Times New Roman" w:hAnsi="Times New Roman" w:cs="Times New Roman"/>
          <w:kern w:val="2"/>
          <w:sz w:val="24"/>
          <w:szCs w:val="24"/>
          <w:lang w:val="bg-BG"/>
          <w14:ligatures w14:val="standardContextual"/>
        </w:rPr>
        <w:t xml:space="preserve"> и ИГРП </w:t>
      </w:r>
      <w:r w:rsidR="001061BF">
        <w:rPr>
          <w:rFonts w:ascii="Times New Roman" w:hAnsi="Times New Roman" w:cs="Times New Roman"/>
          <w:kern w:val="2"/>
          <w:sz w:val="24"/>
          <w:szCs w:val="24"/>
          <w:lang w:val="bg-BG"/>
          <w14:ligatures w14:val="standardContextual"/>
        </w:rPr>
        <w:t xml:space="preserve">за </w:t>
      </w:r>
      <w:r w:rsidRPr="00C37691">
        <w:rPr>
          <w:rFonts w:ascii="Times New Roman" w:hAnsi="Times New Roman" w:cs="Times New Roman"/>
          <w:kern w:val="2"/>
          <w:sz w:val="24"/>
          <w:szCs w:val="24"/>
          <w:lang w:val="bg-BG"/>
          <w14:ligatures w14:val="standardContextual"/>
        </w:rPr>
        <w:t>2026</w:t>
      </w:r>
      <w:r w:rsidR="001061BF">
        <w:rPr>
          <w:rFonts w:ascii="Times New Roman" w:hAnsi="Times New Roman" w:cs="Times New Roman"/>
          <w:kern w:val="2"/>
          <w:sz w:val="24"/>
          <w:szCs w:val="24"/>
          <w:lang w:val="bg-BG"/>
          <w14:ligatures w14:val="standardContextual"/>
        </w:rPr>
        <w:t xml:space="preserve"> г.</w:t>
      </w:r>
      <w:r w:rsidRPr="00C37691">
        <w:rPr>
          <w:rFonts w:ascii="Times New Roman" w:hAnsi="Times New Roman" w:cs="Times New Roman"/>
          <w:kern w:val="2"/>
          <w:sz w:val="24"/>
          <w:szCs w:val="24"/>
          <w:lang w:val="bg-BG"/>
          <w14:ligatures w14:val="standardContextual"/>
        </w:rPr>
        <w:t>, на този етап УО предлага за трансфер към новия специален приоритет малко над 16% от настоящия бюджет. Предвид че към момента са договорени едва 27% от бюджета на приоритета, по-детайлен анализ на очакваното изпълнение и евентуалните икономии е възможно да бъде изготвен едва след представяне на проектни предложения по предстоящите процедури.</w:t>
      </w:r>
    </w:p>
    <w:p w14:paraId="08BC0EB2" w14:textId="1783D864" w:rsidR="00C37691" w:rsidRPr="00C37691" w:rsidRDefault="00C37691" w:rsidP="001A7B7D">
      <w:pPr>
        <w:spacing w:after="0" w:line="240" w:lineRule="auto"/>
        <w:ind w:firstLine="708"/>
        <w:jc w:val="both"/>
        <w:rPr>
          <w:rFonts w:ascii="Times New Roman" w:hAnsi="Times New Roman" w:cs="Times New Roman"/>
          <w:kern w:val="2"/>
          <w:sz w:val="24"/>
          <w:szCs w:val="24"/>
          <w:lang w:val="bg-BG"/>
          <w14:ligatures w14:val="standardContextual"/>
        </w:rPr>
      </w:pPr>
      <w:r w:rsidRPr="00C37691">
        <w:rPr>
          <w:rFonts w:ascii="Times New Roman" w:hAnsi="Times New Roman" w:cs="Times New Roman"/>
          <w:kern w:val="2"/>
          <w:sz w:val="24"/>
          <w:szCs w:val="24"/>
          <w:lang w:val="bg-BG"/>
          <w14:ligatures w14:val="standardContextual"/>
        </w:rPr>
        <w:t>Настоящото предложение за изменение на програмата не засяга останалите приоритети на ПОС</w:t>
      </w:r>
      <w:r w:rsidR="004F5ED2">
        <w:rPr>
          <w:rFonts w:ascii="Times New Roman" w:hAnsi="Times New Roman" w:cs="Times New Roman"/>
          <w:kern w:val="2"/>
          <w:sz w:val="24"/>
          <w:szCs w:val="24"/>
          <w:lang w:val="bg-BG"/>
          <w14:ligatures w14:val="standardContextual"/>
        </w:rPr>
        <w:t xml:space="preserve"> 2021-2027 г.</w:t>
      </w:r>
      <w:r w:rsidRPr="00C37691">
        <w:rPr>
          <w:rFonts w:ascii="Times New Roman" w:hAnsi="Times New Roman" w:cs="Times New Roman"/>
          <w:kern w:val="2"/>
          <w:sz w:val="24"/>
          <w:szCs w:val="24"/>
          <w:lang w:val="bg-BG"/>
          <w14:ligatures w14:val="standardContextual"/>
        </w:rPr>
        <w:t>, тъй като от една страна по тях към момента не е установена тенденция за реализиране на съществени икономии на етап кандидатстване и изпълнение, а от друга – предстои обявяване на значителен брой процедури за кандидатстване</w:t>
      </w:r>
      <w:r w:rsidR="004F5ED2">
        <w:rPr>
          <w:rFonts w:ascii="Times New Roman" w:hAnsi="Times New Roman" w:cs="Times New Roman"/>
          <w:kern w:val="2"/>
          <w:sz w:val="24"/>
          <w:szCs w:val="24"/>
          <w:lang w:val="bg-BG"/>
          <w14:ligatures w14:val="standardContextual"/>
        </w:rPr>
        <w:t>, включени</w:t>
      </w:r>
      <w:r w:rsidRPr="00C37691">
        <w:rPr>
          <w:rFonts w:ascii="Times New Roman" w:hAnsi="Times New Roman" w:cs="Times New Roman"/>
          <w:kern w:val="2"/>
          <w:sz w:val="24"/>
          <w:szCs w:val="24"/>
          <w:lang w:val="bg-BG"/>
          <w14:ligatures w14:val="standardContextual"/>
        </w:rPr>
        <w:t xml:space="preserve"> в ИГРП </w:t>
      </w:r>
      <w:r w:rsidR="004F5ED2">
        <w:rPr>
          <w:rFonts w:ascii="Times New Roman" w:hAnsi="Times New Roman" w:cs="Times New Roman"/>
          <w:kern w:val="2"/>
          <w:sz w:val="24"/>
          <w:szCs w:val="24"/>
          <w:lang w:val="bg-BG"/>
          <w14:ligatures w14:val="standardContextual"/>
        </w:rPr>
        <w:t xml:space="preserve">за </w:t>
      </w:r>
      <w:r w:rsidRPr="00C37691">
        <w:rPr>
          <w:rFonts w:ascii="Times New Roman" w:hAnsi="Times New Roman" w:cs="Times New Roman"/>
          <w:kern w:val="2"/>
          <w:sz w:val="24"/>
          <w:szCs w:val="24"/>
          <w:lang w:val="bg-BG"/>
          <w14:ligatures w14:val="standardContextual"/>
        </w:rPr>
        <w:lastRenderedPageBreak/>
        <w:t xml:space="preserve">2025 </w:t>
      </w:r>
      <w:r w:rsidR="004F5ED2">
        <w:rPr>
          <w:rFonts w:ascii="Times New Roman" w:hAnsi="Times New Roman" w:cs="Times New Roman"/>
          <w:kern w:val="2"/>
          <w:sz w:val="24"/>
          <w:szCs w:val="24"/>
          <w:lang w:val="bg-BG"/>
          <w14:ligatures w14:val="standardContextual"/>
        </w:rPr>
        <w:t xml:space="preserve">г. </w:t>
      </w:r>
      <w:r w:rsidRPr="00C37691">
        <w:rPr>
          <w:rFonts w:ascii="Times New Roman" w:hAnsi="Times New Roman" w:cs="Times New Roman"/>
          <w:kern w:val="2"/>
          <w:sz w:val="24"/>
          <w:szCs w:val="24"/>
          <w:lang w:val="bg-BG"/>
          <w14:ligatures w14:val="standardContextual"/>
        </w:rPr>
        <w:t xml:space="preserve">и ИГРП </w:t>
      </w:r>
      <w:r w:rsidR="004F5ED2">
        <w:rPr>
          <w:rFonts w:ascii="Times New Roman" w:hAnsi="Times New Roman" w:cs="Times New Roman"/>
          <w:kern w:val="2"/>
          <w:sz w:val="24"/>
          <w:szCs w:val="24"/>
          <w:lang w:val="bg-BG"/>
          <w14:ligatures w14:val="standardContextual"/>
        </w:rPr>
        <w:t xml:space="preserve">за </w:t>
      </w:r>
      <w:r w:rsidRPr="00C37691">
        <w:rPr>
          <w:rFonts w:ascii="Times New Roman" w:hAnsi="Times New Roman" w:cs="Times New Roman"/>
          <w:kern w:val="2"/>
          <w:sz w:val="24"/>
          <w:szCs w:val="24"/>
          <w:lang w:val="bg-BG"/>
          <w14:ligatures w14:val="standardContextual"/>
        </w:rPr>
        <w:t>2026</w:t>
      </w:r>
      <w:r w:rsidR="004F5ED2">
        <w:rPr>
          <w:rFonts w:ascii="Times New Roman" w:hAnsi="Times New Roman" w:cs="Times New Roman"/>
          <w:kern w:val="2"/>
          <w:sz w:val="24"/>
          <w:szCs w:val="24"/>
          <w:lang w:val="bg-BG"/>
          <w14:ligatures w14:val="standardContextual"/>
        </w:rPr>
        <w:t xml:space="preserve"> г.</w:t>
      </w:r>
      <w:r w:rsidRPr="00C37691">
        <w:rPr>
          <w:rFonts w:ascii="Times New Roman" w:hAnsi="Times New Roman" w:cs="Times New Roman"/>
          <w:kern w:val="2"/>
          <w:sz w:val="24"/>
          <w:szCs w:val="24"/>
          <w:lang w:val="bg-BG"/>
          <w14:ligatures w14:val="standardContextual"/>
        </w:rPr>
        <w:t xml:space="preserve"> (особено по </w:t>
      </w:r>
      <w:r w:rsidR="004F5ED2" w:rsidRPr="00C37691">
        <w:rPr>
          <w:rFonts w:ascii="Times New Roman" w:hAnsi="Times New Roman" w:cs="Times New Roman"/>
          <w:kern w:val="2"/>
          <w:sz w:val="24"/>
          <w:szCs w:val="24"/>
          <w:lang w:val="bg-BG"/>
          <w14:ligatures w14:val="standardContextual"/>
        </w:rPr>
        <w:t xml:space="preserve">Приоритет </w:t>
      </w:r>
      <w:r w:rsidRPr="00C37691">
        <w:rPr>
          <w:rFonts w:ascii="Times New Roman" w:hAnsi="Times New Roman" w:cs="Times New Roman"/>
          <w:kern w:val="2"/>
          <w:sz w:val="24"/>
          <w:szCs w:val="24"/>
          <w:lang w:val="bg-BG"/>
          <w14:ligatures w14:val="standardContextual"/>
        </w:rPr>
        <w:t>3 „Биологично разнообразие“ с планирани още 14 бр. процедури). На по-късен етап, след представяне на проектни предложения от кандидатите и договаряне на по-голямата част от бюджета на двата приоритета, УО ще извърши анализ и оценка на потенциала за усвояване и евентуалните икономии.</w:t>
      </w:r>
    </w:p>
    <w:p w14:paraId="3D8C0F50" w14:textId="7DFED114" w:rsidR="00C055CD" w:rsidRDefault="00C37691" w:rsidP="00636FA7">
      <w:pPr>
        <w:spacing w:after="0" w:line="240" w:lineRule="auto"/>
        <w:ind w:firstLine="708"/>
        <w:jc w:val="both"/>
        <w:rPr>
          <w:rFonts w:ascii="Times New Roman" w:hAnsi="Times New Roman" w:cs="Times New Roman"/>
          <w:kern w:val="2"/>
          <w:sz w:val="24"/>
          <w:szCs w:val="24"/>
          <w:lang w:val="bg-BG"/>
          <w14:ligatures w14:val="standardContextual"/>
        </w:rPr>
      </w:pPr>
      <w:r w:rsidRPr="00C37691">
        <w:rPr>
          <w:rFonts w:ascii="Times New Roman" w:hAnsi="Times New Roman" w:cs="Times New Roman"/>
          <w:kern w:val="2"/>
          <w:sz w:val="24"/>
          <w:szCs w:val="24"/>
          <w:lang w:val="bg-BG"/>
          <w14:ligatures w14:val="standardContextual"/>
        </w:rPr>
        <w:t>С оглед необходимостта от правилно планиране и адекватно използване на наличните финансови ресурси, УО анализира възможностите за извършване на допустими разходи и за разходване на предоставеното финансиране, както от страна на настоящите бенефициенти, така и от бъдещите такива. Въз основа на експертна оценка и анализ на напредъка на проектите в изпълнение и на изпълнението на предстоящите административни договори/заповеди за предоставяне на безвъзмездна финансова помощ, статуса на обявените процедури за представяне на проектни предложения, както и въз основа на опита от предходния програмен период УО изготви прогноза за очаквано усвояване и икономии по всеки един приоритет. Данните от извършения анализ са представени в табличен вид по-долу</w:t>
      </w:r>
      <w:r w:rsidR="00223335">
        <w:rPr>
          <w:rFonts w:ascii="Times New Roman" w:hAnsi="Times New Roman" w:cs="Times New Roman"/>
          <w:kern w:val="2"/>
          <w:sz w:val="24"/>
          <w:szCs w:val="24"/>
          <w:lang w:val="bg-BG"/>
          <w14:ligatures w14:val="standardContextual"/>
        </w:rPr>
        <w:t>:</w:t>
      </w:r>
    </w:p>
    <w:p w14:paraId="5BEDEA8E" w14:textId="77777777" w:rsidR="00C055CD" w:rsidRDefault="00C055CD" w:rsidP="00092D66">
      <w:pPr>
        <w:spacing w:after="0" w:line="240" w:lineRule="auto"/>
        <w:ind w:firstLine="360"/>
        <w:jc w:val="both"/>
        <w:rPr>
          <w:rFonts w:ascii="Times New Roman" w:hAnsi="Times New Roman" w:cs="Times New Roman"/>
          <w:kern w:val="2"/>
          <w:sz w:val="24"/>
          <w:szCs w:val="24"/>
          <w:lang w:val="bg-BG"/>
          <w14:ligatures w14:val="standardContextual"/>
        </w:rPr>
      </w:pPr>
    </w:p>
    <w:p w14:paraId="7C710C92" w14:textId="33A7E606" w:rsidR="00EA693E" w:rsidRDefault="00EA693E" w:rsidP="00092D66">
      <w:pPr>
        <w:spacing w:after="0" w:line="240" w:lineRule="auto"/>
        <w:ind w:firstLine="360"/>
        <w:jc w:val="both"/>
        <w:rPr>
          <w:rFonts w:ascii="Times New Roman" w:hAnsi="Times New Roman" w:cs="Times New Roman"/>
          <w:kern w:val="2"/>
          <w:sz w:val="24"/>
          <w:szCs w:val="24"/>
          <w:lang w:val="bg-BG"/>
          <w14:ligatures w14:val="standardContextual"/>
        </w:rPr>
      </w:pPr>
      <w:r w:rsidRPr="00F038BE">
        <w:rPr>
          <w:rFonts w:ascii="Times New Roman" w:hAnsi="Times New Roman" w:cs="Times New Roman"/>
          <w:kern w:val="2"/>
          <w:sz w:val="24"/>
          <w:szCs w:val="24"/>
          <w:lang w:val="bg-BG"/>
          <w14:ligatures w14:val="standardContextual"/>
        </w:rPr>
        <w:t xml:space="preserve">Таблица </w:t>
      </w:r>
      <w:r w:rsidR="00F038BE" w:rsidRPr="00F038BE">
        <w:rPr>
          <w:rFonts w:ascii="Times New Roman" w:hAnsi="Times New Roman" w:cs="Times New Roman"/>
          <w:kern w:val="2"/>
          <w:sz w:val="24"/>
          <w:szCs w:val="24"/>
          <w:lang w:val="bg-BG"/>
          <w14:ligatures w14:val="standardContextual"/>
        </w:rPr>
        <w:t>4</w:t>
      </w:r>
      <w:r w:rsidRPr="00F038BE">
        <w:rPr>
          <w:rFonts w:ascii="Times New Roman" w:hAnsi="Times New Roman" w:cs="Times New Roman"/>
          <w:kern w:val="2"/>
          <w:sz w:val="24"/>
          <w:szCs w:val="24"/>
          <w:lang w:val="bg-BG"/>
          <w14:ligatures w14:val="standardContextual"/>
        </w:rPr>
        <w:t>. Прогноза за очаквано усвояване и оставащ свободен финансов ресурс по ПОС (данните в таблицата представят приноса от ЕС)</w:t>
      </w:r>
      <w:r w:rsidR="00092D66" w:rsidRPr="00F038BE">
        <w:rPr>
          <w:rFonts w:ascii="Times New Roman" w:hAnsi="Times New Roman" w:cs="Times New Roman"/>
          <w:kern w:val="2"/>
          <w:sz w:val="24"/>
          <w:szCs w:val="24"/>
          <w:lang w:val="bg-BG"/>
          <w14:ligatures w14:val="standardContextual"/>
        </w:rPr>
        <w:t>:</w:t>
      </w:r>
      <w:r w:rsidR="00092D66">
        <w:rPr>
          <w:rFonts w:ascii="Times New Roman" w:hAnsi="Times New Roman" w:cs="Times New Roman"/>
          <w:kern w:val="2"/>
          <w:sz w:val="24"/>
          <w:szCs w:val="24"/>
          <w:lang w:val="bg-BG"/>
          <w14:ligatures w14:val="standardContextual"/>
        </w:rPr>
        <w:t xml:space="preserve"> </w:t>
      </w:r>
    </w:p>
    <w:p w14:paraId="3FF4FC79" w14:textId="77777777" w:rsidR="0056142A" w:rsidRDefault="0056142A" w:rsidP="00092D66">
      <w:pPr>
        <w:spacing w:after="0" w:line="240" w:lineRule="auto"/>
        <w:ind w:firstLine="360"/>
        <w:jc w:val="both"/>
        <w:rPr>
          <w:rFonts w:ascii="Times New Roman" w:hAnsi="Times New Roman" w:cs="Times New Roman"/>
          <w:kern w:val="2"/>
          <w:sz w:val="24"/>
          <w:szCs w:val="24"/>
          <w:lang w:val="bg-BG"/>
          <w14:ligatures w14:val="standardContextual"/>
        </w:rPr>
      </w:pPr>
    </w:p>
    <w:p w14:paraId="280A5F33" w14:textId="24942A8F" w:rsidR="0056142A" w:rsidRDefault="0056142A" w:rsidP="00014FEA">
      <w:pPr>
        <w:spacing w:after="0" w:line="240" w:lineRule="auto"/>
        <w:ind w:firstLine="360"/>
        <w:jc w:val="center"/>
        <w:rPr>
          <w:rFonts w:ascii="Times New Roman" w:hAnsi="Times New Roman" w:cs="Times New Roman"/>
          <w:kern w:val="2"/>
          <w:sz w:val="24"/>
          <w:szCs w:val="24"/>
          <w:lang w:val="bg-BG"/>
          <w14:ligatures w14:val="standardContextual"/>
        </w:rPr>
      </w:pPr>
      <w:r w:rsidRPr="00EA693E">
        <w:rPr>
          <w:noProof/>
          <w:kern w:val="2"/>
          <w:lang w:val="bg-BG"/>
          <w14:ligatures w14:val="standardContextual"/>
        </w:rPr>
        <w:drawing>
          <wp:inline distT="0" distB="0" distL="0" distR="0" wp14:anchorId="63317D80" wp14:editId="7CA87143">
            <wp:extent cx="5760720" cy="3925019"/>
            <wp:effectExtent l="0" t="0" r="0" b="0"/>
            <wp:docPr id="2019550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138" cy="3925985"/>
                    </a:xfrm>
                    <a:prstGeom prst="rect">
                      <a:avLst/>
                    </a:prstGeom>
                    <a:noFill/>
                    <a:ln>
                      <a:noFill/>
                    </a:ln>
                  </pic:spPr>
                </pic:pic>
              </a:graphicData>
            </a:graphic>
          </wp:inline>
        </w:drawing>
      </w:r>
    </w:p>
    <w:p w14:paraId="715AF4ED" w14:textId="77777777" w:rsidR="0056142A" w:rsidRDefault="0056142A" w:rsidP="00092D66">
      <w:pPr>
        <w:spacing w:after="0" w:line="240" w:lineRule="auto"/>
        <w:ind w:firstLine="360"/>
        <w:jc w:val="both"/>
        <w:rPr>
          <w:rFonts w:ascii="Times New Roman" w:hAnsi="Times New Roman" w:cs="Times New Roman"/>
          <w:kern w:val="2"/>
          <w:sz w:val="24"/>
          <w:szCs w:val="24"/>
          <w:lang w:val="bg-BG"/>
          <w14:ligatures w14:val="standardContextual"/>
        </w:rPr>
      </w:pPr>
    </w:p>
    <w:p w14:paraId="75FD1A42" w14:textId="20754AA8" w:rsidR="00014FEA" w:rsidRPr="00EA693E" w:rsidRDefault="00014FEA" w:rsidP="00014FEA">
      <w:pPr>
        <w:spacing w:after="0" w:line="240" w:lineRule="auto"/>
        <w:ind w:firstLine="708"/>
        <w:jc w:val="both"/>
        <w:rPr>
          <w:rFonts w:ascii="Times New Roman" w:hAnsi="Times New Roman" w:cs="Times New Roman"/>
          <w:kern w:val="2"/>
          <w:sz w:val="24"/>
          <w:szCs w:val="24"/>
          <w:lang w:val="bg-BG"/>
          <w14:ligatures w14:val="standardContextual"/>
        </w:rPr>
      </w:pPr>
      <w:r w:rsidRPr="00FA64D0">
        <w:rPr>
          <w:rFonts w:ascii="Times New Roman" w:hAnsi="Times New Roman" w:cs="Times New Roman"/>
          <w:kern w:val="2"/>
          <w:sz w:val="24"/>
          <w:szCs w:val="24"/>
          <w:lang w:val="bg-BG"/>
          <w14:ligatures w14:val="standardContextual"/>
        </w:rPr>
        <w:t xml:space="preserve">Видно от Таблица </w:t>
      </w:r>
      <w:r w:rsidRPr="00D84BC9">
        <w:rPr>
          <w:rFonts w:ascii="Times New Roman" w:hAnsi="Times New Roman" w:cs="Times New Roman"/>
          <w:kern w:val="2"/>
          <w:sz w:val="24"/>
          <w:szCs w:val="24"/>
          <w:lang w:val="bg-BG"/>
          <w14:ligatures w14:val="standardContextual"/>
        </w:rPr>
        <w:t>4</w:t>
      </w:r>
      <w:r w:rsidRPr="00FA64D0">
        <w:rPr>
          <w:rFonts w:ascii="Times New Roman" w:hAnsi="Times New Roman" w:cs="Times New Roman"/>
          <w:kern w:val="2"/>
          <w:sz w:val="24"/>
          <w:szCs w:val="24"/>
          <w:lang w:val="bg-BG"/>
          <w14:ligatures w14:val="standardContextual"/>
        </w:rPr>
        <w:t xml:space="preserve">, към момента са договорени приблизително </w:t>
      </w:r>
      <w:r w:rsidRPr="00FA64D0">
        <w:rPr>
          <w:rFonts w:ascii="Times New Roman" w:hAnsi="Times New Roman" w:cs="Times New Roman"/>
          <w:kern w:val="2"/>
          <w:sz w:val="24"/>
          <w:szCs w:val="24"/>
          <w:lang w:val="ru-RU"/>
          <w14:ligatures w14:val="standardContextual"/>
        </w:rPr>
        <w:t>1,</w:t>
      </w:r>
      <w:r w:rsidRPr="00FA64D0">
        <w:rPr>
          <w:rFonts w:ascii="Times New Roman" w:hAnsi="Times New Roman" w:cs="Times New Roman"/>
          <w:kern w:val="2"/>
          <w:sz w:val="24"/>
          <w:szCs w:val="24"/>
          <w:lang w:val="bg-BG"/>
          <w14:ligatures w14:val="standardContextual"/>
        </w:rPr>
        <w:t>115 млрд. евро, равняващи се на 72,8% от приноса от</w:t>
      </w:r>
      <w:r w:rsidRPr="00EA693E">
        <w:rPr>
          <w:rFonts w:ascii="Times New Roman" w:hAnsi="Times New Roman" w:cs="Times New Roman"/>
          <w:kern w:val="2"/>
          <w:sz w:val="24"/>
          <w:szCs w:val="24"/>
          <w:lang w:val="bg-BG"/>
          <w14:ligatures w14:val="standardContextual"/>
        </w:rPr>
        <w:t xml:space="preserve"> фондовете на ЕС. Оценяват се проектни предложения </w:t>
      </w:r>
      <w:r>
        <w:rPr>
          <w:rFonts w:ascii="Times New Roman" w:hAnsi="Times New Roman" w:cs="Times New Roman"/>
          <w:kern w:val="2"/>
          <w:sz w:val="24"/>
          <w:szCs w:val="24"/>
          <w:lang w:val="bg-BG"/>
          <w14:ligatures w14:val="standardContextual"/>
        </w:rPr>
        <w:t>на приблизителна стойност от</w:t>
      </w:r>
      <w:r w:rsidRPr="00EA693E">
        <w:rPr>
          <w:rFonts w:ascii="Times New Roman" w:hAnsi="Times New Roman" w:cs="Times New Roman"/>
          <w:kern w:val="2"/>
          <w:sz w:val="24"/>
          <w:szCs w:val="24"/>
          <w:lang w:val="bg-BG"/>
          <w14:ligatures w14:val="standardContextual"/>
        </w:rPr>
        <w:t xml:space="preserve"> 216 млн. евро или 14% от бюджета</w:t>
      </w:r>
      <w:r>
        <w:rPr>
          <w:rFonts w:ascii="Times New Roman" w:hAnsi="Times New Roman" w:cs="Times New Roman"/>
          <w:kern w:val="2"/>
          <w:sz w:val="24"/>
          <w:szCs w:val="24"/>
          <w:lang w:val="bg-BG"/>
          <w14:ligatures w14:val="standardContextual"/>
        </w:rPr>
        <w:t xml:space="preserve"> на програмата</w:t>
      </w:r>
      <w:r w:rsidRPr="00EA693E">
        <w:rPr>
          <w:rFonts w:ascii="Times New Roman" w:hAnsi="Times New Roman" w:cs="Times New Roman"/>
          <w:kern w:val="2"/>
          <w:sz w:val="24"/>
          <w:szCs w:val="24"/>
          <w:lang w:val="bg-BG"/>
          <w14:ligatures w14:val="standardContextual"/>
        </w:rPr>
        <w:t xml:space="preserve">, с които договорените суми биха могли да достигнат почти 87%. С планираните процедури от ИГРП за </w:t>
      </w:r>
      <w:r w:rsidRPr="00EA693E">
        <w:rPr>
          <w:rFonts w:ascii="Times New Roman" w:hAnsi="Times New Roman" w:cs="Times New Roman"/>
          <w:kern w:val="2"/>
          <w:sz w:val="24"/>
          <w:szCs w:val="24"/>
          <w:lang w:val="bg-BG"/>
          <w14:ligatures w14:val="standardContextual"/>
        </w:rPr>
        <w:lastRenderedPageBreak/>
        <w:t xml:space="preserve">2025 </w:t>
      </w:r>
      <w:r w:rsidR="002D01BB">
        <w:rPr>
          <w:rFonts w:ascii="Times New Roman" w:hAnsi="Times New Roman" w:cs="Times New Roman"/>
          <w:kern w:val="2"/>
          <w:sz w:val="24"/>
          <w:szCs w:val="24"/>
          <w:lang w:val="bg-BG"/>
          <w14:ligatures w14:val="standardContextual"/>
        </w:rPr>
        <w:t xml:space="preserve">г. </w:t>
      </w:r>
      <w:r w:rsidRPr="00EA693E">
        <w:rPr>
          <w:rFonts w:ascii="Times New Roman" w:hAnsi="Times New Roman" w:cs="Times New Roman"/>
          <w:kern w:val="2"/>
          <w:sz w:val="24"/>
          <w:szCs w:val="24"/>
          <w:lang w:val="bg-BG"/>
          <w14:ligatures w14:val="standardContextual"/>
        </w:rPr>
        <w:t>и 2026 г.</w:t>
      </w:r>
      <w:r w:rsidR="002D01BB">
        <w:rPr>
          <w:rFonts w:ascii="Times New Roman" w:hAnsi="Times New Roman" w:cs="Times New Roman"/>
          <w:kern w:val="2"/>
          <w:sz w:val="24"/>
          <w:szCs w:val="24"/>
          <w:lang w:val="bg-BG"/>
          <w14:ligatures w14:val="standardContextual"/>
        </w:rPr>
        <w:t>,</w:t>
      </w:r>
      <w:r w:rsidRPr="00EA693E">
        <w:rPr>
          <w:rFonts w:ascii="Times New Roman" w:hAnsi="Times New Roman" w:cs="Times New Roman"/>
          <w:kern w:val="2"/>
          <w:sz w:val="24"/>
          <w:szCs w:val="24"/>
          <w:lang w:val="bg-BG"/>
          <w14:ligatures w14:val="standardContextual"/>
        </w:rPr>
        <w:t xml:space="preserve"> договорените суми</w:t>
      </w:r>
      <w:r w:rsidRPr="00895ED8">
        <w:rPr>
          <w:lang w:val="bg-BG"/>
        </w:rPr>
        <w:t xml:space="preserve"> </w:t>
      </w:r>
      <w:r w:rsidRPr="0086205B">
        <w:rPr>
          <w:rFonts w:ascii="Times New Roman" w:hAnsi="Times New Roman" w:cs="Times New Roman"/>
          <w:kern w:val="2"/>
          <w:sz w:val="24"/>
          <w:szCs w:val="24"/>
          <w:lang w:val="bg-BG"/>
          <w14:ligatures w14:val="standardContextual"/>
        </w:rPr>
        <w:t>при очаквания интерес</w:t>
      </w:r>
      <w:r w:rsidRPr="00EA693E">
        <w:rPr>
          <w:rFonts w:ascii="Times New Roman" w:hAnsi="Times New Roman" w:cs="Times New Roman"/>
          <w:kern w:val="2"/>
          <w:sz w:val="24"/>
          <w:szCs w:val="24"/>
          <w:lang w:val="bg-BG"/>
          <w14:ligatures w14:val="standardContextual"/>
        </w:rPr>
        <w:t xml:space="preserve"> ще надхвърлят бюджета на </w:t>
      </w:r>
      <w:r>
        <w:rPr>
          <w:rFonts w:ascii="Times New Roman" w:hAnsi="Times New Roman" w:cs="Times New Roman"/>
          <w:kern w:val="2"/>
          <w:sz w:val="24"/>
          <w:szCs w:val="24"/>
          <w:lang w:val="bg-BG"/>
          <w14:ligatures w14:val="standardContextual"/>
        </w:rPr>
        <w:t>ПОС</w:t>
      </w:r>
      <w:r w:rsidR="002D01BB">
        <w:rPr>
          <w:rFonts w:ascii="Times New Roman" w:hAnsi="Times New Roman" w:cs="Times New Roman"/>
          <w:kern w:val="2"/>
          <w:sz w:val="24"/>
          <w:szCs w:val="24"/>
          <w:lang w:val="bg-BG"/>
          <w14:ligatures w14:val="standardContextual"/>
        </w:rPr>
        <w:t xml:space="preserve"> 2021-2027 г.</w:t>
      </w:r>
    </w:p>
    <w:p w14:paraId="09E54480" w14:textId="09B4841B" w:rsidR="00014FEA" w:rsidRPr="00EA693E" w:rsidRDefault="00014FEA" w:rsidP="00014FEA">
      <w:pPr>
        <w:spacing w:after="0" w:line="240" w:lineRule="auto"/>
        <w:ind w:firstLine="708"/>
        <w:jc w:val="both"/>
        <w:rPr>
          <w:rFonts w:ascii="Times New Roman" w:hAnsi="Times New Roman" w:cs="Times New Roman"/>
          <w:kern w:val="2"/>
          <w:sz w:val="24"/>
          <w:szCs w:val="24"/>
          <w:lang w:val="bg-BG"/>
          <w14:ligatures w14:val="standardContextual"/>
        </w:rPr>
      </w:pPr>
      <w:r w:rsidRPr="00EA693E">
        <w:rPr>
          <w:rFonts w:ascii="Times New Roman" w:hAnsi="Times New Roman" w:cs="Times New Roman"/>
          <w:kern w:val="2"/>
          <w:sz w:val="24"/>
          <w:szCs w:val="24"/>
          <w:lang w:val="bg-BG"/>
          <w14:ligatures w14:val="standardContextual"/>
        </w:rPr>
        <w:t xml:space="preserve">Анализът на данните от таблицата показва, че очакваното изпълнение на проектите и съответно </w:t>
      </w:r>
      <w:r>
        <w:rPr>
          <w:rFonts w:ascii="Times New Roman" w:hAnsi="Times New Roman" w:cs="Times New Roman"/>
          <w:kern w:val="2"/>
          <w:sz w:val="24"/>
          <w:szCs w:val="24"/>
          <w:lang w:val="bg-BG"/>
          <w14:ligatures w14:val="standardContextual"/>
        </w:rPr>
        <w:t>разходване</w:t>
      </w:r>
      <w:r w:rsidRPr="00EA693E">
        <w:rPr>
          <w:rFonts w:ascii="Times New Roman" w:hAnsi="Times New Roman" w:cs="Times New Roman"/>
          <w:kern w:val="2"/>
          <w:sz w:val="24"/>
          <w:szCs w:val="24"/>
          <w:lang w:val="bg-BG"/>
          <w14:ligatures w14:val="standardContextual"/>
        </w:rPr>
        <w:t xml:space="preserve"> на наличните финансови ресурси по приоритетите на програмата е различно. Докато по някои приоритети значителна част от предвидения ресурс може да остане </w:t>
      </w:r>
      <w:r>
        <w:rPr>
          <w:rFonts w:ascii="Times New Roman" w:hAnsi="Times New Roman" w:cs="Times New Roman"/>
          <w:kern w:val="2"/>
          <w:sz w:val="24"/>
          <w:szCs w:val="24"/>
          <w:lang w:val="bg-BG"/>
          <w14:ligatures w14:val="standardContextual"/>
        </w:rPr>
        <w:t xml:space="preserve">неусвоен </w:t>
      </w:r>
      <w:r w:rsidRPr="00EA693E">
        <w:rPr>
          <w:rFonts w:ascii="Times New Roman" w:hAnsi="Times New Roman" w:cs="Times New Roman"/>
          <w:kern w:val="2"/>
          <w:sz w:val="24"/>
          <w:szCs w:val="24"/>
          <w:lang w:val="bg-BG"/>
          <w14:ligatures w14:val="standardContextual"/>
        </w:rPr>
        <w:t xml:space="preserve"> (</w:t>
      </w:r>
      <w:r w:rsidR="0090534B" w:rsidRPr="00EA693E">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 xml:space="preserve">1 „Води“, </w:t>
      </w:r>
      <w:r w:rsidR="0090534B">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 xml:space="preserve">2 „Отпадъци“ и </w:t>
      </w:r>
      <w:r w:rsidR="0090534B">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5 „Въздух“), то по други</w:t>
      </w:r>
      <w:r>
        <w:rPr>
          <w:rFonts w:ascii="Times New Roman" w:hAnsi="Times New Roman" w:cs="Times New Roman"/>
          <w:kern w:val="2"/>
          <w:sz w:val="24"/>
          <w:szCs w:val="24"/>
          <w:lang w:val="bg-BG"/>
          <w14:ligatures w14:val="standardContextual"/>
        </w:rPr>
        <w:t xml:space="preserve"> приоритети </w:t>
      </w:r>
      <w:r w:rsidRPr="00EA693E">
        <w:rPr>
          <w:rFonts w:ascii="Times New Roman" w:hAnsi="Times New Roman" w:cs="Times New Roman"/>
          <w:kern w:val="2"/>
          <w:sz w:val="24"/>
          <w:szCs w:val="24"/>
          <w:lang w:val="bg-BG"/>
          <w14:ligatures w14:val="standardContextual"/>
        </w:rPr>
        <w:t>на този етап</w:t>
      </w:r>
      <w:r>
        <w:rPr>
          <w:rFonts w:ascii="Times New Roman" w:hAnsi="Times New Roman" w:cs="Times New Roman"/>
          <w:kern w:val="2"/>
          <w:sz w:val="24"/>
          <w:szCs w:val="24"/>
          <w:lang w:val="bg-BG"/>
          <w14:ligatures w14:val="standardContextual"/>
        </w:rPr>
        <w:t>,</w:t>
      </w:r>
      <w:r w:rsidRPr="00EA693E">
        <w:rPr>
          <w:rFonts w:ascii="Times New Roman" w:hAnsi="Times New Roman" w:cs="Times New Roman"/>
          <w:kern w:val="2"/>
          <w:sz w:val="24"/>
          <w:szCs w:val="24"/>
          <w:lang w:val="bg-BG"/>
          <w14:ligatures w14:val="standardContextual"/>
        </w:rPr>
        <w:t xml:space="preserve"> изглежда </w:t>
      </w:r>
      <w:r>
        <w:rPr>
          <w:rFonts w:ascii="Times New Roman" w:hAnsi="Times New Roman" w:cs="Times New Roman"/>
          <w:kern w:val="2"/>
          <w:sz w:val="24"/>
          <w:szCs w:val="24"/>
          <w:lang w:val="bg-BG"/>
          <w14:ligatures w14:val="standardContextual"/>
        </w:rPr>
        <w:t xml:space="preserve">е </w:t>
      </w:r>
      <w:r w:rsidRPr="00EA693E">
        <w:rPr>
          <w:rFonts w:ascii="Times New Roman" w:hAnsi="Times New Roman" w:cs="Times New Roman"/>
          <w:kern w:val="2"/>
          <w:sz w:val="24"/>
          <w:szCs w:val="24"/>
          <w:lang w:val="bg-BG"/>
          <w14:ligatures w14:val="standardContextual"/>
        </w:rPr>
        <w:t xml:space="preserve">достатъчен. </w:t>
      </w:r>
      <w:r>
        <w:rPr>
          <w:rFonts w:ascii="Times New Roman" w:hAnsi="Times New Roman" w:cs="Times New Roman"/>
          <w:kern w:val="2"/>
          <w:sz w:val="24"/>
          <w:szCs w:val="24"/>
          <w:lang w:val="bg-BG"/>
          <w14:ligatures w14:val="standardContextual"/>
        </w:rPr>
        <w:t xml:space="preserve">  </w:t>
      </w:r>
    </w:p>
    <w:p w14:paraId="3B8192FB" w14:textId="4C328F24" w:rsidR="00014FEA" w:rsidRPr="004A34A4" w:rsidRDefault="00014FEA" w:rsidP="00014FEA">
      <w:pPr>
        <w:spacing w:after="0" w:line="240" w:lineRule="auto"/>
        <w:ind w:firstLine="709"/>
        <w:jc w:val="both"/>
        <w:rPr>
          <w:rFonts w:ascii="Times New Roman" w:hAnsi="Times New Roman" w:cs="Times New Roman"/>
          <w:lang w:val="bg-BG"/>
        </w:rPr>
      </w:pPr>
      <w:r w:rsidRPr="00EA693E">
        <w:rPr>
          <w:rFonts w:ascii="Times New Roman" w:hAnsi="Times New Roman" w:cs="Times New Roman"/>
          <w:kern w:val="2"/>
          <w:sz w:val="24"/>
          <w:szCs w:val="24"/>
          <w:lang w:val="bg-BG"/>
          <w14:ligatures w14:val="standardContextual"/>
        </w:rPr>
        <w:t xml:space="preserve">По </w:t>
      </w:r>
      <w:r w:rsidR="0090534B" w:rsidRPr="00EA693E">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1 „Води“ се очаква усвояване на около 82% от бюджета, а ресурсът</w:t>
      </w:r>
      <w:r>
        <w:rPr>
          <w:rFonts w:ascii="Times New Roman" w:hAnsi="Times New Roman" w:cs="Times New Roman"/>
          <w:kern w:val="2"/>
          <w:sz w:val="24"/>
          <w:szCs w:val="24"/>
          <w:lang w:val="bg-BG"/>
          <w14:ligatures w14:val="standardContextual"/>
        </w:rPr>
        <w:t>,</w:t>
      </w:r>
      <w:r w:rsidRPr="00EA693E">
        <w:rPr>
          <w:rFonts w:ascii="Times New Roman" w:hAnsi="Times New Roman" w:cs="Times New Roman"/>
          <w:kern w:val="2"/>
          <w:sz w:val="24"/>
          <w:szCs w:val="24"/>
          <w:lang w:val="bg-BG"/>
          <w14:ligatures w14:val="standardContextual"/>
        </w:rPr>
        <w:t xml:space="preserve"> който би могъл да остане неизползван </w:t>
      </w:r>
      <w:r w:rsidRPr="00EE47A1">
        <w:rPr>
          <w:rFonts w:ascii="Times New Roman" w:hAnsi="Times New Roman" w:cs="Times New Roman"/>
          <w:sz w:val="24"/>
          <w:szCs w:val="24"/>
          <w:lang w:val="bg-BG"/>
        </w:rPr>
        <w:t>по експертна оценка</w:t>
      </w:r>
      <w:r>
        <w:rPr>
          <w:rFonts w:ascii="Times New Roman" w:hAnsi="Times New Roman" w:cs="Times New Roman"/>
          <w:lang w:val="bg-BG"/>
        </w:rPr>
        <w:t xml:space="preserve"> </w:t>
      </w:r>
      <w:r w:rsidRPr="00EA693E">
        <w:rPr>
          <w:rFonts w:ascii="Times New Roman" w:hAnsi="Times New Roman" w:cs="Times New Roman"/>
          <w:kern w:val="2"/>
          <w:sz w:val="24"/>
          <w:szCs w:val="24"/>
          <w:lang w:val="bg-BG"/>
          <w14:ligatures w14:val="standardContextual"/>
        </w:rPr>
        <w:t xml:space="preserve">се изчислява на </w:t>
      </w:r>
      <w:r w:rsidRPr="00495860">
        <w:rPr>
          <w:rFonts w:ascii="Times New Roman" w:hAnsi="Times New Roman" w:cs="Times New Roman"/>
          <w:kern w:val="2"/>
          <w:sz w:val="24"/>
          <w:szCs w:val="24"/>
          <w:lang w:val="bg-BG"/>
          <w14:ligatures w14:val="standardContextual"/>
        </w:rPr>
        <w:t>109 млн. евро</w:t>
      </w:r>
      <w:r w:rsidRPr="00EA693E">
        <w:rPr>
          <w:rFonts w:ascii="Times New Roman" w:hAnsi="Times New Roman" w:cs="Times New Roman"/>
          <w:kern w:val="2"/>
          <w:sz w:val="24"/>
          <w:szCs w:val="24"/>
          <w:lang w:val="bg-BG"/>
          <w14:ligatures w14:val="standardContextual"/>
        </w:rPr>
        <w:t xml:space="preserve"> принос от ЕС или 18% от бюджета. Въпреки че се очаква договаряне над 100% от ресурса по приоритета, на база опита от предходния програмен период и статуса на проектните дейности по договорените проекти (статус на обществените поръчки на новите ВиК оператори; стартирано строителство само по фазираните ВиК </w:t>
      </w:r>
      <w:r w:rsidRPr="00662696">
        <w:rPr>
          <w:rFonts w:ascii="Times New Roman" w:hAnsi="Times New Roman" w:cs="Times New Roman"/>
          <w:kern w:val="2"/>
          <w:sz w:val="24"/>
          <w:szCs w:val="24"/>
          <w:lang w:val="bg-BG"/>
          <w14:ligatures w14:val="standardContextual"/>
        </w:rPr>
        <w:t>проекти; налагани финансови корекции</w:t>
      </w:r>
      <w:r w:rsidRPr="00662696">
        <w:rPr>
          <w:rFonts w:ascii="Times New Roman" w:hAnsi="Times New Roman" w:cs="Times New Roman"/>
          <w:sz w:val="24"/>
          <w:szCs w:val="24"/>
          <w:lang w:val="bg-BG"/>
        </w:rPr>
        <w:t>, очаквани икономии при изпълнение на строителните дейности и др.</w:t>
      </w:r>
      <w:r w:rsidRPr="00662696">
        <w:rPr>
          <w:rFonts w:ascii="Times New Roman" w:hAnsi="Times New Roman" w:cs="Times New Roman"/>
          <w:kern w:val="2"/>
          <w:sz w:val="24"/>
          <w:szCs w:val="24"/>
          <w:lang w:val="bg-BG"/>
          <w14:ligatures w14:val="standardContextual"/>
        </w:rPr>
        <w:t>), УО очаква да бъдат реализирани значителни икономии, както от изпълнението</w:t>
      </w:r>
      <w:r w:rsidRPr="00EA693E">
        <w:rPr>
          <w:rFonts w:ascii="Times New Roman" w:hAnsi="Times New Roman" w:cs="Times New Roman"/>
          <w:kern w:val="2"/>
          <w:sz w:val="24"/>
          <w:szCs w:val="24"/>
          <w:lang w:val="bg-BG"/>
          <w14:ligatures w14:val="standardContextual"/>
        </w:rPr>
        <w:t xml:space="preserve"> на проектите, така и от евентуално</w:t>
      </w:r>
      <w:r>
        <w:rPr>
          <w:rFonts w:ascii="Times New Roman" w:hAnsi="Times New Roman" w:cs="Times New Roman"/>
          <w:kern w:val="2"/>
          <w:sz w:val="24"/>
          <w:szCs w:val="24"/>
          <w:lang w:val="bg-BG"/>
          <w14:ligatures w14:val="standardContextual"/>
        </w:rPr>
        <w:t>то</w:t>
      </w:r>
      <w:r w:rsidRPr="00EA693E">
        <w:rPr>
          <w:rFonts w:ascii="Times New Roman" w:hAnsi="Times New Roman" w:cs="Times New Roman"/>
          <w:kern w:val="2"/>
          <w:sz w:val="24"/>
          <w:szCs w:val="24"/>
          <w:lang w:val="bg-BG"/>
          <w14:ligatures w14:val="standardContextual"/>
        </w:rPr>
        <w:t xml:space="preserve"> незавършване в срок на част от дейностите.</w:t>
      </w:r>
      <w:r>
        <w:rPr>
          <w:rFonts w:ascii="Times New Roman" w:hAnsi="Times New Roman" w:cs="Times New Roman"/>
          <w:lang w:val="bg-BG"/>
        </w:rPr>
        <w:t xml:space="preserve"> </w:t>
      </w:r>
    </w:p>
    <w:p w14:paraId="74F06EAA" w14:textId="149B754D" w:rsidR="00014FEA" w:rsidRPr="00495860" w:rsidRDefault="00014FEA" w:rsidP="00014FEA">
      <w:pPr>
        <w:spacing w:after="0" w:line="240" w:lineRule="auto"/>
        <w:ind w:firstLine="708"/>
        <w:jc w:val="both"/>
        <w:rPr>
          <w:rFonts w:ascii="Times New Roman" w:hAnsi="Times New Roman" w:cs="Times New Roman"/>
          <w:kern w:val="2"/>
          <w:sz w:val="24"/>
          <w:szCs w:val="24"/>
          <w:lang w:val="bg-BG"/>
          <w14:ligatures w14:val="standardContextual"/>
        </w:rPr>
      </w:pPr>
      <w:r w:rsidRPr="00054FD3">
        <w:rPr>
          <w:rFonts w:ascii="Times New Roman" w:hAnsi="Times New Roman" w:cs="Times New Roman"/>
          <w:kern w:val="2"/>
          <w:sz w:val="24"/>
          <w:szCs w:val="24"/>
          <w:lang w:val="bg-BG"/>
          <w14:ligatures w14:val="standardContextual"/>
        </w:rPr>
        <w:t xml:space="preserve">По </w:t>
      </w:r>
      <w:r w:rsidR="00745BA0" w:rsidRPr="00054FD3">
        <w:rPr>
          <w:rFonts w:ascii="Times New Roman" w:hAnsi="Times New Roman" w:cs="Times New Roman"/>
          <w:kern w:val="2"/>
          <w:sz w:val="24"/>
          <w:szCs w:val="24"/>
          <w:lang w:val="bg-BG"/>
          <w14:ligatures w14:val="standardContextual"/>
        </w:rPr>
        <w:t xml:space="preserve">Приоритет </w:t>
      </w:r>
      <w:r w:rsidRPr="00054FD3">
        <w:rPr>
          <w:rFonts w:ascii="Times New Roman" w:hAnsi="Times New Roman" w:cs="Times New Roman"/>
          <w:kern w:val="2"/>
          <w:sz w:val="24"/>
          <w:szCs w:val="24"/>
          <w:lang w:val="bg-BG"/>
          <w14:ligatures w14:val="standardContextual"/>
        </w:rPr>
        <w:t>2 „Отпадъци” договорените суми</w:t>
      </w:r>
      <w:r w:rsidRPr="00EA693E">
        <w:rPr>
          <w:rFonts w:ascii="Times New Roman" w:hAnsi="Times New Roman" w:cs="Times New Roman"/>
          <w:kern w:val="2"/>
          <w:sz w:val="24"/>
          <w:szCs w:val="24"/>
          <w:lang w:val="bg-BG"/>
          <w14:ligatures w14:val="standardContextual"/>
        </w:rPr>
        <w:t xml:space="preserve"> се равняват на 27% от бюджета, а в оценка е едно проектно предложение за 0,3% от бюджета. Допусканията за очаквано договаряне се базират в голяма степен на предстоящи процедури, които се очаква да бъдат обявени през</w:t>
      </w:r>
      <w:r>
        <w:rPr>
          <w:rFonts w:ascii="Times New Roman" w:hAnsi="Times New Roman" w:cs="Times New Roman"/>
          <w:kern w:val="2"/>
          <w:sz w:val="24"/>
          <w:szCs w:val="24"/>
          <w:lang w:val="bg-BG"/>
          <w14:ligatures w14:val="standardContextual"/>
        </w:rPr>
        <w:t xml:space="preserve"> </w:t>
      </w:r>
      <w:r w:rsidRPr="00E94283">
        <w:rPr>
          <w:rFonts w:ascii="Times New Roman" w:hAnsi="Times New Roman" w:cs="Times New Roman"/>
          <w:sz w:val="24"/>
          <w:szCs w:val="24"/>
          <w:lang w:val="bg-BG"/>
        </w:rPr>
        <w:t>последния месец на настоящата и през</w:t>
      </w:r>
      <w:r w:rsidRPr="00EA693E">
        <w:rPr>
          <w:rFonts w:ascii="Times New Roman" w:hAnsi="Times New Roman" w:cs="Times New Roman"/>
          <w:kern w:val="2"/>
          <w:sz w:val="24"/>
          <w:szCs w:val="24"/>
          <w:lang w:val="bg-BG"/>
          <w14:ligatures w14:val="standardContextual"/>
        </w:rPr>
        <w:t xml:space="preserve"> следващата година. </w:t>
      </w:r>
      <w:bookmarkStart w:id="3" w:name="_Hlk216348824"/>
      <w:r w:rsidRPr="00EA693E">
        <w:rPr>
          <w:rFonts w:ascii="Times New Roman" w:hAnsi="Times New Roman" w:cs="Times New Roman"/>
          <w:kern w:val="2"/>
          <w:sz w:val="24"/>
          <w:szCs w:val="24"/>
          <w:lang w:val="bg-BG"/>
          <w14:ligatures w14:val="standardContextual"/>
        </w:rPr>
        <w:t xml:space="preserve">По аналогия на </w:t>
      </w:r>
      <w:r w:rsidR="00AD72DA" w:rsidRPr="00EA693E">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1</w:t>
      </w:r>
      <w:r>
        <w:rPr>
          <w:rFonts w:ascii="Times New Roman" w:hAnsi="Times New Roman" w:cs="Times New Roman"/>
          <w:kern w:val="2"/>
          <w:sz w:val="24"/>
          <w:szCs w:val="24"/>
          <w:lang w:val="bg-BG"/>
          <w14:ligatures w14:val="standardContextual"/>
        </w:rPr>
        <w:t>,</w:t>
      </w:r>
      <w:r w:rsidRPr="00EA693E">
        <w:rPr>
          <w:rFonts w:ascii="Times New Roman" w:hAnsi="Times New Roman" w:cs="Times New Roman"/>
          <w:kern w:val="2"/>
          <w:sz w:val="24"/>
          <w:szCs w:val="24"/>
          <w:lang w:val="bg-BG"/>
          <w14:ligatures w14:val="standardContextual"/>
        </w:rPr>
        <w:t xml:space="preserve"> и по </w:t>
      </w:r>
      <w:r w:rsidR="00AD72DA" w:rsidRPr="00EA693E">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 xml:space="preserve">2 са прогнозирани икономии от изпълнението на проектите. Анализът на данните на </w:t>
      </w:r>
      <w:r w:rsidRPr="00E94283">
        <w:rPr>
          <w:rFonts w:ascii="Times New Roman" w:hAnsi="Times New Roman" w:cs="Times New Roman"/>
          <w:kern w:val="2"/>
          <w:sz w:val="24"/>
          <w:szCs w:val="24"/>
          <w:lang w:val="bg-BG"/>
          <w14:ligatures w14:val="standardContextual"/>
        </w:rPr>
        <w:t>три основни</w:t>
      </w:r>
      <w:r w:rsidRPr="00862338">
        <w:rPr>
          <w:rFonts w:ascii="Times New Roman" w:hAnsi="Times New Roman" w:cs="Times New Roman"/>
          <w:kern w:val="2"/>
          <w:sz w:val="24"/>
          <w:szCs w:val="24"/>
          <w:lang w:val="bg-BG"/>
          <w14:ligatures w14:val="standardContextual"/>
        </w:rPr>
        <w:t xml:space="preserve"> приключили процедури по приоритета показват тенденция за реализиране на значителни икономии още на етап кандидатстване и договаряне на безвъзмездна финансова помощ. </w:t>
      </w:r>
      <w:bookmarkEnd w:id="3"/>
      <w:r w:rsidRPr="00862338">
        <w:rPr>
          <w:rFonts w:ascii="Times New Roman" w:hAnsi="Times New Roman" w:cs="Times New Roman"/>
          <w:kern w:val="2"/>
          <w:sz w:val="24"/>
          <w:szCs w:val="24"/>
          <w:lang w:val="bg-BG"/>
          <w14:ligatures w14:val="standardContextual"/>
        </w:rPr>
        <w:t xml:space="preserve">По-конкретно, по </w:t>
      </w:r>
      <w:r w:rsidRPr="00E94283">
        <w:rPr>
          <w:rFonts w:ascii="Times New Roman" w:hAnsi="Times New Roman" w:cs="Times New Roman"/>
          <w:kern w:val="2"/>
          <w:sz w:val="24"/>
          <w:szCs w:val="24"/>
          <w:lang w:val="bg-BG"/>
          <w14:ligatures w14:val="standardContextual"/>
        </w:rPr>
        <w:t>една процедура</w:t>
      </w:r>
      <w:r w:rsidRPr="00862338">
        <w:rPr>
          <w:rFonts w:ascii="Times New Roman" w:hAnsi="Times New Roman" w:cs="Times New Roman"/>
          <w:kern w:val="2"/>
          <w:sz w:val="24"/>
          <w:szCs w:val="24"/>
          <w:lang w:val="bg-BG"/>
          <w14:ligatures w14:val="standardContextual"/>
        </w:rPr>
        <w:t xml:space="preserve"> за рекултивация </w:t>
      </w:r>
      <w:r w:rsidRPr="00E94283">
        <w:rPr>
          <w:rFonts w:ascii="Times New Roman" w:hAnsi="Times New Roman" w:cs="Times New Roman"/>
          <w:kern w:val="2"/>
          <w:sz w:val="24"/>
          <w:szCs w:val="24"/>
          <w:lang w:val="bg-BG"/>
          <w14:ligatures w14:val="standardContextual"/>
        </w:rPr>
        <w:t>и две</w:t>
      </w:r>
      <w:r w:rsidRPr="00862338">
        <w:rPr>
          <w:rFonts w:ascii="Times New Roman" w:hAnsi="Times New Roman" w:cs="Times New Roman"/>
          <w:kern w:val="2"/>
          <w:sz w:val="24"/>
          <w:szCs w:val="24"/>
          <w:lang w:val="bg-BG"/>
          <w14:ligatures w14:val="standardContextual"/>
        </w:rPr>
        <w:t xml:space="preserve"> за биоразградими отпадъци с общ обявен бюджет </w:t>
      </w:r>
      <w:r w:rsidRPr="00495860">
        <w:rPr>
          <w:rFonts w:ascii="Times New Roman" w:hAnsi="Times New Roman" w:cs="Times New Roman"/>
          <w:kern w:val="2"/>
          <w:sz w:val="24"/>
          <w:szCs w:val="24"/>
          <w:lang w:val="bg-BG"/>
          <w14:ligatures w14:val="standardContextual"/>
        </w:rPr>
        <w:t>от 145,6 млн. евро принос от ЕС, след приключване на оценка, са договорени едва 52,2 млн. евро принос от ЕС или 36%, оставящи</w:t>
      </w:r>
      <w:r>
        <w:rPr>
          <w:rFonts w:ascii="Times New Roman" w:hAnsi="Times New Roman" w:cs="Times New Roman"/>
          <w:kern w:val="2"/>
          <w:sz w:val="24"/>
          <w:szCs w:val="24"/>
          <w:lang w:val="bg-BG"/>
          <w14:ligatures w14:val="standardContextual"/>
        </w:rPr>
        <w:t xml:space="preserve"> </w:t>
      </w:r>
      <w:r w:rsidRPr="00495860">
        <w:rPr>
          <w:rFonts w:ascii="Times New Roman" w:hAnsi="Times New Roman" w:cs="Times New Roman"/>
          <w:kern w:val="2"/>
          <w:sz w:val="24"/>
          <w:szCs w:val="24"/>
          <w:lang w:val="bg-BG"/>
          <w14:ligatures w14:val="standardContextual"/>
        </w:rPr>
        <w:t xml:space="preserve">64% икономии от обявения ресурс. </w:t>
      </w:r>
    </w:p>
    <w:p w14:paraId="46D25489" w14:textId="65CB6BAF" w:rsidR="00014FEA" w:rsidRPr="00862338" w:rsidRDefault="00014FEA" w:rsidP="00014FEA">
      <w:pPr>
        <w:spacing w:after="0" w:line="240" w:lineRule="auto"/>
        <w:ind w:firstLine="708"/>
        <w:jc w:val="both"/>
        <w:rPr>
          <w:rFonts w:ascii="Times New Roman" w:hAnsi="Times New Roman" w:cs="Times New Roman"/>
          <w:kern w:val="2"/>
          <w:sz w:val="24"/>
          <w:szCs w:val="24"/>
          <w:lang w:val="bg-BG"/>
          <w14:ligatures w14:val="standardContextual"/>
        </w:rPr>
      </w:pPr>
      <w:r w:rsidRPr="00495860">
        <w:rPr>
          <w:rFonts w:ascii="Times New Roman" w:hAnsi="Times New Roman" w:cs="Times New Roman"/>
          <w:kern w:val="2"/>
          <w:sz w:val="24"/>
          <w:szCs w:val="24"/>
          <w:lang w:val="bg-BG"/>
          <w14:ligatures w14:val="standardContextual"/>
        </w:rPr>
        <w:t xml:space="preserve">Въпреки че в ИГРП за 2025 г. и </w:t>
      </w:r>
      <w:r w:rsidR="00E756FB">
        <w:rPr>
          <w:rFonts w:ascii="Times New Roman" w:hAnsi="Times New Roman" w:cs="Times New Roman"/>
          <w:kern w:val="2"/>
          <w:sz w:val="24"/>
          <w:szCs w:val="24"/>
          <w:lang w:val="bg-BG"/>
          <w14:ligatures w14:val="standardContextual"/>
        </w:rPr>
        <w:t xml:space="preserve">за </w:t>
      </w:r>
      <w:r w:rsidRPr="00495860">
        <w:rPr>
          <w:rFonts w:ascii="Times New Roman" w:hAnsi="Times New Roman" w:cs="Times New Roman"/>
          <w:kern w:val="2"/>
          <w:sz w:val="24"/>
          <w:szCs w:val="24"/>
          <w:lang w:val="bg-BG"/>
          <w14:ligatures w14:val="standardContextual"/>
        </w:rPr>
        <w:t>2026 г. са предвидени за обявяване процедури за 156,7 млн. евро принос от ЕС, предвид данните от приключилите такива</w:t>
      </w:r>
      <w:r w:rsidRPr="00862338">
        <w:rPr>
          <w:rFonts w:ascii="Times New Roman" w:hAnsi="Times New Roman" w:cs="Times New Roman"/>
          <w:kern w:val="2"/>
          <w:sz w:val="24"/>
          <w:szCs w:val="24"/>
          <w:lang w:val="bg-BG"/>
          <w14:ligatures w14:val="standardContextual"/>
        </w:rPr>
        <w:t>, УО допуска</w:t>
      </w:r>
      <w:r>
        <w:rPr>
          <w:rFonts w:ascii="Times New Roman" w:hAnsi="Times New Roman" w:cs="Times New Roman"/>
          <w:kern w:val="2"/>
          <w:sz w:val="24"/>
          <w:szCs w:val="24"/>
          <w:lang w:val="bg-BG"/>
          <w14:ligatures w14:val="standardContextual"/>
        </w:rPr>
        <w:t>,</w:t>
      </w:r>
      <w:r w:rsidRPr="00862338">
        <w:rPr>
          <w:rFonts w:ascii="Times New Roman" w:hAnsi="Times New Roman" w:cs="Times New Roman"/>
          <w:kern w:val="2"/>
          <w:sz w:val="24"/>
          <w:szCs w:val="24"/>
          <w:lang w:val="bg-BG"/>
          <w14:ligatures w14:val="standardContextual"/>
        </w:rPr>
        <w:t xml:space="preserve"> че е възможно по приоритета да остане значителен по размер финансов ресурс.  </w:t>
      </w:r>
    </w:p>
    <w:p w14:paraId="0E01F173" w14:textId="15ECBA04" w:rsidR="00014FEA" w:rsidRDefault="00014FEA" w:rsidP="00014FEA">
      <w:pPr>
        <w:spacing w:after="0" w:line="240" w:lineRule="auto"/>
        <w:ind w:firstLine="708"/>
        <w:jc w:val="both"/>
        <w:rPr>
          <w:rFonts w:ascii="Times New Roman" w:hAnsi="Times New Roman" w:cs="Times New Roman"/>
          <w:kern w:val="2"/>
          <w:sz w:val="24"/>
          <w:szCs w:val="24"/>
          <w:lang w:val="bg-BG"/>
          <w14:ligatures w14:val="standardContextual"/>
        </w:rPr>
      </w:pPr>
      <w:r w:rsidRPr="00862338">
        <w:rPr>
          <w:rFonts w:ascii="Times New Roman" w:hAnsi="Times New Roman" w:cs="Times New Roman"/>
          <w:kern w:val="2"/>
          <w:sz w:val="24"/>
          <w:szCs w:val="24"/>
          <w:lang w:val="bg-BG"/>
          <w14:ligatures w14:val="standardContextual"/>
        </w:rPr>
        <w:t xml:space="preserve">По </w:t>
      </w:r>
      <w:r w:rsidR="00E756FB" w:rsidRPr="00862338">
        <w:rPr>
          <w:rFonts w:ascii="Times New Roman" w:hAnsi="Times New Roman" w:cs="Times New Roman"/>
          <w:kern w:val="2"/>
          <w:sz w:val="24"/>
          <w:szCs w:val="24"/>
          <w:lang w:val="bg-BG"/>
          <w14:ligatures w14:val="standardContextual"/>
        </w:rPr>
        <w:t xml:space="preserve">Приоритет </w:t>
      </w:r>
      <w:r w:rsidRPr="00862338">
        <w:rPr>
          <w:rFonts w:ascii="Times New Roman" w:hAnsi="Times New Roman" w:cs="Times New Roman"/>
          <w:kern w:val="2"/>
          <w:sz w:val="24"/>
          <w:szCs w:val="24"/>
          <w:lang w:val="bg-BG"/>
          <w14:ligatures w14:val="standardContextual"/>
        </w:rPr>
        <w:t xml:space="preserve">5 „Въздух“ договорените суми възлизат на 86,6% от бюджета, като в оценка са 8 проекта за 6,3% от бюджета, т.е. общото договаряне ще достигне 93%. </w:t>
      </w:r>
      <w:r w:rsidRPr="00E94283">
        <w:rPr>
          <w:rFonts w:ascii="Times New Roman" w:hAnsi="Times New Roman" w:cs="Times New Roman"/>
          <w:kern w:val="2"/>
          <w:sz w:val="24"/>
          <w:szCs w:val="24"/>
          <w:lang w:val="bg-BG"/>
          <w14:ligatures w14:val="standardContextual"/>
        </w:rPr>
        <w:t>Активна е</w:t>
      </w:r>
      <w:r w:rsidRPr="00862338">
        <w:rPr>
          <w:rFonts w:ascii="Times New Roman" w:hAnsi="Times New Roman" w:cs="Times New Roman"/>
          <w:kern w:val="2"/>
          <w:sz w:val="24"/>
          <w:szCs w:val="24"/>
          <w:lang w:val="bg-BG"/>
          <w14:ligatures w14:val="standardContextual"/>
        </w:rPr>
        <w:t xml:space="preserve"> само една процедура за кандидатстване за 0,5% от бюджета на приоритета. Към момента по </w:t>
      </w:r>
      <w:r w:rsidR="0045417A" w:rsidRPr="00862338">
        <w:rPr>
          <w:rFonts w:ascii="Times New Roman" w:hAnsi="Times New Roman" w:cs="Times New Roman"/>
          <w:kern w:val="2"/>
          <w:sz w:val="24"/>
          <w:szCs w:val="24"/>
          <w:lang w:val="bg-BG"/>
          <w14:ligatures w14:val="standardContextual"/>
        </w:rPr>
        <w:t xml:space="preserve">Приоритет </w:t>
      </w:r>
      <w:r w:rsidRPr="00862338">
        <w:rPr>
          <w:rFonts w:ascii="Times New Roman" w:hAnsi="Times New Roman" w:cs="Times New Roman"/>
          <w:kern w:val="2"/>
          <w:sz w:val="24"/>
          <w:szCs w:val="24"/>
          <w:lang w:val="bg-BG"/>
          <w14:ligatures w14:val="standardContextual"/>
        </w:rPr>
        <w:t xml:space="preserve">5 не са планирани други процедури за обявяване. </w:t>
      </w:r>
      <w:r w:rsidRPr="00E94283">
        <w:rPr>
          <w:rFonts w:ascii="Times New Roman" w:hAnsi="Times New Roman" w:cs="Times New Roman"/>
          <w:kern w:val="2"/>
          <w:sz w:val="24"/>
          <w:szCs w:val="24"/>
          <w:lang w:val="bg-BG"/>
          <w14:ligatures w14:val="standardContextual"/>
        </w:rPr>
        <w:t>Въз основа на анализ на проектите в изпълнение и оценка на възможностите за генериране на икономии, УО прогнозира да останат неусвоени ресурси по приоритета.</w:t>
      </w:r>
    </w:p>
    <w:p w14:paraId="50A51A30" w14:textId="7CE9484F" w:rsidR="00EA693E" w:rsidRPr="00242982" w:rsidRDefault="00014FEA" w:rsidP="00486B67">
      <w:pPr>
        <w:spacing w:after="0" w:line="240" w:lineRule="auto"/>
        <w:ind w:firstLine="708"/>
        <w:jc w:val="both"/>
        <w:rPr>
          <w:rFonts w:ascii="Times New Roman" w:hAnsi="Times New Roman" w:cs="Times New Roman"/>
          <w:kern w:val="2"/>
          <w:sz w:val="24"/>
          <w:szCs w:val="24"/>
          <w:lang w:val="ru-RU"/>
          <w14:ligatures w14:val="standardContextual"/>
        </w:rPr>
      </w:pPr>
      <w:r w:rsidRPr="00EA693E">
        <w:rPr>
          <w:rFonts w:ascii="Times New Roman" w:hAnsi="Times New Roman" w:cs="Times New Roman"/>
          <w:kern w:val="2"/>
          <w:sz w:val="24"/>
          <w:szCs w:val="24"/>
          <w:lang w:val="bg-BG"/>
          <w14:ligatures w14:val="standardContextual"/>
        </w:rPr>
        <w:t xml:space="preserve">Данните в таблица </w:t>
      </w:r>
      <w:r>
        <w:rPr>
          <w:rFonts w:ascii="Times New Roman" w:hAnsi="Times New Roman" w:cs="Times New Roman"/>
          <w:kern w:val="2"/>
          <w:sz w:val="24"/>
          <w:szCs w:val="24"/>
          <w:lang w:val="bg-BG"/>
          <w14:ligatures w14:val="standardContextual"/>
        </w:rPr>
        <w:t xml:space="preserve">№ </w:t>
      </w:r>
      <w:r w:rsidR="000703D3" w:rsidRPr="00895ED8">
        <w:rPr>
          <w:rFonts w:ascii="Times New Roman" w:hAnsi="Times New Roman" w:cs="Times New Roman"/>
          <w:kern w:val="2"/>
          <w:sz w:val="24"/>
          <w:szCs w:val="24"/>
          <w:lang w:val="bg-BG"/>
          <w14:ligatures w14:val="standardContextual"/>
        </w:rPr>
        <w:t>4</w:t>
      </w:r>
      <w:r w:rsidRPr="00EA693E">
        <w:rPr>
          <w:rFonts w:ascii="Times New Roman" w:hAnsi="Times New Roman" w:cs="Times New Roman"/>
          <w:kern w:val="2"/>
          <w:sz w:val="24"/>
          <w:szCs w:val="24"/>
          <w:lang w:val="bg-BG"/>
          <w14:ligatures w14:val="standardContextual"/>
        </w:rPr>
        <w:t xml:space="preserve"> показват, че към настоящия момент по приоритети 3 „Биологично разнообразие“, 4 „Риск и изменение на климата” и 6 „Техническа помощ” не се очаква да остане съществен свободен (неусвоен) финансов ресурс, докато по </w:t>
      </w:r>
      <w:r w:rsidR="0045417A" w:rsidRPr="00EA693E">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1</w:t>
      </w:r>
      <w:r>
        <w:rPr>
          <w:rFonts w:ascii="Times New Roman" w:hAnsi="Times New Roman" w:cs="Times New Roman"/>
          <w:kern w:val="2"/>
          <w:sz w:val="24"/>
          <w:szCs w:val="24"/>
          <w:lang w:val="bg-BG"/>
          <w14:ligatures w14:val="standardContextual"/>
        </w:rPr>
        <w:t xml:space="preserve"> </w:t>
      </w:r>
      <w:r w:rsidRPr="00EA693E">
        <w:rPr>
          <w:rFonts w:ascii="Times New Roman" w:hAnsi="Times New Roman" w:cs="Times New Roman"/>
          <w:kern w:val="2"/>
          <w:sz w:val="24"/>
          <w:szCs w:val="24"/>
          <w:lang w:val="bg-BG"/>
          <w14:ligatures w14:val="standardContextual"/>
        </w:rPr>
        <w:t xml:space="preserve">„Води”, </w:t>
      </w:r>
      <w:r w:rsidR="0045417A">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 xml:space="preserve">2 „Отпадъци” и </w:t>
      </w:r>
      <w:r w:rsidR="0045417A">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 xml:space="preserve">5 „Въздух” е възможно да останат значителни по размер </w:t>
      </w:r>
      <w:r>
        <w:rPr>
          <w:rFonts w:ascii="Times New Roman" w:hAnsi="Times New Roman" w:cs="Times New Roman"/>
          <w:kern w:val="2"/>
          <w:sz w:val="24"/>
          <w:szCs w:val="24"/>
          <w:lang w:val="bg-BG"/>
          <w14:ligatures w14:val="standardContextual"/>
        </w:rPr>
        <w:t>неусвоени</w:t>
      </w:r>
      <w:r w:rsidRPr="00EA693E">
        <w:rPr>
          <w:rFonts w:ascii="Times New Roman" w:hAnsi="Times New Roman" w:cs="Times New Roman"/>
          <w:kern w:val="2"/>
          <w:sz w:val="24"/>
          <w:szCs w:val="24"/>
          <w:lang w:val="bg-BG"/>
          <w14:ligatures w14:val="standardContextual"/>
        </w:rPr>
        <w:t xml:space="preserve"> суми. Поради тази причина УО смята за целесъобразно да предприеме своевременни действия за прехвърляне на </w:t>
      </w:r>
      <w:r>
        <w:rPr>
          <w:rFonts w:ascii="Times New Roman" w:hAnsi="Times New Roman" w:cs="Times New Roman"/>
          <w:kern w:val="2"/>
          <w:sz w:val="24"/>
          <w:szCs w:val="24"/>
          <w:lang w:val="bg-BG"/>
          <w14:ligatures w14:val="standardContextual"/>
        </w:rPr>
        <w:t>тези</w:t>
      </w:r>
      <w:r w:rsidRPr="00EA693E">
        <w:rPr>
          <w:rFonts w:ascii="Times New Roman" w:hAnsi="Times New Roman" w:cs="Times New Roman"/>
          <w:kern w:val="2"/>
          <w:sz w:val="24"/>
          <w:szCs w:val="24"/>
          <w:lang w:val="bg-BG"/>
          <w14:ligatures w14:val="standardContextual"/>
        </w:rPr>
        <w:t xml:space="preserve"> суми от приоритети 1, 2 и 5 в нов </w:t>
      </w:r>
      <w:r w:rsidR="0045417A" w:rsidRPr="00EA693E">
        <w:rPr>
          <w:rFonts w:ascii="Times New Roman" w:hAnsi="Times New Roman" w:cs="Times New Roman"/>
          <w:kern w:val="2"/>
          <w:sz w:val="24"/>
          <w:szCs w:val="24"/>
          <w:lang w:val="bg-BG"/>
          <w14:ligatures w14:val="standardContextual"/>
        </w:rPr>
        <w:t xml:space="preserve">Приоритет </w:t>
      </w:r>
      <w:r w:rsidRPr="00EA693E">
        <w:rPr>
          <w:rFonts w:ascii="Times New Roman" w:hAnsi="Times New Roman" w:cs="Times New Roman"/>
          <w:kern w:val="2"/>
          <w:sz w:val="24"/>
          <w:szCs w:val="24"/>
          <w:lang w:val="bg-BG"/>
          <w14:ligatures w14:val="standardContextual"/>
        </w:rPr>
        <w:t>7 „Устойчивост на водите“, без да се засяга финансирането по приоритети 3, 4 и 6. В таблица</w:t>
      </w:r>
      <w:r>
        <w:rPr>
          <w:rFonts w:ascii="Times New Roman" w:hAnsi="Times New Roman" w:cs="Times New Roman"/>
          <w:kern w:val="2"/>
          <w:sz w:val="24"/>
          <w:szCs w:val="24"/>
          <w:lang w:val="bg-BG"/>
          <w14:ligatures w14:val="standardContextual"/>
        </w:rPr>
        <w:t xml:space="preserve"> №</w:t>
      </w:r>
      <w:r w:rsidRPr="00EA693E">
        <w:rPr>
          <w:rFonts w:ascii="Times New Roman" w:hAnsi="Times New Roman" w:cs="Times New Roman"/>
          <w:kern w:val="2"/>
          <w:sz w:val="24"/>
          <w:szCs w:val="24"/>
          <w:lang w:val="bg-BG"/>
          <w14:ligatures w14:val="standardContextual"/>
        </w:rPr>
        <w:t xml:space="preserve"> </w:t>
      </w:r>
      <w:r w:rsidR="00223335">
        <w:rPr>
          <w:rFonts w:ascii="Times New Roman" w:hAnsi="Times New Roman" w:cs="Times New Roman"/>
          <w:kern w:val="2"/>
          <w:sz w:val="24"/>
          <w:szCs w:val="24"/>
          <w:lang w:val="bg-BG"/>
          <w14:ligatures w14:val="standardContextual"/>
        </w:rPr>
        <w:t>5</w:t>
      </w:r>
      <w:r w:rsidRPr="00EA693E">
        <w:rPr>
          <w:rFonts w:ascii="Times New Roman" w:hAnsi="Times New Roman" w:cs="Times New Roman"/>
          <w:kern w:val="2"/>
          <w:sz w:val="24"/>
          <w:szCs w:val="24"/>
          <w:lang w:val="bg-BG"/>
          <w14:ligatures w14:val="standardContextual"/>
        </w:rPr>
        <w:t xml:space="preserve"> по-долу е представено предложението на УО за прехвърляне на финансов ресурс от засегнатите приоритети към новия приоритет.</w:t>
      </w:r>
    </w:p>
    <w:p w14:paraId="2BC9CDBA" w14:textId="77777777" w:rsidR="00CC3302" w:rsidRDefault="00CC3302" w:rsidP="00416FEE">
      <w:pPr>
        <w:spacing w:after="0" w:line="240" w:lineRule="auto"/>
        <w:ind w:firstLine="708"/>
        <w:jc w:val="both"/>
        <w:rPr>
          <w:rFonts w:ascii="Times New Roman" w:hAnsi="Times New Roman" w:cs="Times New Roman"/>
          <w:kern w:val="2"/>
          <w:sz w:val="24"/>
          <w:szCs w:val="24"/>
          <w:lang w:val="bg-BG"/>
          <w14:ligatures w14:val="standardContextual"/>
        </w:rPr>
      </w:pPr>
    </w:p>
    <w:p w14:paraId="1FB3BFAF" w14:textId="67505D83" w:rsidR="00EA693E" w:rsidRDefault="00EA693E" w:rsidP="00486B67">
      <w:pPr>
        <w:spacing w:after="0" w:line="240" w:lineRule="auto"/>
        <w:ind w:firstLine="708"/>
        <w:jc w:val="both"/>
        <w:rPr>
          <w:rFonts w:ascii="Times New Roman" w:hAnsi="Times New Roman" w:cs="Times New Roman"/>
          <w:kern w:val="2"/>
          <w:sz w:val="24"/>
          <w:szCs w:val="24"/>
          <w:lang w:val="bg-BG"/>
          <w14:ligatures w14:val="standardContextual"/>
        </w:rPr>
      </w:pPr>
      <w:r w:rsidRPr="00056503">
        <w:rPr>
          <w:rFonts w:ascii="Times New Roman" w:hAnsi="Times New Roman" w:cs="Times New Roman"/>
          <w:kern w:val="2"/>
          <w:sz w:val="24"/>
          <w:szCs w:val="24"/>
          <w:lang w:val="bg-BG"/>
          <w14:ligatures w14:val="standardContextual"/>
        </w:rPr>
        <w:lastRenderedPageBreak/>
        <w:t xml:space="preserve">Таблица </w:t>
      </w:r>
      <w:r w:rsidR="00056503" w:rsidRPr="00056503">
        <w:rPr>
          <w:rFonts w:ascii="Times New Roman" w:hAnsi="Times New Roman" w:cs="Times New Roman"/>
          <w:kern w:val="2"/>
          <w:sz w:val="24"/>
          <w:szCs w:val="24"/>
          <w:lang w:val="bg-BG"/>
          <w14:ligatures w14:val="standardContextual"/>
        </w:rPr>
        <w:t>5</w:t>
      </w:r>
      <w:r w:rsidRPr="00056503">
        <w:rPr>
          <w:rFonts w:ascii="Times New Roman" w:hAnsi="Times New Roman" w:cs="Times New Roman"/>
          <w:kern w:val="2"/>
          <w:sz w:val="24"/>
          <w:szCs w:val="24"/>
          <w:lang w:val="bg-BG"/>
          <w14:ligatures w14:val="standardContextual"/>
        </w:rPr>
        <w:t>. Прехвърляне на суми в нов приоритет по ПОС 2021-2027 г.: (данните в таблицата представят приноса от ЕС)</w:t>
      </w:r>
      <w:r w:rsidRPr="00EA693E">
        <w:rPr>
          <w:rFonts w:ascii="Times New Roman" w:hAnsi="Times New Roman" w:cs="Times New Roman"/>
          <w:kern w:val="2"/>
          <w:sz w:val="24"/>
          <w:szCs w:val="24"/>
          <w:lang w:val="bg-BG"/>
          <w14:ligatures w14:val="standardContextual"/>
        </w:rPr>
        <w:t xml:space="preserve"> </w:t>
      </w:r>
    </w:p>
    <w:p w14:paraId="39CA3612" w14:textId="77777777" w:rsidR="00056503" w:rsidRPr="00EA693E" w:rsidRDefault="00056503" w:rsidP="00486B67">
      <w:pPr>
        <w:spacing w:after="0" w:line="240" w:lineRule="auto"/>
        <w:ind w:firstLine="708"/>
        <w:jc w:val="both"/>
        <w:rPr>
          <w:rFonts w:ascii="Times New Roman" w:hAnsi="Times New Roman" w:cs="Times New Roman"/>
          <w:kern w:val="2"/>
          <w:sz w:val="24"/>
          <w:szCs w:val="24"/>
          <w:lang w:val="bg-BG"/>
          <w14:ligatures w14:val="standardContextual"/>
        </w:rPr>
      </w:pPr>
    </w:p>
    <w:p w14:paraId="4DCD604F" w14:textId="71C39DC7" w:rsidR="00EA693E" w:rsidRPr="00EA693E" w:rsidRDefault="00056503" w:rsidP="00056503">
      <w:pPr>
        <w:spacing w:after="0" w:line="240" w:lineRule="auto"/>
        <w:jc w:val="center"/>
        <w:rPr>
          <w:rFonts w:ascii="Times New Roman" w:hAnsi="Times New Roman" w:cs="Times New Roman"/>
          <w:kern w:val="2"/>
          <w:sz w:val="24"/>
          <w:szCs w:val="24"/>
          <w:lang w:val="bg-BG"/>
          <w14:ligatures w14:val="standardContextual"/>
        </w:rPr>
      </w:pPr>
      <w:r w:rsidRPr="00EA693E">
        <w:rPr>
          <w:noProof/>
          <w:kern w:val="2"/>
          <w:lang w:val="bg-BG"/>
          <w14:ligatures w14:val="standardContextual"/>
        </w:rPr>
        <w:drawing>
          <wp:inline distT="0" distB="0" distL="0" distR="0" wp14:anchorId="7888D0A1" wp14:editId="33B89BB6">
            <wp:extent cx="5760720" cy="4441190"/>
            <wp:effectExtent l="0" t="0" r="0" b="0"/>
            <wp:docPr id="146769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441190"/>
                    </a:xfrm>
                    <a:prstGeom prst="rect">
                      <a:avLst/>
                    </a:prstGeom>
                    <a:noFill/>
                    <a:ln>
                      <a:noFill/>
                    </a:ln>
                  </pic:spPr>
                </pic:pic>
              </a:graphicData>
            </a:graphic>
          </wp:inline>
        </w:drawing>
      </w:r>
    </w:p>
    <w:p w14:paraId="268161A4" w14:textId="77777777" w:rsidR="000823BE" w:rsidRDefault="000823BE" w:rsidP="00EA693E">
      <w:pPr>
        <w:spacing w:after="0" w:line="240" w:lineRule="auto"/>
        <w:jc w:val="both"/>
        <w:rPr>
          <w:rFonts w:ascii="Times New Roman" w:hAnsi="Times New Roman" w:cs="Times New Roman"/>
          <w:kern w:val="2"/>
          <w:sz w:val="24"/>
          <w:szCs w:val="24"/>
          <w:lang w:val="bg-BG"/>
          <w14:ligatures w14:val="standardContextual"/>
        </w:rPr>
      </w:pPr>
    </w:p>
    <w:p w14:paraId="473C05F7" w14:textId="6509A6E6" w:rsidR="007E413D" w:rsidRPr="00895ED8" w:rsidRDefault="00ED17E2" w:rsidP="007E413D">
      <w:pPr>
        <w:spacing w:after="0" w:line="240" w:lineRule="auto"/>
        <w:ind w:firstLine="708"/>
        <w:jc w:val="both"/>
        <w:rPr>
          <w:rFonts w:ascii="Times New Roman" w:hAnsi="Times New Roman" w:cs="Times New Roman"/>
          <w:kern w:val="2"/>
          <w:sz w:val="24"/>
          <w:szCs w:val="24"/>
          <w:lang w:val="bg-BG"/>
          <w14:ligatures w14:val="standardContextual"/>
        </w:rPr>
      </w:pPr>
      <w:r w:rsidRPr="00ED17E2">
        <w:rPr>
          <w:rFonts w:ascii="Times New Roman" w:hAnsi="Times New Roman" w:cs="Times New Roman"/>
          <w:kern w:val="2"/>
          <w:sz w:val="24"/>
          <w:szCs w:val="24"/>
          <w:lang w:val="bg-BG"/>
          <w14:ligatures w14:val="standardContextual"/>
        </w:rPr>
        <w:t>Видно от данните в таблицата</w:t>
      </w:r>
      <w:r w:rsidR="0031081D">
        <w:rPr>
          <w:rFonts w:ascii="Times New Roman" w:hAnsi="Times New Roman" w:cs="Times New Roman"/>
          <w:kern w:val="2"/>
          <w:sz w:val="24"/>
          <w:szCs w:val="24"/>
          <w:lang w:val="bg-BG"/>
          <w14:ligatures w14:val="standardContextual"/>
        </w:rPr>
        <w:t>,</w:t>
      </w:r>
      <w:r w:rsidRPr="00ED17E2">
        <w:rPr>
          <w:rFonts w:ascii="Times New Roman" w:hAnsi="Times New Roman" w:cs="Times New Roman"/>
          <w:kern w:val="2"/>
          <w:sz w:val="24"/>
          <w:szCs w:val="24"/>
          <w:lang w:val="bg-BG"/>
          <w14:ligatures w14:val="standardContextual"/>
        </w:rPr>
        <w:t xml:space="preserve"> приносът от фондовете на ЕС по програмата остава непроменен.</w:t>
      </w:r>
    </w:p>
    <w:p w14:paraId="5FD7943E" w14:textId="51A71E04" w:rsidR="0064111D" w:rsidRPr="007E413D" w:rsidRDefault="00ED17E2" w:rsidP="007E413D">
      <w:pPr>
        <w:spacing w:after="0" w:line="240" w:lineRule="auto"/>
        <w:ind w:firstLine="708"/>
        <w:jc w:val="both"/>
        <w:rPr>
          <w:rFonts w:ascii="Times New Roman" w:hAnsi="Times New Roman" w:cs="Times New Roman"/>
          <w:kern w:val="2"/>
          <w:sz w:val="24"/>
          <w:szCs w:val="24"/>
          <w:lang w:val="bg-BG"/>
          <w14:ligatures w14:val="standardContextual"/>
        </w:rPr>
      </w:pPr>
      <w:r w:rsidRPr="007E413D">
        <w:rPr>
          <w:rFonts w:ascii="Times New Roman" w:hAnsi="Times New Roman" w:cs="Times New Roman"/>
          <w:kern w:val="2"/>
          <w:sz w:val="24"/>
          <w:szCs w:val="24"/>
          <w:lang w:val="bg-BG"/>
          <w14:ligatures w14:val="standardContextual"/>
        </w:rPr>
        <w:t>Във връзка с направените финансови анализи, се предлага прехвърляне на финансов ресурс от засегнатите приоритети към новия приоритет в размер на 108 649 526 евро принос от ЕС (ЕФРР и КФ) от приоритет 1 „Води“; 42 663 878 евро принос от ЕС от приоритет 2 „Отпадъци“ и 34 767 846 евро принос от ЕС от приоритет 5 „Въздух“</w:t>
      </w:r>
      <w:r w:rsidR="00B3192E">
        <w:rPr>
          <w:rFonts w:ascii="Times New Roman" w:hAnsi="Times New Roman" w:cs="Times New Roman"/>
          <w:kern w:val="2"/>
          <w:sz w:val="24"/>
          <w:szCs w:val="24"/>
          <w:lang w:val="bg-BG"/>
          <w14:ligatures w14:val="standardContextual"/>
        </w:rPr>
        <w:t xml:space="preserve"> </w:t>
      </w:r>
      <w:r w:rsidR="00B3192E" w:rsidRPr="007E413D">
        <w:rPr>
          <w:rFonts w:ascii="Times New Roman" w:hAnsi="Times New Roman" w:cs="Times New Roman"/>
          <w:kern w:val="2"/>
          <w:sz w:val="24"/>
          <w:szCs w:val="24"/>
          <w:lang w:val="bg-BG"/>
          <w14:ligatures w14:val="standardContextual"/>
        </w:rPr>
        <w:t>(ЕФРР и КФ)</w:t>
      </w:r>
      <w:r w:rsidRPr="007E413D">
        <w:rPr>
          <w:rFonts w:ascii="Times New Roman" w:hAnsi="Times New Roman" w:cs="Times New Roman"/>
          <w:kern w:val="2"/>
          <w:sz w:val="24"/>
          <w:szCs w:val="24"/>
          <w:lang w:val="bg-BG"/>
          <w14:ligatures w14:val="standardContextual"/>
        </w:rPr>
        <w:t xml:space="preserve">. По този начин размерът на ресурса за новия </w:t>
      </w:r>
      <w:r w:rsidR="0031081D" w:rsidRPr="007E413D">
        <w:rPr>
          <w:rFonts w:ascii="Times New Roman" w:hAnsi="Times New Roman" w:cs="Times New Roman"/>
          <w:kern w:val="2"/>
          <w:sz w:val="24"/>
          <w:szCs w:val="24"/>
          <w:lang w:val="bg-BG"/>
          <w14:ligatures w14:val="standardContextual"/>
        </w:rPr>
        <w:t xml:space="preserve">Приоритет </w:t>
      </w:r>
      <w:r w:rsidRPr="007E413D">
        <w:rPr>
          <w:rFonts w:ascii="Times New Roman" w:hAnsi="Times New Roman" w:cs="Times New Roman"/>
          <w:kern w:val="2"/>
          <w:sz w:val="24"/>
          <w:szCs w:val="24"/>
          <w:lang w:val="bg-BG"/>
          <w14:ligatures w14:val="standardContextual"/>
        </w:rPr>
        <w:t>7 „Устойчивост на водите“ е 186 081 250 евро принос от ЕС. Общият размер на финансовия ресурс на приоритета възлиза на 219 855 509 евро.</w:t>
      </w:r>
      <w:r w:rsidR="00B3192E">
        <w:rPr>
          <w:rFonts w:ascii="Times New Roman" w:hAnsi="Times New Roman" w:cs="Times New Roman"/>
          <w:kern w:val="2"/>
          <w:sz w:val="24"/>
          <w:szCs w:val="24"/>
          <w:lang w:val="bg-BG"/>
          <w14:ligatures w14:val="standardContextual"/>
        </w:rPr>
        <w:t xml:space="preserve"> </w:t>
      </w:r>
    </w:p>
    <w:p w14:paraId="4A341C62" w14:textId="77777777" w:rsidR="00B0705D" w:rsidRPr="005E7A0E" w:rsidRDefault="00B0705D" w:rsidP="00EA693E">
      <w:pPr>
        <w:pStyle w:val="ListParagraph"/>
        <w:spacing w:after="0" w:line="240" w:lineRule="auto"/>
        <w:jc w:val="both"/>
        <w:rPr>
          <w:rFonts w:ascii="Times New Roman" w:eastAsia="Calibri" w:hAnsi="Times New Roman" w:cs="Times New Roman"/>
          <w:b/>
          <w:bCs/>
          <w:sz w:val="24"/>
          <w:szCs w:val="24"/>
          <w:lang w:val="bg-BG"/>
        </w:rPr>
      </w:pPr>
    </w:p>
    <w:p w14:paraId="7D923C73" w14:textId="4BF18231" w:rsidR="00B0705D" w:rsidRDefault="00BC1984" w:rsidP="00B0705D">
      <w:pPr>
        <w:pStyle w:val="ListParagraph"/>
        <w:numPr>
          <w:ilvl w:val="0"/>
          <w:numId w:val="15"/>
        </w:numPr>
        <w:spacing w:before="240" w:after="100" w:afterAutospacing="1" w:line="245" w:lineRule="auto"/>
        <w:ind w:left="714" w:hanging="357"/>
        <w:jc w:val="both"/>
        <w:rPr>
          <w:rFonts w:ascii="Times New Roman" w:eastAsia="Calibri" w:hAnsi="Times New Roman" w:cs="Times New Roman"/>
          <w:b/>
          <w:bCs/>
          <w:sz w:val="24"/>
          <w:szCs w:val="24"/>
          <w:lang w:val="bg-BG"/>
        </w:rPr>
      </w:pPr>
      <w:r>
        <w:rPr>
          <w:rFonts w:ascii="Times New Roman" w:eastAsia="Calibri" w:hAnsi="Times New Roman" w:cs="Times New Roman"/>
          <w:b/>
          <w:bCs/>
          <w:sz w:val="24"/>
          <w:szCs w:val="24"/>
          <w:lang w:val="bg-BG"/>
        </w:rPr>
        <w:t>П</w:t>
      </w:r>
      <w:r w:rsidR="00B0705D" w:rsidRPr="005E7A0E">
        <w:rPr>
          <w:rFonts w:ascii="Times New Roman" w:eastAsia="Calibri" w:hAnsi="Times New Roman" w:cs="Times New Roman"/>
          <w:b/>
          <w:bCs/>
          <w:sz w:val="24"/>
          <w:szCs w:val="24"/>
          <w:lang w:val="bg-BG"/>
        </w:rPr>
        <w:t xml:space="preserve">ромени в </w:t>
      </w:r>
      <w:r>
        <w:rPr>
          <w:rFonts w:ascii="Times New Roman" w:eastAsia="Calibri" w:hAnsi="Times New Roman" w:cs="Times New Roman"/>
          <w:b/>
          <w:bCs/>
          <w:sz w:val="24"/>
          <w:szCs w:val="24"/>
          <w:lang w:val="bg-BG"/>
        </w:rPr>
        <w:t xml:space="preserve">текста на </w:t>
      </w:r>
      <w:r w:rsidR="00B0705D" w:rsidRPr="005E7A0E">
        <w:rPr>
          <w:rFonts w:ascii="Times New Roman" w:eastAsia="Calibri" w:hAnsi="Times New Roman" w:cs="Times New Roman"/>
          <w:b/>
          <w:bCs/>
          <w:sz w:val="24"/>
          <w:szCs w:val="24"/>
          <w:lang w:val="bg-BG"/>
        </w:rPr>
        <w:t>ПОС</w:t>
      </w:r>
      <w:r>
        <w:rPr>
          <w:rFonts w:ascii="Times New Roman" w:eastAsia="Calibri" w:hAnsi="Times New Roman" w:cs="Times New Roman"/>
          <w:b/>
          <w:bCs/>
          <w:sz w:val="24"/>
          <w:szCs w:val="24"/>
          <w:lang w:val="bg-BG"/>
        </w:rPr>
        <w:t xml:space="preserve"> 2021-2027 г.</w:t>
      </w:r>
    </w:p>
    <w:p w14:paraId="2DB7BC92" w14:textId="77777777" w:rsidR="00764DF9" w:rsidRPr="00764DF9" w:rsidRDefault="00764DF9" w:rsidP="0076081C">
      <w:pPr>
        <w:spacing w:after="0" w:line="240" w:lineRule="auto"/>
        <w:ind w:firstLine="357"/>
        <w:jc w:val="both"/>
        <w:rPr>
          <w:rFonts w:ascii="Times New Roman" w:eastAsia="Calibri" w:hAnsi="Times New Roman" w:cs="Times New Roman"/>
          <w:sz w:val="24"/>
          <w:szCs w:val="24"/>
          <w:lang w:val="bg-BG"/>
        </w:rPr>
      </w:pPr>
      <w:r w:rsidRPr="00764DF9">
        <w:rPr>
          <w:rFonts w:ascii="Times New Roman" w:eastAsia="Calibri" w:hAnsi="Times New Roman" w:cs="Times New Roman"/>
          <w:sz w:val="24"/>
          <w:szCs w:val="24"/>
          <w:lang w:val="bg-BG"/>
        </w:rPr>
        <w:t>Въз основа на гореописаните предложения са извършени промени в Програма „Околна среда“ 2021-2027 г., както следва:</w:t>
      </w:r>
    </w:p>
    <w:p w14:paraId="2ABB9230" w14:textId="77777777" w:rsidR="0076081C" w:rsidRDefault="0076081C" w:rsidP="0076081C">
      <w:pPr>
        <w:spacing w:after="0" w:line="240" w:lineRule="auto"/>
        <w:jc w:val="both"/>
        <w:rPr>
          <w:rFonts w:ascii="Times New Roman" w:eastAsia="Calibri" w:hAnsi="Times New Roman" w:cs="Times New Roman"/>
          <w:sz w:val="24"/>
          <w:szCs w:val="24"/>
          <w:lang w:val="bg-BG"/>
        </w:rPr>
      </w:pPr>
    </w:p>
    <w:p w14:paraId="6B60A542" w14:textId="0C8FA760" w:rsidR="00ED50C6" w:rsidRDefault="00764DF9" w:rsidP="0076081C">
      <w:pPr>
        <w:spacing w:after="0" w:line="240" w:lineRule="auto"/>
        <w:ind w:firstLine="357"/>
        <w:jc w:val="both"/>
        <w:rPr>
          <w:rFonts w:ascii="Times New Roman" w:eastAsia="Calibri" w:hAnsi="Times New Roman" w:cs="Times New Roman"/>
          <w:sz w:val="24"/>
          <w:szCs w:val="24"/>
          <w:lang w:val="bg-BG"/>
        </w:rPr>
      </w:pPr>
      <w:r w:rsidRPr="0024388D">
        <w:rPr>
          <w:rFonts w:ascii="Times New Roman" w:eastAsia="Calibri" w:hAnsi="Times New Roman" w:cs="Times New Roman"/>
          <w:b/>
          <w:bCs/>
          <w:sz w:val="24"/>
          <w:szCs w:val="24"/>
          <w:lang w:val="bg-BG"/>
        </w:rPr>
        <w:lastRenderedPageBreak/>
        <w:t>В</w:t>
      </w:r>
      <w:r w:rsidRPr="00764DF9">
        <w:rPr>
          <w:rFonts w:ascii="Times New Roman" w:eastAsia="Calibri" w:hAnsi="Times New Roman" w:cs="Times New Roman"/>
          <w:sz w:val="24"/>
          <w:szCs w:val="24"/>
          <w:lang w:val="bg-BG"/>
        </w:rPr>
        <w:t xml:space="preserve"> </w:t>
      </w:r>
      <w:r w:rsidR="0076081C" w:rsidRPr="000823BE">
        <w:rPr>
          <w:rFonts w:ascii="Times New Roman" w:eastAsia="Calibri" w:hAnsi="Times New Roman" w:cs="Times New Roman"/>
          <w:b/>
          <w:bCs/>
          <w:sz w:val="24"/>
          <w:szCs w:val="24"/>
          <w:lang w:val="bg-BG"/>
        </w:rPr>
        <w:t>раздел</w:t>
      </w:r>
      <w:r w:rsidRPr="000823BE">
        <w:rPr>
          <w:rFonts w:ascii="Times New Roman" w:eastAsia="Calibri" w:hAnsi="Times New Roman" w:cs="Times New Roman"/>
          <w:b/>
          <w:bCs/>
          <w:sz w:val="24"/>
          <w:szCs w:val="24"/>
          <w:lang w:val="bg-BG"/>
        </w:rPr>
        <w:t xml:space="preserve"> „Програмна стратегия: основни предизвикателства пред развитието и ответни мерки на политиката“</w:t>
      </w:r>
      <w:r w:rsidRPr="00764DF9">
        <w:rPr>
          <w:rFonts w:ascii="Times New Roman" w:eastAsia="Calibri" w:hAnsi="Times New Roman" w:cs="Times New Roman"/>
          <w:sz w:val="24"/>
          <w:szCs w:val="24"/>
          <w:lang w:val="bg-BG"/>
        </w:rPr>
        <w:t xml:space="preserve"> </w:t>
      </w:r>
      <w:r w:rsidR="00ED50C6" w:rsidRPr="00ED50C6">
        <w:rPr>
          <w:rFonts w:ascii="Times New Roman" w:eastAsia="Calibri" w:hAnsi="Times New Roman" w:cs="Times New Roman"/>
          <w:sz w:val="24"/>
          <w:szCs w:val="24"/>
          <w:lang w:val="bg-BG"/>
        </w:rPr>
        <w:t>са допълнени текстове във връзка с адресирането на новите приоритети на ЕС</w:t>
      </w:r>
      <w:r w:rsidR="00DC035B">
        <w:rPr>
          <w:rFonts w:ascii="Times New Roman" w:eastAsia="Calibri" w:hAnsi="Times New Roman" w:cs="Times New Roman"/>
          <w:sz w:val="24"/>
          <w:szCs w:val="24"/>
          <w:lang w:val="bg-BG"/>
        </w:rPr>
        <w:t xml:space="preserve"> и създаването на </w:t>
      </w:r>
      <w:r w:rsidR="00DC035B" w:rsidRPr="00DC035B">
        <w:rPr>
          <w:rFonts w:ascii="Times New Roman" w:eastAsia="Calibri" w:hAnsi="Times New Roman" w:cs="Times New Roman"/>
          <w:sz w:val="24"/>
          <w:szCs w:val="24"/>
          <w:lang w:val="bg-BG"/>
        </w:rPr>
        <w:t>нов</w:t>
      </w:r>
      <w:r w:rsidR="00DC035B">
        <w:rPr>
          <w:rFonts w:ascii="Times New Roman" w:eastAsia="Calibri" w:hAnsi="Times New Roman" w:cs="Times New Roman"/>
          <w:sz w:val="24"/>
          <w:szCs w:val="24"/>
          <w:lang w:val="bg-BG"/>
        </w:rPr>
        <w:t>ия</w:t>
      </w:r>
      <w:r w:rsidR="00DC035B" w:rsidRPr="00DC035B">
        <w:rPr>
          <w:rFonts w:ascii="Times New Roman" w:eastAsia="Calibri" w:hAnsi="Times New Roman" w:cs="Times New Roman"/>
          <w:sz w:val="24"/>
          <w:szCs w:val="24"/>
          <w:lang w:val="bg-BG"/>
        </w:rPr>
        <w:t xml:space="preserve"> специален приоритет „Устойчивост на водите“</w:t>
      </w:r>
      <w:r w:rsidR="0021604B">
        <w:rPr>
          <w:rFonts w:ascii="Times New Roman" w:eastAsia="Calibri" w:hAnsi="Times New Roman" w:cs="Times New Roman"/>
          <w:sz w:val="24"/>
          <w:szCs w:val="24"/>
          <w:lang w:val="bg-BG"/>
        </w:rPr>
        <w:t xml:space="preserve"> и са извършени редакции, с цел съобразяване на максималния брой на символите в раздела</w:t>
      </w:r>
      <w:r w:rsidR="00ED50C6" w:rsidRPr="00ED50C6">
        <w:rPr>
          <w:rFonts w:ascii="Times New Roman" w:eastAsia="Calibri" w:hAnsi="Times New Roman" w:cs="Times New Roman"/>
          <w:sz w:val="24"/>
          <w:szCs w:val="24"/>
          <w:lang w:val="bg-BG"/>
        </w:rPr>
        <w:t>.</w:t>
      </w:r>
      <w:r w:rsidR="00ED50C6">
        <w:rPr>
          <w:rFonts w:ascii="Times New Roman" w:eastAsia="Calibri" w:hAnsi="Times New Roman" w:cs="Times New Roman"/>
          <w:sz w:val="24"/>
          <w:szCs w:val="24"/>
          <w:lang w:val="bg-BG"/>
        </w:rPr>
        <w:t xml:space="preserve"> </w:t>
      </w:r>
    </w:p>
    <w:p w14:paraId="7CCA03E1" w14:textId="1A204C5B" w:rsidR="00764DF9" w:rsidRPr="00764DF9" w:rsidRDefault="00ED50C6" w:rsidP="0076081C">
      <w:pPr>
        <w:spacing w:after="0" w:line="240" w:lineRule="auto"/>
        <w:ind w:firstLine="357"/>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В</w:t>
      </w:r>
      <w:r w:rsidR="00C31B75">
        <w:rPr>
          <w:rFonts w:ascii="Times New Roman" w:eastAsia="Calibri" w:hAnsi="Times New Roman" w:cs="Times New Roman"/>
          <w:sz w:val="24"/>
          <w:szCs w:val="24"/>
          <w:lang w:val="bg-BG"/>
        </w:rPr>
        <w:t xml:space="preserve"> </w:t>
      </w:r>
      <w:r w:rsidR="00764DF9" w:rsidRPr="006D0CC9">
        <w:rPr>
          <w:rFonts w:ascii="Times New Roman" w:eastAsia="Calibri" w:hAnsi="Times New Roman" w:cs="Times New Roman"/>
          <w:b/>
          <w:bCs/>
          <w:sz w:val="24"/>
          <w:szCs w:val="24"/>
          <w:lang w:val="bg-BG"/>
        </w:rPr>
        <w:t>Таблица 1</w:t>
      </w:r>
      <w:r w:rsidR="00764DF9" w:rsidRPr="00764DF9">
        <w:rPr>
          <w:rFonts w:ascii="Times New Roman" w:eastAsia="Calibri" w:hAnsi="Times New Roman" w:cs="Times New Roman"/>
          <w:sz w:val="24"/>
          <w:szCs w:val="24"/>
          <w:lang w:val="bg-BG"/>
        </w:rPr>
        <w:t xml:space="preserve"> е </w:t>
      </w:r>
      <w:r w:rsidR="00C31B75">
        <w:rPr>
          <w:rFonts w:ascii="Times New Roman" w:eastAsia="Calibri" w:hAnsi="Times New Roman" w:cs="Times New Roman"/>
          <w:sz w:val="24"/>
          <w:szCs w:val="24"/>
          <w:lang w:val="bg-BG"/>
        </w:rPr>
        <w:t xml:space="preserve">изменена </w:t>
      </w:r>
      <w:r w:rsidR="00764DF9" w:rsidRPr="00764DF9">
        <w:rPr>
          <w:rFonts w:ascii="Times New Roman" w:eastAsia="Calibri" w:hAnsi="Times New Roman" w:cs="Times New Roman"/>
          <w:sz w:val="24"/>
          <w:szCs w:val="24"/>
          <w:lang w:val="bg-BG"/>
        </w:rPr>
        <w:t xml:space="preserve">специфичната цел </w:t>
      </w:r>
      <w:r w:rsidR="00C31B75">
        <w:rPr>
          <w:rFonts w:ascii="Times New Roman" w:eastAsia="Calibri" w:hAnsi="Times New Roman" w:cs="Times New Roman"/>
          <w:sz w:val="24"/>
          <w:szCs w:val="24"/>
          <w:lang w:val="bg-BG"/>
        </w:rPr>
        <w:t xml:space="preserve">2.5 като е добавена новата специфична цел </w:t>
      </w:r>
      <w:r w:rsidR="00764DF9" w:rsidRPr="00764DF9">
        <w:rPr>
          <w:rFonts w:ascii="Times New Roman" w:eastAsia="Calibri" w:hAnsi="Times New Roman" w:cs="Times New Roman"/>
          <w:sz w:val="24"/>
          <w:szCs w:val="24"/>
          <w:lang w:val="bg-BG"/>
        </w:rPr>
        <w:t xml:space="preserve">по чл. 1, пар. 1, бук. а, ii от Регламент 2025/1914 „Насърчаване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 и обосновка </w:t>
      </w:r>
      <w:r w:rsidR="00C31B75">
        <w:rPr>
          <w:rFonts w:ascii="Times New Roman" w:eastAsia="Calibri" w:hAnsi="Times New Roman" w:cs="Times New Roman"/>
          <w:sz w:val="24"/>
          <w:szCs w:val="24"/>
          <w:lang w:val="bg-BG"/>
        </w:rPr>
        <w:t>към нея</w:t>
      </w:r>
      <w:r w:rsidR="00764DF9" w:rsidRPr="00764DF9">
        <w:rPr>
          <w:rFonts w:ascii="Times New Roman" w:eastAsia="Calibri" w:hAnsi="Times New Roman" w:cs="Times New Roman"/>
          <w:sz w:val="24"/>
          <w:szCs w:val="24"/>
          <w:lang w:val="bg-BG"/>
        </w:rPr>
        <w:t>.</w:t>
      </w:r>
    </w:p>
    <w:p w14:paraId="6D03BC95" w14:textId="6EA683DE" w:rsidR="00764DF9" w:rsidRPr="00764DF9" w:rsidRDefault="00D951A0" w:rsidP="00D951A0">
      <w:pPr>
        <w:spacing w:before="240" w:after="100" w:afterAutospacing="1" w:line="245" w:lineRule="auto"/>
        <w:ind w:firstLine="357"/>
        <w:jc w:val="both"/>
        <w:rPr>
          <w:rFonts w:ascii="Times New Roman" w:eastAsia="Calibri" w:hAnsi="Times New Roman" w:cs="Times New Roman"/>
          <w:b/>
          <w:bCs/>
          <w:sz w:val="24"/>
          <w:szCs w:val="24"/>
          <w:lang w:val="bg-BG"/>
        </w:rPr>
      </w:pPr>
      <w:r>
        <w:rPr>
          <w:rFonts w:ascii="Times New Roman" w:eastAsia="Calibri" w:hAnsi="Times New Roman" w:cs="Times New Roman"/>
          <w:b/>
          <w:bCs/>
          <w:sz w:val="24"/>
          <w:szCs w:val="24"/>
          <w:lang w:val="bg-BG"/>
        </w:rPr>
        <w:t xml:space="preserve">В раздел „Приоритети“, </w:t>
      </w:r>
      <w:r w:rsidR="00764DF9" w:rsidRPr="00764DF9">
        <w:rPr>
          <w:rFonts w:ascii="Times New Roman" w:eastAsia="Calibri" w:hAnsi="Times New Roman" w:cs="Times New Roman"/>
          <w:b/>
          <w:bCs/>
          <w:sz w:val="24"/>
          <w:szCs w:val="24"/>
          <w:lang w:val="bg-BG"/>
        </w:rPr>
        <w:t xml:space="preserve">Приоритет 1 „Води“ се </w:t>
      </w:r>
      <w:r>
        <w:rPr>
          <w:rFonts w:ascii="Times New Roman" w:eastAsia="Calibri" w:hAnsi="Times New Roman" w:cs="Times New Roman"/>
          <w:b/>
          <w:bCs/>
          <w:sz w:val="24"/>
          <w:szCs w:val="24"/>
          <w:lang w:val="bg-BG"/>
        </w:rPr>
        <w:t>извършват следните изменения</w:t>
      </w:r>
      <w:r w:rsidR="00764DF9" w:rsidRPr="00764DF9">
        <w:rPr>
          <w:rFonts w:ascii="Times New Roman" w:eastAsia="Calibri" w:hAnsi="Times New Roman" w:cs="Times New Roman"/>
          <w:b/>
          <w:bCs/>
          <w:sz w:val="24"/>
          <w:szCs w:val="24"/>
          <w:lang w:val="bg-BG"/>
        </w:rPr>
        <w:t>:</w:t>
      </w:r>
      <w:r>
        <w:rPr>
          <w:rFonts w:ascii="Times New Roman" w:eastAsia="Calibri" w:hAnsi="Times New Roman" w:cs="Times New Roman"/>
          <w:b/>
          <w:bCs/>
          <w:sz w:val="24"/>
          <w:szCs w:val="24"/>
          <w:lang w:val="bg-BG"/>
        </w:rPr>
        <w:t xml:space="preserve"> </w:t>
      </w:r>
    </w:p>
    <w:p w14:paraId="63F87DD7" w14:textId="380570CF" w:rsidR="00D951A0" w:rsidRDefault="00D951A0" w:rsidP="00764DF9">
      <w:pPr>
        <w:numPr>
          <w:ilvl w:val="0"/>
          <w:numId w:val="21"/>
        </w:numPr>
        <w:spacing w:before="240" w:after="100" w:afterAutospacing="1" w:line="245"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Изменя се специфичната цел на приоритета на </w:t>
      </w:r>
      <w:r w:rsidRPr="00764DF9">
        <w:rPr>
          <w:rFonts w:ascii="Times New Roman" w:eastAsia="Calibri" w:hAnsi="Times New Roman" w:cs="Times New Roman"/>
          <w:sz w:val="24"/>
          <w:szCs w:val="24"/>
          <w:lang w:val="bg-BG"/>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r>
        <w:rPr>
          <w:rFonts w:ascii="Times New Roman" w:eastAsia="Calibri" w:hAnsi="Times New Roman" w:cs="Times New Roman"/>
          <w:sz w:val="24"/>
          <w:szCs w:val="24"/>
          <w:lang w:val="bg-BG"/>
        </w:rPr>
        <w:t xml:space="preserve">; </w:t>
      </w:r>
    </w:p>
    <w:p w14:paraId="620F7E39" w14:textId="3C381697" w:rsidR="005525C7" w:rsidRDefault="005525C7" w:rsidP="00764DF9">
      <w:pPr>
        <w:numPr>
          <w:ilvl w:val="0"/>
          <w:numId w:val="21"/>
        </w:numPr>
        <w:spacing w:before="240" w:after="100" w:afterAutospacing="1" w:line="245"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Прецизирани са текстове в </w:t>
      </w:r>
      <w:r w:rsidRPr="006D0CC9">
        <w:rPr>
          <w:rFonts w:ascii="Times New Roman" w:eastAsia="Calibri" w:hAnsi="Times New Roman" w:cs="Times New Roman"/>
          <w:b/>
          <w:bCs/>
          <w:sz w:val="24"/>
          <w:szCs w:val="24"/>
          <w:lang w:val="bg-BG"/>
        </w:rPr>
        <w:t>т. 2.1.1.1.1. „Интервенции по линия на фондовете“</w:t>
      </w:r>
      <w:r>
        <w:rPr>
          <w:rFonts w:ascii="Times New Roman" w:eastAsia="Calibri" w:hAnsi="Times New Roman" w:cs="Times New Roman"/>
          <w:sz w:val="24"/>
          <w:szCs w:val="24"/>
          <w:lang w:val="bg-BG"/>
        </w:rPr>
        <w:t>, във връзка с извършените промени и създаването на новия приоритет 7 „Устойчивост на водите“;</w:t>
      </w:r>
      <w:r w:rsidR="006F1238" w:rsidRPr="00895ED8">
        <w:rPr>
          <w:lang w:val="bg-BG"/>
        </w:rPr>
        <w:t xml:space="preserve"> </w:t>
      </w:r>
      <w:r w:rsidR="006F1238" w:rsidRPr="006F1238">
        <w:rPr>
          <w:rFonts w:ascii="Times New Roman" w:eastAsia="Calibri" w:hAnsi="Times New Roman" w:cs="Times New Roman"/>
          <w:sz w:val="24"/>
          <w:szCs w:val="24"/>
          <w:lang w:val="bg-BG"/>
        </w:rPr>
        <w:t xml:space="preserve">Предложено е включването на инвестиции </w:t>
      </w:r>
      <w:r w:rsidR="00CA3AEE">
        <w:rPr>
          <w:rFonts w:ascii="Times New Roman" w:eastAsia="Calibri" w:hAnsi="Times New Roman" w:cs="Times New Roman"/>
          <w:sz w:val="24"/>
          <w:szCs w:val="24"/>
          <w:lang w:val="bg-BG"/>
        </w:rPr>
        <w:t xml:space="preserve">и </w:t>
      </w:r>
      <w:r w:rsidR="006F1238" w:rsidRPr="006F1238">
        <w:rPr>
          <w:rFonts w:ascii="Times New Roman" w:eastAsia="Calibri" w:hAnsi="Times New Roman" w:cs="Times New Roman"/>
          <w:sz w:val="24"/>
          <w:szCs w:val="24"/>
          <w:lang w:val="bg-BG"/>
        </w:rPr>
        <w:t xml:space="preserve">в </w:t>
      </w:r>
      <w:r w:rsidR="00627F1C">
        <w:rPr>
          <w:rFonts w:ascii="Times New Roman" w:eastAsia="Calibri" w:hAnsi="Times New Roman" w:cs="Times New Roman"/>
          <w:sz w:val="24"/>
          <w:szCs w:val="24"/>
          <w:lang w:val="bg-BG"/>
        </w:rPr>
        <w:t xml:space="preserve">допълнителни </w:t>
      </w:r>
      <w:r w:rsidR="006F1238" w:rsidRPr="006F1238">
        <w:rPr>
          <w:rFonts w:ascii="Times New Roman" w:eastAsia="Calibri" w:hAnsi="Times New Roman" w:cs="Times New Roman"/>
          <w:sz w:val="24"/>
          <w:szCs w:val="24"/>
          <w:lang w:val="bg-BG"/>
        </w:rPr>
        <w:t>агломерации над 10 000 екв. ж.</w:t>
      </w:r>
      <w:r w:rsidR="00DC6451">
        <w:rPr>
          <w:rFonts w:ascii="Times New Roman" w:eastAsia="Calibri" w:hAnsi="Times New Roman" w:cs="Times New Roman"/>
          <w:sz w:val="24"/>
          <w:szCs w:val="24"/>
          <w:lang w:val="bg-BG"/>
        </w:rPr>
        <w:t>,</w:t>
      </w:r>
      <w:r w:rsidR="006F1238" w:rsidRPr="006F1238">
        <w:rPr>
          <w:rFonts w:ascii="Times New Roman" w:eastAsia="Calibri" w:hAnsi="Times New Roman" w:cs="Times New Roman"/>
          <w:sz w:val="24"/>
          <w:szCs w:val="24"/>
          <w:lang w:val="bg-BG"/>
        </w:rPr>
        <w:t xml:space="preserve"> с цел адресиране на наказателна процедура 2017/2082 пред Съда на ЕС за неизпълнение на задълженията на страната, определени в Директива 91/271/ЕИО за пречистването на градските отпадъчни води, като за тях е определен процент на съфинансиране в размер на 12% от стойността на допустимите инвестиционни разходи</w:t>
      </w:r>
      <w:r w:rsidR="00AC1F0E">
        <w:rPr>
          <w:rFonts w:ascii="Times New Roman" w:eastAsia="Calibri" w:hAnsi="Times New Roman" w:cs="Times New Roman"/>
          <w:sz w:val="24"/>
          <w:szCs w:val="24"/>
          <w:lang w:val="bg-BG"/>
        </w:rPr>
        <w:t>,</w:t>
      </w:r>
      <w:r w:rsidR="006F1238" w:rsidRPr="006F1238">
        <w:rPr>
          <w:rFonts w:ascii="Times New Roman" w:eastAsia="Calibri" w:hAnsi="Times New Roman" w:cs="Times New Roman"/>
          <w:sz w:val="24"/>
          <w:szCs w:val="24"/>
          <w:lang w:val="bg-BG"/>
        </w:rPr>
        <w:t xml:space="preserve"> по аналогия на мотивите</w:t>
      </w:r>
      <w:r w:rsidR="00533A77">
        <w:rPr>
          <w:rFonts w:ascii="Times New Roman" w:eastAsia="Calibri" w:hAnsi="Times New Roman" w:cs="Times New Roman"/>
          <w:sz w:val="24"/>
          <w:szCs w:val="24"/>
          <w:lang w:val="bg-BG"/>
        </w:rPr>
        <w:t>,</w:t>
      </w:r>
      <w:r w:rsidR="006F1238" w:rsidRPr="006F1238">
        <w:rPr>
          <w:rFonts w:ascii="Times New Roman" w:eastAsia="Calibri" w:hAnsi="Times New Roman" w:cs="Times New Roman"/>
          <w:sz w:val="24"/>
          <w:szCs w:val="24"/>
          <w:lang w:val="bg-BG"/>
        </w:rPr>
        <w:t xml:space="preserve"> изложени за Приоритет 7.</w:t>
      </w:r>
    </w:p>
    <w:p w14:paraId="2B992628" w14:textId="724B3AF1" w:rsidR="00833539" w:rsidRPr="00B94235" w:rsidRDefault="008C16A6" w:rsidP="00147D8B">
      <w:pPr>
        <w:numPr>
          <w:ilvl w:val="0"/>
          <w:numId w:val="21"/>
        </w:numPr>
        <w:spacing w:after="0" w:line="240" w:lineRule="auto"/>
        <w:contextualSpacing/>
        <w:jc w:val="both"/>
        <w:rPr>
          <w:rFonts w:ascii="Times New Roman" w:eastAsia="Calibri" w:hAnsi="Times New Roman" w:cs="Times New Roman"/>
          <w:sz w:val="24"/>
          <w:szCs w:val="24"/>
          <w:lang w:val="bg-BG"/>
        </w:rPr>
      </w:pPr>
      <w:r w:rsidRPr="001173AE">
        <w:rPr>
          <w:rFonts w:ascii="Times New Roman" w:eastAsia="Calibri" w:hAnsi="Times New Roman" w:cs="Times New Roman"/>
          <w:sz w:val="24"/>
          <w:szCs w:val="24"/>
          <w:lang w:val="bg-BG"/>
        </w:rPr>
        <w:t xml:space="preserve">В </w:t>
      </w:r>
      <w:r w:rsidR="00764DF9" w:rsidRPr="001173AE">
        <w:rPr>
          <w:rFonts w:ascii="Times New Roman" w:eastAsia="Calibri" w:hAnsi="Times New Roman" w:cs="Times New Roman"/>
          <w:b/>
          <w:bCs/>
          <w:sz w:val="24"/>
          <w:szCs w:val="24"/>
          <w:lang w:val="bg-BG"/>
        </w:rPr>
        <w:t xml:space="preserve">Таблица 2 </w:t>
      </w:r>
      <w:r w:rsidRPr="001173AE">
        <w:rPr>
          <w:rFonts w:ascii="Times New Roman" w:eastAsia="Calibri" w:hAnsi="Times New Roman" w:cs="Times New Roman"/>
          <w:b/>
          <w:bCs/>
          <w:sz w:val="24"/>
          <w:szCs w:val="24"/>
          <w:lang w:val="bg-BG"/>
        </w:rPr>
        <w:t>„</w:t>
      </w:r>
      <w:r w:rsidR="00764DF9" w:rsidRPr="001173AE">
        <w:rPr>
          <w:rFonts w:ascii="Times New Roman" w:eastAsia="Calibri" w:hAnsi="Times New Roman" w:cs="Times New Roman"/>
          <w:b/>
          <w:bCs/>
          <w:sz w:val="24"/>
          <w:szCs w:val="24"/>
          <w:lang w:val="bg-BG"/>
        </w:rPr>
        <w:t>Показатели за крайния продукт</w:t>
      </w:r>
      <w:r w:rsidRPr="001173AE">
        <w:rPr>
          <w:rFonts w:ascii="Times New Roman" w:eastAsia="Calibri" w:hAnsi="Times New Roman" w:cs="Times New Roman"/>
          <w:b/>
          <w:bCs/>
          <w:sz w:val="24"/>
          <w:szCs w:val="24"/>
          <w:lang w:val="bg-BG"/>
        </w:rPr>
        <w:t>“</w:t>
      </w:r>
      <w:r w:rsidRPr="001173AE">
        <w:rPr>
          <w:rFonts w:ascii="Times New Roman" w:eastAsia="Calibri" w:hAnsi="Times New Roman" w:cs="Times New Roman"/>
          <w:sz w:val="24"/>
          <w:szCs w:val="24"/>
          <w:lang w:val="bg-BG"/>
        </w:rPr>
        <w:t xml:space="preserve"> и</w:t>
      </w:r>
      <w:r w:rsidR="00764DF9" w:rsidRPr="001173AE">
        <w:rPr>
          <w:rFonts w:ascii="Times New Roman" w:eastAsia="Calibri" w:hAnsi="Times New Roman" w:cs="Times New Roman"/>
          <w:sz w:val="24"/>
          <w:szCs w:val="24"/>
          <w:lang w:val="bg-BG"/>
        </w:rPr>
        <w:t xml:space="preserve"> </w:t>
      </w:r>
      <w:r w:rsidR="00764DF9" w:rsidRPr="001173AE">
        <w:rPr>
          <w:rFonts w:ascii="Times New Roman" w:eastAsia="Calibri" w:hAnsi="Times New Roman" w:cs="Times New Roman"/>
          <w:b/>
          <w:bCs/>
          <w:sz w:val="24"/>
          <w:szCs w:val="24"/>
          <w:lang w:val="bg-BG"/>
        </w:rPr>
        <w:t xml:space="preserve">Таблица 3 </w:t>
      </w:r>
      <w:r w:rsidRPr="001173AE">
        <w:rPr>
          <w:rFonts w:ascii="Times New Roman" w:eastAsia="Calibri" w:hAnsi="Times New Roman" w:cs="Times New Roman"/>
          <w:b/>
          <w:bCs/>
          <w:sz w:val="24"/>
          <w:szCs w:val="24"/>
          <w:lang w:val="bg-BG"/>
        </w:rPr>
        <w:t>„</w:t>
      </w:r>
      <w:r w:rsidR="00764DF9" w:rsidRPr="001173AE">
        <w:rPr>
          <w:rFonts w:ascii="Times New Roman" w:eastAsia="Calibri" w:hAnsi="Times New Roman" w:cs="Times New Roman"/>
          <w:b/>
          <w:bCs/>
          <w:sz w:val="24"/>
          <w:szCs w:val="24"/>
          <w:lang w:val="bg-BG"/>
        </w:rPr>
        <w:t>Показатели за резултат</w:t>
      </w:r>
      <w:r w:rsidRPr="001173AE">
        <w:rPr>
          <w:rFonts w:ascii="Times New Roman" w:eastAsia="Calibri" w:hAnsi="Times New Roman" w:cs="Times New Roman"/>
          <w:b/>
          <w:bCs/>
          <w:sz w:val="24"/>
          <w:szCs w:val="24"/>
          <w:lang w:val="bg-BG"/>
        </w:rPr>
        <w:t>а“</w:t>
      </w:r>
      <w:r w:rsidRPr="001173AE">
        <w:rPr>
          <w:rFonts w:ascii="Times New Roman" w:eastAsia="Calibri" w:hAnsi="Times New Roman" w:cs="Times New Roman"/>
          <w:sz w:val="24"/>
          <w:szCs w:val="24"/>
          <w:lang w:val="bg-BG"/>
        </w:rPr>
        <w:t xml:space="preserve"> </w:t>
      </w:r>
      <w:r w:rsidR="00764DF9" w:rsidRPr="001173AE">
        <w:rPr>
          <w:rFonts w:ascii="Times New Roman" w:eastAsia="Calibri" w:hAnsi="Times New Roman" w:cs="Times New Roman"/>
          <w:sz w:val="24"/>
          <w:szCs w:val="24"/>
          <w:lang w:val="bg-BG"/>
        </w:rPr>
        <w:t>са актуализирани целевите стойности на показателите</w:t>
      </w:r>
      <w:r w:rsidRPr="001173AE">
        <w:rPr>
          <w:rFonts w:ascii="Times New Roman" w:eastAsia="Calibri" w:hAnsi="Times New Roman" w:cs="Times New Roman"/>
          <w:sz w:val="24"/>
          <w:szCs w:val="24"/>
          <w:lang w:val="bg-BG"/>
        </w:rPr>
        <w:t>.</w:t>
      </w:r>
      <w:r w:rsidR="00B360E1" w:rsidRPr="001173AE">
        <w:rPr>
          <w:rFonts w:ascii="Times New Roman" w:eastAsia="Calibri" w:hAnsi="Times New Roman" w:cs="Times New Roman"/>
          <w:sz w:val="24"/>
          <w:szCs w:val="24"/>
          <w:lang w:val="bg-BG"/>
        </w:rPr>
        <w:t xml:space="preserve"> </w:t>
      </w:r>
      <w:r w:rsidR="001173AE" w:rsidRPr="001173AE">
        <w:rPr>
          <w:rFonts w:ascii="Times New Roman" w:eastAsia="Calibri" w:hAnsi="Times New Roman" w:cs="Times New Roman"/>
          <w:sz w:val="24"/>
          <w:szCs w:val="24"/>
          <w:lang w:val="bg-BG"/>
        </w:rPr>
        <w:t>При извършването на изменението на ПОС 2021 -2027 г., одобрено от ЕК на 4.06.2025 г., към приоритет 1 „Води“ като допълващи инвестиции бяха прехвърлени ВиК проекти от НП</w:t>
      </w:r>
      <w:r w:rsidR="004D1CDB">
        <w:rPr>
          <w:rFonts w:ascii="Times New Roman" w:eastAsia="Calibri" w:hAnsi="Times New Roman" w:cs="Times New Roman"/>
          <w:sz w:val="24"/>
          <w:szCs w:val="24"/>
          <w:lang w:val="bg-BG"/>
        </w:rPr>
        <w:t>В</w:t>
      </w:r>
      <w:r w:rsidR="001173AE" w:rsidRPr="001173AE">
        <w:rPr>
          <w:rFonts w:ascii="Times New Roman" w:eastAsia="Calibri" w:hAnsi="Times New Roman" w:cs="Times New Roman"/>
          <w:sz w:val="24"/>
          <w:szCs w:val="24"/>
          <w:lang w:val="bg-BG"/>
        </w:rPr>
        <w:t>У. С тях се обезпеча</w:t>
      </w:r>
      <w:r w:rsidR="004D1CDB">
        <w:rPr>
          <w:rFonts w:ascii="Times New Roman" w:eastAsia="Calibri" w:hAnsi="Times New Roman" w:cs="Times New Roman"/>
          <w:sz w:val="24"/>
          <w:szCs w:val="24"/>
          <w:lang w:val="bg-BG"/>
        </w:rPr>
        <w:t>ва</w:t>
      </w:r>
      <w:r w:rsidR="001173AE" w:rsidRPr="001173AE">
        <w:rPr>
          <w:rFonts w:ascii="Times New Roman" w:eastAsia="Calibri" w:hAnsi="Times New Roman" w:cs="Times New Roman"/>
          <w:sz w:val="24"/>
          <w:szCs w:val="24"/>
          <w:lang w:val="bg-BG"/>
        </w:rPr>
        <w:t xml:space="preserve"> потенциално непълно изпълнение на основните ВиК проекти, планирани за подкрепа чрез програмата. Предвид това и факта, че не се увеличава бюджета на Приоритет 1, индикативните им целеви стойности се включват към стойността (2029) на програмните показатели с принос от 30%. С настоящото изменение</w:t>
      </w:r>
      <w:r w:rsidR="001173AE">
        <w:rPr>
          <w:rFonts w:ascii="Times New Roman" w:eastAsia="Calibri" w:hAnsi="Times New Roman" w:cs="Times New Roman"/>
          <w:sz w:val="24"/>
          <w:szCs w:val="24"/>
          <w:lang w:val="bg-BG"/>
        </w:rPr>
        <w:t xml:space="preserve"> се п</w:t>
      </w:r>
      <w:r w:rsidR="00B360E1" w:rsidRPr="001173AE">
        <w:rPr>
          <w:rFonts w:ascii="Times New Roman" w:eastAsia="Calibri" w:hAnsi="Times New Roman" w:cs="Times New Roman"/>
          <w:sz w:val="24"/>
          <w:szCs w:val="24"/>
          <w:lang w:val="bg-BG"/>
        </w:rPr>
        <w:t>редлага  п</w:t>
      </w:r>
      <w:r w:rsidR="00B360E1" w:rsidRPr="001173AE">
        <w:rPr>
          <w:rFonts w:ascii="Times New Roman" w:hAnsi="Times New Roman" w:cs="Times New Roman"/>
          <w:sz w:val="24"/>
          <w:szCs w:val="24"/>
          <w:lang w:val="bg-BG"/>
        </w:rPr>
        <w:t xml:space="preserve">рограмните показатели за краен продукт и резултат по </w:t>
      </w:r>
      <w:r w:rsidR="00943A93" w:rsidRPr="001173AE">
        <w:rPr>
          <w:rFonts w:ascii="Times New Roman" w:hAnsi="Times New Roman" w:cs="Times New Roman"/>
          <w:sz w:val="24"/>
          <w:szCs w:val="24"/>
          <w:lang w:val="bg-BG"/>
        </w:rPr>
        <w:t xml:space="preserve">Приоритет </w:t>
      </w:r>
      <w:r w:rsidR="00B360E1" w:rsidRPr="001173AE">
        <w:rPr>
          <w:rFonts w:ascii="Times New Roman" w:hAnsi="Times New Roman" w:cs="Times New Roman"/>
          <w:sz w:val="24"/>
          <w:szCs w:val="24"/>
          <w:lang w:val="bg-BG"/>
        </w:rPr>
        <w:t>1</w:t>
      </w:r>
      <w:r w:rsidR="00581EB1">
        <w:rPr>
          <w:rFonts w:ascii="Times New Roman" w:hAnsi="Times New Roman" w:cs="Times New Roman"/>
          <w:sz w:val="24"/>
          <w:szCs w:val="24"/>
          <w:lang w:val="bg-BG"/>
        </w:rPr>
        <w:t xml:space="preserve"> </w:t>
      </w:r>
      <w:r w:rsidR="00943A93" w:rsidRPr="001173AE">
        <w:rPr>
          <w:rFonts w:ascii="Times New Roman" w:hAnsi="Times New Roman" w:cs="Times New Roman"/>
          <w:sz w:val="24"/>
          <w:szCs w:val="24"/>
          <w:lang w:val="bg-BG"/>
        </w:rPr>
        <w:t>„Води“</w:t>
      </w:r>
      <w:r w:rsidR="00B360E1" w:rsidRPr="001173AE">
        <w:rPr>
          <w:rFonts w:ascii="Times New Roman" w:hAnsi="Times New Roman" w:cs="Times New Roman"/>
          <w:sz w:val="24"/>
          <w:szCs w:val="24"/>
          <w:lang w:val="bg-BG"/>
        </w:rPr>
        <w:t xml:space="preserve"> да бъдат намалени със стойността от 30% от индикаторите по НПВУ проектите. В допълнение, целевите стойности за 2029 г. на показателите за </w:t>
      </w:r>
      <w:r w:rsidR="00943A93" w:rsidRPr="001173AE">
        <w:rPr>
          <w:rFonts w:ascii="Times New Roman" w:hAnsi="Times New Roman" w:cs="Times New Roman"/>
          <w:sz w:val="24"/>
          <w:szCs w:val="24"/>
          <w:lang w:val="bg-BG"/>
        </w:rPr>
        <w:t xml:space="preserve">Приоритет </w:t>
      </w:r>
      <w:r w:rsidR="00B360E1" w:rsidRPr="001173AE">
        <w:rPr>
          <w:rFonts w:ascii="Times New Roman" w:hAnsi="Times New Roman" w:cs="Times New Roman"/>
          <w:sz w:val="24"/>
          <w:szCs w:val="24"/>
          <w:lang w:val="bg-BG"/>
        </w:rPr>
        <w:t>1 „Води“, формирани въз основа на 100% изпълнение на фазираните ВиК проекти и 100% изпълнение на 7те нови ВиК проекта, да бъдат намалени, отчитайки 100 % изпълнение на фазираните ВиК проекти и 50% изпълнение на 7те нови ВиК проекта, като тук се вземат предвид данните от изпълнението им към момента по вече сключените договори, както и опитът, историческите данни и научените уроци, свързани с изпълнението на ВиК проекти от програмен период 2014-2020 г.</w:t>
      </w:r>
    </w:p>
    <w:p w14:paraId="2F1ADAF2" w14:textId="0999D77F" w:rsidR="003402F4" w:rsidRDefault="003402F4" w:rsidP="00147D8B">
      <w:pPr>
        <w:numPr>
          <w:ilvl w:val="0"/>
          <w:numId w:val="21"/>
        </w:numPr>
        <w:spacing w:after="0" w:line="240"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Извършени са п</w:t>
      </w:r>
      <w:r w:rsidRPr="003402F4">
        <w:rPr>
          <w:rFonts w:ascii="Times New Roman" w:eastAsia="Calibri" w:hAnsi="Times New Roman" w:cs="Times New Roman"/>
          <w:sz w:val="24"/>
          <w:szCs w:val="24"/>
          <w:lang w:val="bg-BG"/>
        </w:rPr>
        <w:t>ромени</w:t>
      </w:r>
      <w:r>
        <w:rPr>
          <w:rFonts w:ascii="Times New Roman" w:eastAsia="Calibri" w:hAnsi="Times New Roman" w:cs="Times New Roman"/>
          <w:sz w:val="24"/>
          <w:szCs w:val="24"/>
          <w:lang w:val="bg-BG"/>
        </w:rPr>
        <w:t xml:space="preserve"> и</w:t>
      </w:r>
      <w:r w:rsidRPr="003402F4">
        <w:rPr>
          <w:rFonts w:ascii="Times New Roman" w:eastAsia="Calibri" w:hAnsi="Times New Roman" w:cs="Times New Roman"/>
          <w:sz w:val="24"/>
          <w:szCs w:val="24"/>
          <w:lang w:val="bg-BG"/>
        </w:rPr>
        <w:t xml:space="preserve"> в </w:t>
      </w:r>
      <w:r w:rsidRPr="006D0CC9">
        <w:rPr>
          <w:rFonts w:ascii="Times New Roman" w:eastAsia="Calibri" w:hAnsi="Times New Roman" w:cs="Times New Roman"/>
          <w:b/>
          <w:bCs/>
          <w:sz w:val="24"/>
          <w:szCs w:val="24"/>
          <w:lang w:val="bg-BG"/>
        </w:rPr>
        <w:t>т. 2.1.1.1.3. „Индикативна разбивка на програмираните ресурси (ЕС) по видове интервенции на приоритет 1 „Води“</w:t>
      </w:r>
      <w:r w:rsidR="006A2CB6">
        <w:rPr>
          <w:rFonts w:ascii="Times New Roman" w:eastAsia="Calibri" w:hAnsi="Times New Roman" w:cs="Times New Roman"/>
          <w:sz w:val="24"/>
          <w:szCs w:val="24"/>
          <w:lang w:val="bg-BG"/>
        </w:rPr>
        <w:t xml:space="preserve"> (таблици № 4, 5, 6 и 8)</w:t>
      </w:r>
      <w:r>
        <w:rPr>
          <w:rFonts w:ascii="Times New Roman" w:eastAsia="Calibri" w:hAnsi="Times New Roman" w:cs="Times New Roman"/>
          <w:sz w:val="24"/>
          <w:szCs w:val="24"/>
          <w:lang w:val="bg-BG"/>
        </w:rPr>
        <w:t xml:space="preserve">, с цел пренасочване на финансов ресурс към новия </w:t>
      </w:r>
      <w:r w:rsidR="00A5403F">
        <w:rPr>
          <w:rFonts w:ascii="Times New Roman" w:eastAsia="Calibri" w:hAnsi="Times New Roman" w:cs="Times New Roman"/>
          <w:sz w:val="24"/>
          <w:szCs w:val="24"/>
          <w:lang w:val="bg-BG"/>
        </w:rPr>
        <w:t xml:space="preserve">Приоритет </w:t>
      </w:r>
      <w:r>
        <w:rPr>
          <w:rFonts w:ascii="Times New Roman" w:eastAsia="Calibri" w:hAnsi="Times New Roman" w:cs="Times New Roman"/>
          <w:sz w:val="24"/>
          <w:szCs w:val="24"/>
          <w:lang w:val="bg-BG"/>
        </w:rPr>
        <w:t>7 „Устойчивост на водите“</w:t>
      </w:r>
      <w:r w:rsidRPr="003402F4">
        <w:rPr>
          <w:rFonts w:ascii="Times New Roman" w:eastAsia="Calibri" w:hAnsi="Times New Roman" w:cs="Times New Roman"/>
          <w:sz w:val="24"/>
          <w:szCs w:val="24"/>
          <w:lang w:val="bg-BG"/>
        </w:rPr>
        <w:t>.</w:t>
      </w:r>
    </w:p>
    <w:p w14:paraId="7BAF9B43" w14:textId="77777777" w:rsidR="00147D8B" w:rsidRDefault="00147D8B" w:rsidP="00147D8B">
      <w:pPr>
        <w:spacing w:after="0" w:line="240" w:lineRule="auto"/>
        <w:ind w:firstLine="360"/>
        <w:jc w:val="both"/>
        <w:rPr>
          <w:rFonts w:ascii="Times New Roman" w:eastAsia="Calibri" w:hAnsi="Times New Roman" w:cs="Times New Roman"/>
          <w:b/>
          <w:bCs/>
          <w:sz w:val="24"/>
          <w:szCs w:val="24"/>
          <w:lang w:val="bg-BG"/>
        </w:rPr>
      </w:pPr>
    </w:p>
    <w:p w14:paraId="759E4386" w14:textId="7BF4DC2D" w:rsidR="00764DF9" w:rsidRDefault="006A2CB6" w:rsidP="00147D8B">
      <w:pPr>
        <w:spacing w:after="0" w:line="240" w:lineRule="auto"/>
        <w:ind w:firstLine="360"/>
        <w:jc w:val="both"/>
        <w:rPr>
          <w:rFonts w:ascii="Times New Roman" w:eastAsia="Calibri" w:hAnsi="Times New Roman" w:cs="Times New Roman"/>
          <w:b/>
          <w:bCs/>
          <w:sz w:val="24"/>
          <w:szCs w:val="24"/>
          <w:lang w:val="bg-BG"/>
        </w:rPr>
      </w:pPr>
      <w:r>
        <w:rPr>
          <w:rFonts w:ascii="Times New Roman" w:eastAsia="Calibri" w:hAnsi="Times New Roman" w:cs="Times New Roman"/>
          <w:b/>
          <w:bCs/>
          <w:sz w:val="24"/>
          <w:szCs w:val="24"/>
          <w:lang w:val="bg-BG"/>
        </w:rPr>
        <w:t xml:space="preserve">В раздел „Приоритети“, </w:t>
      </w:r>
      <w:r w:rsidRPr="00764DF9">
        <w:rPr>
          <w:rFonts w:ascii="Times New Roman" w:eastAsia="Calibri" w:hAnsi="Times New Roman" w:cs="Times New Roman"/>
          <w:b/>
          <w:bCs/>
          <w:sz w:val="24"/>
          <w:szCs w:val="24"/>
          <w:lang w:val="bg-BG"/>
        </w:rPr>
        <w:t>Приоритет</w:t>
      </w:r>
      <w:r w:rsidR="00764DF9" w:rsidRPr="00764DF9">
        <w:rPr>
          <w:rFonts w:ascii="Times New Roman" w:eastAsia="Calibri" w:hAnsi="Times New Roman" w:cs="Times New Roman"/>
          <w:b/>
          <w:bCs/>
          <w:sz w:val="24"/>
          <w:szCs w:val="24"/>
          <w:lang w:val="bg-BG"/>
        </w:rPr>
        <w:t xml:space="preserve"> 2 „Отпадъци“</w:t>
      </w:r>
      <w:r>
        <w:rPr>
          <w:rFonts w:ascii="Times New Roman" w:eastAsia="Calibri" w:hAnsi="Times New Roman" w:cs="Times New Roman"/>
          <w:b/>
          <w:bCs/>
          <w:sz w:val="24"/>
          <w:szCs w:val="24"/>
          <w:lang w:val="bg-BG"/>
        </w:rPr>
        <w:t>,</w:t>
      </w:r>
      <w:r w:rsidR="00764DF9" w:rsidRPr="00764DF9">
        <w:rPr>
          <w:rFonts w:ascii="Times New Roman" w:eastAsia="Calibri" w:hAnsi="Times New Roman" w:cs="Times New Roman"/>
          <w:b/>
          <w:bCs/>
          <w:sz w:val="24"/>
          <w:szCs w:val="24"/>
          <w:lang w:val="bg-BG"/>
        </w:rPr>
        <w:t xml:space="preserve"> се </w:t>
      </w:r>
      <w:r>
        <w:rPr>
          <w:rFonts w:ascii="Times New Roman" w:eastAsia="Calibri" w:hAnsi="Times New Roman" w:cs="Times New Roman"/>
          <w:b/>
          <w:bCs/>
          <w:sz w:val="24"/>
          <w:szCs w:val="24"/>
          <w:lang w:val="bg-BG"/>
        </w:rPr>
        <w:t>извършват следните промени</w:t>
      </w:r>
      <w:r w:rsidR="00764DF9" w:rsidRPr="00764DF9">
        <w:rPr>
          <w:rFonts w:ascii="Times New Roman" w:eastAsia="Calibri" w:hAnsi="Times New Roman" w:cs="Times New Roman"/>
          <w:b/>
          <w:bCs/>
          <w:sz w:val="24"/>
          <w:szCs w:val="24"/>
          <w:lang w:val="bg-BG"/>
        </w:rPr>
        <w:t>:</w:t>
      </w:r>
    </w:p>
    <w:p w14:paraId="407752EE" w14:textId="77777777" w:rsidR="00147D8B" w:rsidRPr="00764DF9" w:rsidRDefault="00147D8B" w:rsidP="00147D8B">
      <w:pPr>
        <w:spacing w:after="0" w:line="240" w:lineRule="auto"/>
        <w:ind w:firstLine="360"/>
        <w:jc w:val="both"/>
        <w:rPr>
          <w:rFonts w:ascii="Times New Roman" w:eastAsia="Calibri" w:hAnsi="Times New Roman" w:cs="Times New Roman"/>
          <w:b/>
          <w:bCs/>
          <w:sz w:val="24"/>
          <w:szCs w:val="24"/>
          <w:lang w:val="bg-BG"/>
        </w:rPr>
      </w:pPr>
    </w:p>
    <w:p w14:paraId="510CE3EA" w14:textId="4A57EAF7" w:rsidR="002E4353" w:rsidRDefault="002E4353" w:rsidP="00147D8B">
      <w:pPr>
        <w:numPr>
          <w:ilvl w:val="0"/>
          <w:numId w:val="21"/>
        </w:numPr>
        <w:spacing w:after="0" w:line="240"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 xml:space="preserve">В </w:t>
      </w:r>
      <w:r w:rsidRPr="006D0CC9">
        <w:rPr>
          <w:rFonts w:ascii="Times New Roman" w:eastAsia="Calibri" w:hAnsi="Times New Roman" w:cs="Times New Roman"/>
          <w:b/>
          <w:bCs/>
          <w:sz w:val="24"/>
          <w:szCs w:val="24"/>
          <w:lang w:val="bg-BG"/>
        </w:rPr>
        <w:t>т</w:t>
      </w:r>
      <w:r w:rsidR="00764DF9" w:rsidRPr="006D0CC9">
        <w:rPr>
          <w:rFonts w:ascii="Times New Roman" w:eastAsia="Calibri" w:hAnsi="Times New Roman" w:cs="Times New Roman"/>
          <w:b/>
          <w:bCs/>
          <w:sz w:val="24"/>
          <w:szCs w:val="24"/>
          <w:lang w:val="bg-BG"/>
        </w:rPr>
        <w:t xml:space="preserve">аблица 2 </w:t>
      </w:r>
      <w:r w:rsidR="006A2CB6" w:rsidRPr="006D0CC9">
        <w:rPr>
          <w:rFonts w:ascii="Times New Roman" w:eastAsia="Calibri" w:hAnsi="Times New Roman" w:cs="Times New Roman"/>
          <w:b/>
          <w:bCs/>
          <w:sz w:val="24"/>
          <w:szCs w:val="24"/>
          <w:lang w:val="bg-BG"/>
        </w:rPr>
        <w:t>„</w:t>
      </w:r>
      <w:r w:rsidR="00764DF9" w:rsidRPr="006D0CC9">
        <w:rPr>
          <w:rFonts w:ascii="Times New Roman" w:eastAsia="Calibri" w:hAnsi="Times New Roman" w:cs="Times New Roman"/>
          <w:b/>
          <w:bCs/>
          <w:sz w:val="24"/>
          <w:szCs w:val="24"/>
          <w:lang w:val="bg-BG"/>
        </w:rPr>
        <w:t>Показатели за крайния продукт</w:t>
      </w:r>
      <w:r w:rsidR="006A2CB6" w:rsidRPr="006D0CC9">
        <w:rPr>
          <w:rFonts w:ascii="Times New Roman" w:eastAsia="Calibri" w:hAnsi="Times New Roman" w:cs="Times New Roman"/>
          <w:b/>
          <w:bCs/>
          <w:sz w:val="24"/>
          <w:szCs w:val="24"/>
          <w:lang w:val="bg-BG"/>
        </w:rPr>
        <w:t>“</w:t>
      </w:r>
      <w:r w:rsidR="006A2CB6">
        <w:rPr>
          <w:rFonts w:ascii="Times New Roman" w:eastAsia="Calibri" w:hAnsi="Times New Roman" w:cs="Times New Roman"/>
          <w:sz w:val="24"/>
          <w:szCs w:val="24"/>
          <w:lang w:val="bg-BG"/>
        </w:rPr>
        <w:t xml:space="preserve"> и</w:t>
      </w:r>
      <w:r w:rsidR="00764DF9" w:rsidRPr="00764DF9">
        <w:rPr>
          <w:rFonts w:ascii="Times New Roman" w:eastAsia="Calibri" w:hAnsi="Times New Roman" w:cs="Times New Roman"/>
          <w:sz w:val="24"/>
          <w:szCs w:val="24"/>
          <w:lang w:val="bg-BG"/>
        </w:rPr>
        <w:t xml:space="preserve"> </w:t>
      </w:r>
      <w:r w:rsidRPr="006D0CC9">
        <w:rPr>
          <w:rFonts w:ascii="Times New Roman" w:eastAsia="Calibri" w:hAnsi="Times New Roman" w:cs="Times New Roman"/>
          <w:b/>
          <w:bCs/>
          <w:sz w:val="24"/>
          <w:szCs w:val="24"/>
          <w:lang w:val="bg-BG"/>
        </w:rPr>
        <w:t>т</w:t>
      </w:r>
      <w:r w:rsidR="00764DF9" w:rsidRPr="006D0CC9">
        <w:rPr>
          <w:rFonts w:ascii="Times New Roman" w:eastAsia="Calibri" w:hAnsi="Times New Roman" w:cs="Times New Roman"/>
          <w:b/>
          <w:bCs/>
          <w:sz w:val="24"/>
          <w:szCs w:val="24"/>
          <w:lang w:val="bg-BG"/>
        </w:rPr>
        <w:t xml:space="preserve">аблица 3 </w:t>
      </w:r>
      <w:r w:rsidR="006A2CB6" w:rsidRPr="006D0CC9">
        <w:rPr>
          <w:rFonts w:ascii="Times New Roman" w:eastAsia="Calibri" w:hAnsi="Times New Roman" w:cs="Times New Roman"/>
          <w:b/>
          <w:bCs/>
          <w:sz w:val="24"/>
          <w:szCs w:val="24"/>
          <w:lang w:val="bg-BG"/>
        </w:rPr>
        <w:t>„</w:t>
      </w:r>
      <w:r w:rsidR="00764DF9" w:rsidRPr="006D0CC9">
        <w:rPr>
          <w:rFonts w:ascii="Times New Roman" w:eastAsia="Calibri" w:hAnsi="Times New Roman" w:cs="Times New Roman"/>
          <w:b/>
          <w:bCs/>
          <w:sz w:val="24"/>
          <w:szCs w:val="24"/>
          <w:lang w:val="bg-BG"/>
        </w:rPr>
        <w:t>Показатели за резултатите</w:t>
      </w:r>
      <w:r w:rsidR="006A2CB6" w:rsidRPr="006D0CC9">
        <w:rPr>
          <w:rFonts w:ascii="Times New Roman" w:eastAsia="Calibri" w:hAnsi="Times New Roman" w:cs="Times New Roman"/>
          <w:b/>
          <w:bCs/>
          <w:sz w:val="24"/>
          <w:szCs w:val="24"/>
          <w:lang w:val="bg-BG"/>
        </w:rPr>
        <w:t>“</w:t>
      </w:r>
      <w:r>
        <w:rPr>
          <w:rFonts w:ascii="Times New Roman" w:eastAsia="Calibri" w:hAnsi="Times New Roman" w:cs="Times New Roman"/>
          <w:sz w:val="24"/>
          <w:szCs w:val="24"/>
          <w:lang w:val="bg-BG"/>
        </w:rPr>
        <w:t xml:space="preserve"> </w:t>
      </w:r>
      <w:r w:rsidRPr="00764DF9">
        <w:rPr>
          <w:rFonts w:ascii="Times New Roman" w:eastAsia="Calibri" w:hAnsi="Times New Roman" w:cs="Times New Roman"/>
          <w:sz w:val="24"/>
          <w:szCs w:val="24"/>
          <w:lang w:val="bg-BG"/>
        </w:rPr>
        <w:t>са актуализирани целевите стойности на показателите</w:t>
      </w:r>
      <w:r w:rsidR="003C4CAD">
        <w:rPr>
          <w:rFonts w:ascii="Times New Roman" w:eastAsia="Calibri" w:hAnsi="Times New Roman" w:cs="Times New Roman"/>
          <w:sz w:val="24"/>
          <w:szCs w:val="24"/>
          <w:lang w:val="bg-BG"/>
        </w:rPr>
        <w:t>.</w:t>
      </w:r>
      <w:r w:rsidRPr="002E4353">
        <w:rPr>
          <w:rFonts w:ascii="Times New Roman" w:eastAsia="Calibri" w:hAnsi="Times New Roman" w:cs="Times New Roman"/>
          <w:sz w:val="24"/>
          <w:szCs w:val="24"/>
          <w:lang w:val="bg-BG"/>
        </w:rPr>
        <w:t xml:space="preserve"> </w:t>
      </w:r>
      <w:bookmarkStart w:id="4" w:name="_Hlk216349034"/>
      <w:r w:rsidR="003C4CAD">
        <w:rPr>
          <w:rFonts w:ascii="Times New Roman" w:eastAsia="Calibri" w:hAnsi="Times New Roman" w:cs="Times New Roman"/>
          <w:sz w:val="24"/>
          <w:szCs w:val="24"/>
          <w:lang w:val="bg-BG"/>
        </w:rPr>
        <w:t>П</w:t>
      </w:r>
      <w:r w:rsidR="003C4CAD" w:rsidRPr="003C4CAD">
        <w:rPr>
          <w:rFonts w:ascii="Times New Roman" w:eastAsia="Calibri" w:hAnsi="Times New Roman" w:cs="Times New Roman"/>
          <w:sz w:val="24"/>
          <w:szCs w:val="24"/>
          <w:lang w:val="bg-BG"/>
        </w:rPr>
        <w:t>ред</w:t>
      </w:r>
      <w:r w:rsidR="003C4CAD">
        <w:rPr>
          <w:rFonts w:ascii="Times New Roman" w:eastAsia="Calibri" w:hAnsi="Times New Roman" w:cs="Times New Roman"/>
          <w:sz w:val="24"/>
          <w:szCs w:val="24"/>
          <w:lang w:val="bg-BG"/>
        </w:rPr>
        <w:t xml:space="preserve">видено е </w:t>
      </w:r>
      <w:r w:rsidR="003C4CAD" w:rsidRPr="003C4CAD">
        <w:rPr>
          <w:rFonts w:ascii="Times New Roman" w:eastAsia="Calibri" w:hAnsi="Times New Roman" w:cs="Times New Roman"/>
          <w:sz w:val="24"/>
          <w:szCs w:val="24"/>
          <w:lang w:val="bg-BG"/>
        </w:rPr>
        <w:t xml:space="preserve">намаляване на целевите стойности за 2029 г. на всички показатели за краен продукт и резултат, което е пропорционално на размера на </w:t>
      </w:r>
      <w:r w:rsidR="003C4CAD">
        <w:rPr>
          <w:rFonts w:ascii="Times New Roman" w:eastAsia="Calibri" w:hAnsi="Times New Roman" w:cs="Times New Roman"/>
          <w:sz w:val="24"/>
          <w:szCs w:val="24"/>
          <w:lang w:val="bg-BG"/>
        </w:rPr>
        <w:t xml:space="preserve">намаления ресурс, </w:t>
      </w:r>
      <w:r w:rsidR="003C4CAD" w:rsidRPr="002E4353">
        <w:rPr>
          <w:rFonts w:ascii="Times New Roman" w:eastAsia="Calibri" w:hAnsi="Times New Roman" w:cs="Times New Roman"/>
          <w:sz w:val="24"/>
          <w:szCs w:val="24"/>
          <w:lang w:val="bg-BG"/>
        </w:rPr>
        <w:t>който представлява 16,35% от бюджета на приоритет</w:t>
      </w:r>
      <w:r w:rsidR="003C4CAD">
        <w:rPr>
          <w:rFonts w:ascii="Times New Roman" w:eastAsia="Calibri" w:hAnsi="Times New Roman" w:cs="Times New Roman"/>
          <w:sz w:val="24"/>
          <w:szCs w:val="24"/>
          <w:lang w:val="bg-BG"/>
        </w:rPr>
        <w:t>а.</w:t>
      </w:r>
    </w:p>
    <w:bookmarkEnd w:id="4"/>
    <w:p w14:paraId="04391024" w14:textId="31DB17BE" w:rsidR="00764DF9" w:rsidRPr="00764DF9" w:rsidRDefault="00DD0AC4" w:rsidP="009A3029">
      <w:pPr>
        <w:numPr>
          <w:ilvl w:val="0"/>
          <w:numId w:val="21"/>
        </w:numPr>
        <w:spacing w:after="0" w:line="240"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Извършени са п</w:t>
      </w:r>
      <w:r w:rsidRPr="003402F4">
        <w:rPr>
          <w:rFonts w:ascii="Times New Roman" w:eastAsia="Calibri" w:hAnsi="Times New Roman" w:cs="Times New Roman"/>
          <w:sz w:val="24"/>
          <w:szCs w:val="24"/>
          <w:lang w:val="bg-BG"/>
        </w:rPr>
        <w:t>ромени</w:t>
      </w:r>
      <w:r>
        <w:rPr>
          <w:rFonts w:ascii="Times New Roman" w:eastAsia="Calibri" w:hAnsi="Times New Roman" w:cs="Times New Roman"/>
          <w:sz w:val="24"/>
          <w:szCs w:val="24"/>
          <w:lang w:val="bg-BG"/>
        </w:rPr>
        <w:t xml:space="preserve"> и</w:t>
      </w:r>
      <w:r w:rsidRPr="003402F4">
        <w:rPr>
          <w:rFonts w:ascii="Times New Roman" w:eastAsia="Calibri" w:hAnsi="Times New Roman" w:cs="Times New Roman"/>
          <w:sz w:val="24"/>
          <w:szCs w:val="24"/>
          <w:lang w:val="bg-BG"/>
        </w:rPr>
        <w:t xml:space="preserve"> </w:t>
      </w:r>
      <w:r w:rsidRPr="006D0CC9">
        <w:rPr>
          <w:rFonts w:ascii="Times New Roman" w:eastAsia="Calibri" w:hAnsi="Times New Roman" w:cs="Times New Roman"/>
          <w:b/>
          <w:bCs/>
          <w:sz w:val="24"/>
          <w:szCs w:val="24"/>
          <w:lang w:val="bg-BG"/>
        </w:rPr>
        <w:t>в т. 2.1.1.1.3. „Индикативна разбивка на програмираните ресурси (ЕС) по видове интервенции на приоритет 2 „Отпадъци“</w:t>
      </w:r>
      <w:r>
        <w:rPr>
          <w:rFonts w:ascii="Times New Roman" w:eastAsia="Calibri" w:hAnsi="Times New Roman" w:cs="Times New Roman"/>
          <w:sz w:val="24"/>
          <w:szCs w:val="24"/>
          <w:lang w:val="bg-BG"/>
        </w:rPr>
        <w:t xml:space="preserve"> (таблици № 4, 5, 6 и 8), с цел пренасочване на финансов ресурс към новия </w:t>
      </w:r>
      <w:r w:rsidR="00A5403F">
        <w:rPr>
          <w:rFonts w:ascii="Times New Roman" w:eastAsia="Calibri" w:hAnsi="Times New Roman" w:cs="Times New Roman"/>
          <w:sz w:val="24"/>
          <w:szCs w:val="24"/>
          <w:lang w:val="bg-BG"/>
        </w:rPr>
        <w:t xml:space="preserve">Приоритет </w:t>
      </w:r>
      <w:r>
        <w:rPr>
          <w:rFonts w:ascii="Times New Roman" w:eastAsia="Calibri" w:hAnsi="Times New Roman" w:cs="Times New Roman"/>
          <w:sz w:val="24"/>
          <w:szCs w:val="24"/>
          <w:lang w:val="bg-BG"/>
        </w:rPr>
        <w:t>7 „Устойчивост на водите</w:t>
      </w:r>
      <w:r w:rsidR="00764DF9" w:rsidRPr="00764DF9">
        <w:rPr>
          <w:rFonts w:ascii="Times New Roman" w:eastAsia="Calibri" w:hAnsi="Times New Roman" w:cs="Times New Roman"/>
          <w:sz w:val="24"/>
          <w:szCs w:val="24"/>
          <w:lang w:val="bg-BG"/>
        </w:rPr>
        <w:t>.</w:t>
      </w:r>
    </w:p>
    <w:p w14:paraId="7883E7F1" w14:textId="77777777" w:rsidR="00DD0AC4" w:rsidRDefault="00DD0AC4" w:rsidP="009A3029">
      <w:pPr>
        <w:spacing w:after="0" w:line="240" w:lineRule="auto"/>
        <w:jc w:val="both"/>
        <w:rPr>
          <w:rFonts w:ascii="Times New Roman" w:eastAsia="Calibri" w:hAnsi="Times New Roman" w:cs="Times New Roman"/>
          <w:b/>
          <w:bCs/>
          <w:sz w:val="24"/>
          <w:szCs w:val="24"/>
          <w:lang w:val="bg-BG"/>
        </w:rPr>
      </w:pPr>
    </w:p>
    <w:p w14:paraId="7225039F" w14:textId="1460B09D" w:rsidR="00DD0AC4" w:rsidRDefault="00DD0AC4" w:rsidP="009A3029">
      <w:pPr>
        <w:spacing w:after="0" w:line="240" w:lineRule="auto"/>
        <w:ind w:firstLine="360"/>
        <w:jc w:val="both"/>
        <w:rPr>
          <w:rFonts w:ascii="Times New Roman" w:eastAsia="Calibri" w:hAnsi="Times New Roman" w:cs="Times New Roman"/>
          <w:b/>
          <w:bCs/>
          <w:sz w:val="24"/>
          <w:szCs w:val="24"/>
          <w:lang w:val="bg-BG"/>
        </w:rPr>
      </w:pPr>
      <w:r>
        <w:rPr>
          <w:rFonts w:ascii="Times New Roman" w:eastAsia="Calibri" w:hAnsi="Times New Roman" w:cs="Times New Roman"/>
          <w:b/>
          <w:bCs/>
          <w:sz w:val="24"/>
          <w:szCs w:val="24"/>
          <w:lang w:val="bg-BG"/>
        </w:rPr>
        <w:t xml:space="preserve">В раздел „Приоритети“, </w:t>
      </w:r>
      <w:r w:rsidRPr="00764DF9">
        <w:rPr>
          <w:rFonts w:ascii="Times New Roman" w:eastAsia="Calibri" w:hAnsi="Times New Roman" w:cs="Times New Roman"/>
          <w:b/>
          <w:bCs/>
          <w:sz w:val="24"/>
          <w:szCs w:val="24"/>
          <w:lang w:val="bg-BG"/>
        </w:rPr>
        <w:t xml:space="preserve">Приоритет </w:t>
      </w:r>
      <w:r>
        <w:rPr>
          <w:rFonts w:ascii="Times New Roman" w:eastAsia="Calibri" w:hAnsi="Times New Roman" w:cs="Times New Roman"/>
          <w:b/>
          <w:bCs/>
          <w:sz w:val="24"/>
          <w:szCs w:val="24"/>
          <w:lang w:val="bg-BG"/>
        </w:rPr>
        <w:t>5</w:t>
      </w:r>
      <w:r w:rsidRPr="00764DF9">
        <w:rPr>
          <w:rFonts w:ascii="Times New Roman" w:eastAsia="Calibri" w:hAnsi="Times New Roman" w:cs="Times New Roman"/>
          <w:b/>
          <w:bCs/>
          <w:sz w:val="24"/>
          <w:szCs w:val="24"/>
          <w:lang w:val="bg-BG"/>
        </w:rPr>
        <w:t xml:space="preserve"> „</w:t>
      </w:r>
      <w:r>
        <w:rPr>
          <w:rFonts w:ascii="Times New Roman" w:eastAsia="Calibri" w:hAnsi="Times New Roman" w:cs="Times New Roman"/>
          <w:b/>
          <w:bCs/>
          <w:sz w:val="24"/>
          <w:szCs w:val="24"/>
          <w:lang w:val="bg-BG"/>
        </w:rPr>
        <w:t>Въздух</w:t>
      </w:r>
      <w:r w:rsidRPr="00764DF9">
        <w:rPr>
          <w:rFonts w:ascii="Times New Roman" w:eastAsia="Calibri" w:hAnsi="Times New Roman" w:cs="Times New Roman"/>
          <w:b/>
          <w:bCs/>
          <w:sz w:val="24"/>
          <w:szCs w:val="24"/>
          <w:lang w:val="bg-BG"/>
        </w:rPr>
        <w:t>“</w:t>
      </w:r>
      <w:r>
        <w:rPr>
          <w:rFonts w:ascii="Times New Roman" w:eastAsia="Calibri" w:hAnsi="Times New Roman" w:cs="Times New Roman"/>
          <w:b/>
          <w:bCs/>
          <w:sz w:val="24"/>
          <w:szCs w:val="24"/>
          <w:lang w:val="bg-BG"/>
        </w:rPr>
        <w:t>,</w:t>
      </w:r>
      <w:r w:rsidRPr="00764DF9">
        <w:rPr>
          <w:rFonts w:ascii="Times New Roman" w:eastAsia="Calibri" w:hAnsi="Times New Roman" w:cs="Times New Roman"/>
          <w:b/>
          <w:bCs/>
          <w:sz w:val="24"/>
          <w:szCs w:val="24"/>
          <w:lang w:val="bg-BG"/>
        </w:rPr>
        <w:t xml:space="preserve"> се </w:t>
      </w:r>
      <w:r>
        <w:rPr>
          <w:rFonts w:ascii="Times New Roman" w:eastAsia="Calibri" w:hAnsi="Times New Roman" w:cs="Times New Roman"/>
          <w:b/>
          <w:bCs/>
          <w:sz w:val="24"/>
          <w:szCs w:val="24"/>
          <w:lang w:val="bg-BG"/>
        </w:rPr>
        <w:t>извършват следните промени</w:t>
      </w:r>
      <w:r w:rsidRPr="00764DF9">
        <w:rPr>
          <w:rFonts w:ascii="Times New Roman" w:eastAsia="Calibri" w:hAnsi="Times New Roman" w:cs="Times New Roman"/>
          <w:b/>
          <w:bCs/>
          <w:sz w:val="24"/>
          <w:szCs w:val="24"/>
          <w:lang w:val="bg-BG"/>
        </w:rPr>
        <w:t>:</w:t>
      </w:r>
    </w:p>
    <w:p w14:paraId="1A5D3B0B" w14:textId="0C785281" w:rsidR="006D0CC9" w:rsidRDefault="001B3F84" w:rsidP="006D0CC9">
      <w:pPr>
        <w:pStyle w:val="ListParagraph"/>
        <w:numPr>
          <w:ilvl w:val="0"/>
          <w:numId w:val="29"/>
        </w:numPr>
        <w:spacing w:before="240" w:after="100" w:afterAutospacing="1" w:line="245" w:lineRule="auto"/>
        <w:ind w:left="709" w:hanging="283"/>
        <w:jc w:val="both"/>
        <w:rPr>
          <w:rFonts w:ascii="Times New Roman" w:eastAsia="Calibri" w:hAnsi="Times New Roman" w:cs="Times New Roman"/>
          <w:sz w:val="24"/>
          <w:szCs w:val="24"/>
          <w:lang w:val="bg-BG"/>
        </w:rPr>
      </w:pPr>
      <w:r w:rsidRPr="006D0CC9">
        <w:rPr>
          <w:rFonts w:ascii="Times New Roman" w:eastAsia="Calibri" w:hAnsi="Times New Roman" w:cs="Times New Roman"/>
          <w:sz w:val="24"/>
          <w:szCs w:val="24"/>
          <w:lang w:val="bg-BG"/>
        </w:rPr>
        <w:t xml:space="preserve">В </w:t>
      </w:r>
      <w:r w:rsidRPr="006D0CC9">
        <w:rPr>
          <w:rFonts w:ascii="Times New Roman" w:eastAsia="Calibri" w:hAnsi="Times New Roman" w:cs="Times New Roman"/>
          <w:b/>
          <w:bCs/>
          <w:sz w:val="24"/>
          <w:szCs w:val="24"/>
          <w:lang w:val="bg-BG"/>
        </w:rPr>
        <w:t xml:space="preserve">т. 2.1.1.1.1. </w:t>
      </w:r>
      <w:r w:rsidR="006D0CC9" w:rsidRPr="006D0CC9">
        <w:rPr>
          <w:rFonts w:ascii="Times New Roman" w:eastAsia="Calibri" w:hAnsi="Times New Roman" w:cs="Times New Roman"/>
          <w:b/>
          <w:bCs/>
          <w:sz w:val="24"/>
          <w:szCs w:val="24"/>
          <w:lang w:val="bg-BG"/>
        </w:rPr>
        <w:t>„</w:t>
      </w:r>
      <w:r w:rsidRPr="006D0CC9">
        <w:rPr>
          <w:rFonts w:ascii="Times New Roman" w:eastAsia="Calibri" w:hAnsi="Times New Roman" w:cs="Times New Roman"/>
          <w:b/>
          <w:bCs/>
          <w:sz w:val="24"/>
          <w:szCs w:val="24"/>
          <w:lang w:val="bg-BG"/>
        </w:rPr>
        <w:t>Интервенции по линия на фондовете</w:t>
      </w:r>
      <w:r w:rsidR="006D0CC9" w:rsidRPr="006D0CC9">
        <w:rPr>
          <w:rFonts w:ascii="Times New Roman" w:eastAsia="Calibri" w:hAnsi="Times New Roman" w:cs="Times New Roman"/>
          <w:b/>
          <w:bCs/>
          <w:sz w:val="24"/>
          <w:szCs w:val="24"/>
          <w:lang w:val="bg-BG"/>
        </w:rPr>
        <w:t>“</w:t>
      </w:r>
      <w:r w:rsidRPr="006D0CC9">
        <w:rPr>
          <w:rFonts w:ascii="Times New Roman" w:eastAsia="Calibri" w:hAnsi="Times New Roman" w:cs="Times New Roman"/>
          <w:sz w:val="24"/>
          <w:szCs w:val="24"/>
          <w:lang w:val="bg-BG"/>
        </w:rPr>
        <w:t xml:space="preserve"> отпадат текстовете</w:t>
      </w:r>
      <w:r w:rsidR="006D0CC9">
        <w:rPr>
          <w:rFonts w:ascii="Times New Roman" w:eastAsia="Calibri" w:hAnsi="Times New Roman" w:cs="Times New Roman"/>
          <w:sz w:val="24"/>
          <w:szCs w:val="24"/>
          <w:lang w:val="bg-BG"/>
        </w:rPr>
        <w:t>,</w:t>
      </w:r>
      <w:r w:rsidRPr="006D0CC9">
        <w:rPr>
          <w:rFonts w:ascii="Times New Roman" w:eastAsia="Calibri" w:hAnsi="Times New Roman" w:cs="Times New Roman"/>
          <w:sz w:val="24"/>
          <w:szCs w:val="24"/>
          <w:lang w:val="bg-BG"/>
        </w:rPr>
        <w:t xml:space="preserve"> свързани с „малка пилотна процедура за насърчаване използването на ВЕИ, зелен водород и други иновативни алтернативи“. Операцията за инвестиции в отоплителни системи, използващи водородни технологии – като алтернативна опция за битово отопление на твърдо гориво</w:t>
      </w:r>
      <w:r w:rsidR="006D0CC9">
        <w:rPr>
          <w:rFonts w:ascii="Times New Roman" w:eastAsia="Calibri" w:hAnsi="Times New Roman" w:cs="Times New Roman"/>
          <w:sz w:val="24"/>
          <w:szCs w:val="24"/>
          <w:lang w:val="bg-BG"/>
        </w:rPr>
        <w:t>,</w:t>
      </w:r>
      <w:r w:rsidRPr="006D0CC9">
        <w:rPr>
          <w:rFonts w:ascii="Times New Roman" w:eastAsia="Calibri" w:hAnsi="Times New Roman" w:cs="Times New Roman"/>
          <w:sz w:val="24"/>
          <w:szCs w:val="24"/>
          <w:lang w:val="bg-BG"/>
        </w:rPr>
        <w:t xml:space="preserve"> първоначално е предвидена като малка пилотна процедура. На етап подготовка на ПОС 2021-2027 г. през 2020 г. са проучени практики в ЕС с инвестициите</w:t>
      </w:r>
      <w:r w:rsidR="006D0CC9">
        <w:rPr>
          <w:rFonts w:ascii="Times New Roman" w:eastAsia="Calibri" w:hAnsi="Times New Roman" w:cs="Times New Roman"/>
          <w:sz w:val="24"/>
          <w:szCs w:val="24"/>
          <w:lang w:val="bg-BG"/>
        </w:rPr>
        <w:t>,</w:t>
      </w:r>
      <w:r w:rsidRPr="006D0CC9">
        <w:rPr>
          <w:rFonts w:ascii="Times New Roman" w:eastAsia="Calibri" w:hAnsi="Times New Roman" w:cs="Times New Roman"/>
          <w:sz w:val="24"/>
          <w:szCs w:val="24"/>
          <w:lang w:val="bg-BG"/>
        </w:rPr>
        <w:t xml:space="preserve"> свързани с използването на </w:t>
      </w:r>
      <w:proofErr w:type="spellStart"/>
      <w:r w:rsidRPr="006D0CC9">
        <w:rPr>
          <w:rFonts w:ascii="Times New Roman" w:eastAsia="Calibri" w:hAnsi="Times New Roman" w:cs="Times New Roman"/>
          <w:sz w:val="24"/>
          <w:szCs w:val="24"/>
          <w:lang w:val="bg-BG"/>
        </w:rPr>
        <w:t>електролизьори</w:t>
      </w:r>
      <w:proofErr w:type="spellEnd"/>
      <w:r w:rsidRPr="006D0CC9">
        <w:rPr>
          <w:rFonts w:ascii="Times New Roman" w:eastAsia="Calibri" w:hAnsi="Times New Roman" w:cs="Times New Roman"/>
          <w:sz w:val="24"/>
          <w:szCs w:val="24"/>
          <w:lang w:val="bg-BG"/>
        </w:rPr>
        <w:t xml:space="preserve"> в комбинация с газ или пелети.</w:t>
      </w:r>
      <w:r w:rsidRPr="00895ED8">
        <w:rPr>
          <w:lang w:val="bg-BG"/>
        </w:rPr>
        <w:t xml:space="preserve"> </w:t>
      </w:r>
      <w:r w:rsidRPr="006D0CC9">
        <w:rPr>
          <w:rFonts w:ascii="Times New Roman" w:eastAsia="Calibri" w:hAnsi="Times New Roman" w:cs="Times New Roman"/>
          <w:sz w:val="24"/>
          <w:szCs w:val="24"/>
          <w:lang w:val="bg-BG"/>
        </w:rPr>
        <w:t>Технологията води до намаляване разходите за отопление, както и до редуциране на емитираните вредни емисии в атмосферния въздух. Предвид липсата на масово производство на необходимото оборудване и липсата на опит в предоставяне на услуги за поддръжка на подобен вид системи за целите на битовото отопление, потенциалните бенефициенти не заявяват интерес към мярката. Намаляването на ресурса по Приоритет 5 ограничава възможността за от</w:t>
      </w:r>
      <w:r w:rsidR="006D0CC9">
        <w:rPr>
          <w:rFonts w:ascii="Times New Roman" w:eastAsia="Calibri" w:hAnsi="Times New Roman" w:cs="Times New Roman"/>
          <w:sz w:val="24"/>
          <w:szCs w:val="24"/>
          <w:lang w:val="bg-BG"/>
        </w:rPr>
        <w:t>криване</w:t>
      </w:r>
      <w:r w:rsidRPr="006D0CC9">
        <w:rPr>
          <w:rFonts w:ascii="Times New Roman" w:eastAsia="Calibri" w:hAnsi="Times New Roman" w:cs="Times New Roman"/>
          <w:sz w:val="24"/>
          <w:szCs w:val="24"/>
          <w:lang w:val="bg-BG"/>
        </w:rPr>
        <w:t xml:space="preserve"> на пилотна процедура, която е технологично предизвикателство, изискваща значителни инвестиции в едно домакинство и носеща ниска икономическа ефективност като съотношение инвестирано евро за спестени емисии ФПЧ т/г.</w:t>
      </w:r>
      <w:r w:rsidR="006D0CC9">
        <w:rPr>
          <w:rFonts w:ascii="Times New Roman" w:eastAsia="Calibri" w:hAnsi="Times New Roman" w:cs="Times New Roman"/>
          <w:sz w:val="24"/>
          <w:szCs w:val="24"/>
          <w:lang w:val="bg-BG"/>
        </w:rPr>
        <w:t xml:space="preserve"> </w:t>
      </w:r>
      <w:bookmarkStart w:id="5" w:name="_Hlk215221440"/>
      <w:r w:rsidRPr="006D0CC9">
        <w:rPr>
          <w:rFonts w:ascii="Times New Roman" w:eastAsia="Calibri" w:hAnsi="Times New Roman" w:cs="Times New Roman"/>
          <w:sz w:val="24"/>
          <w:szCs w:val="24"/>
          <w:lang w:val="bg-BG"/>
        </w:rPr>
        <w:t xml:space="preserve">В тази връзка, се предлага операцията за инвестиции в отоплителни системи, използващи водородни технологии – като алтернативна опция за битово отопление на твърдо гориво по Приоритет 5 „Въздух“ да отпадне от операциите от стратегическо значение по </w:t>
      </w:r>
      <w:r w:rsidR="006D0CC9">
        <w:rPr>
          <w:rFonts w:ascii="Times New Roman" w:eastAsia="Calibri" w:hAnsi="Times New Roman" w:cs="Times New Roman"/>
          <w:sz w:val="24"/>
          <w:szCs w:val="24"/>
          <w:lang w:val="bg-BG"/>
        </w:rPr>
        <w:t>п</w:t>
      </w:r>
      <w:r w:rsidRPr="006D0CC9">
        <w:rPr>
          <w:rFonts w:ascii="Times New Roman" w:eastAsia="Calibri" w:hAnsi="Times New Roman" w:cs="Times New Roman"/>
          <w:sz w:val="24"/>
          <w:szCs w:val="24"/>
          <w:lang w:val="bg-BG"/>
        </w:rPr>
        <w:t>рограмата.</w:t>
      </w:r>
      <w:r w:rsidR="006D0CC9">
        <w:rPr>
          <w:rFonts w:ascii="Times New Roman" w:eastAsia="Calibri" w:hAnsi="Times New Roman" w:cs="Times New Roman"/>
          <w:sz w:val="24"/>
          <w:szCs w:val="24"/>
          <w:lang w:val="bg-BG"/>
        </w:rPr>
        <w:t xml:space="preserve"> </w:t>
      </w:r>
      <w:bookmarkEnd w:id="5"/>
    </w:p>
    <w:p w14:paraId="6BC4465C" w14:textId="77777777" w:rsidR="000B58F0" w:rsidRDefault="00743E3C" w:rsidP="00743E3C">
      <w:pPr>
        <w:pStyle w:val="ListParagraph"/>
        <w:numPr>
          <w:ilvl w:val="0"/>
          <w:numId w:val="20"/>
        </w:numPr>
        <w:jc w:val="both"/>
        <w:rPr>
          <w:rFonts w:ascii="Times New Roman" w:eastAsia="Calibri" w:hAnsi="Times New Roman" w:cs="Times New Roman"/>
          <w:sz w:val="24"/>
          <w:szCs w:val="24"/>
          <w:lang w:val="bg-BG"/>
        </w:rPr>
      </w:pPr>
      <w:r w:rsidRPr="002769B4">
        <w:rPr>
          <w:rFonts w:ascii="Times New Roman" w:eastAsia="Calibri" w:hAnsi="Times New Roman" w:cs="Times New Roman"/>
          <w:sz w:val="24"/>
          <w:szCs w:val="24"/>
          <w:lang w:val="bg-BG"/>
        </w:rPr>
        <w:t xml:space="preserve">В </w:t>
      </w:r>
      <w:r w:rsidR="00764DF9" w:rsidRPr="002769B4">
        <w:rPr>
          <w:rFonts w:ascii="Times New Roman" w:eastAsia="Calibri" w:hAnsi="Times New Roman" w:cs="Times New Roman"/>
          <w:b/>
          <w:bCs/>
          <w:sz w:val="24"/>
          <w:szCs w:val="24"/>
          <w:lang w:val="bg-BG"/>
        </w:rPr>
        <w:t xml:space="preserve">Таблица 2 </w:t>
      </w:r>
      <w:r w:rsidRPr="002769B4">
        <w:rPr>
          <w:rFonts w:ascii="Times New Roman" w:eastAsia="Calibri" w:hAnsi="Times New Roman" w:cs="Times New Roman"/>
          <w:b/>
          <w:bCs/>
          <w:sz w:val="24"/>
          <w:szCs w:val="24"/>
          <w:lang w:val="bg-BG"/>
        </w:rPr>
        <w:t>„</w:t>
      </w:r>
      <w:r w:rsidR="00764DF9" w:rsidRPr="002769B4">
        <w:rPr>
          <w:rFonts w:ascii="Times New Roman" w:eastAsia="Calibri" w:hAnsi="Times New Roman" w:cs="Times New Roman"/>
          <w:b/>
          <w:bCs/>
          <w:sz w:val="24"/>
          <w:szCs w:val="24"/>
          <w:lang w:val="bg-BG"/>
        </w:rPr>
        <w:t>Показатели за крайния продукт</w:t>
      </w:r>
      <w:r w:rsidRPr="002769B4">
        <w:rPr>
          <w:rFonts w:ascii="Times New Roman" w:eastAsia="Calibri" w:hAnsi="Times New Roman" w:cs="Times New Roman"/>
          <w:b/>
          <w:bCs/>
          <w:sz w:val="24"/>
          <w:szCs w:val="24"/>
          <w:lang w:val="bg-BG"/>
        </w:rPr>
        <w:t>“ и</w:t>
      </w:r>
      <w:r w:rsidR="00764DF9" w:rsidRPr="002769B4">
        <w:rPr>
          <w:rFonts w:ascii="Times New Roman" w:eastAsia="Calibri" w:hAnsi="Times New Roman" w:cs="Times New Roman"/>
          <w:b/>
          <w:bCs/>
          <w:sz w:val="24"/>
          <w:szCs w:val="24"/>
          <w:lang w:val="bg-BG"/>
        </w:rPr>
        <w:t xml:space="preserve"> </w:t>
      </w:r>
      <w:bookmarkStart w:id="6" w:name="_Hlk215046488"/>
      <w:r w:rsidR="00764DF9" w:rsidRPr="002769B4">
        <w:rPr>
          <w:rFonts w:ascii="Times New Roman" w:eastAsia="Calibri" w:hAnsi="Times New Roman" w:cs="Times New Roman"/>
          <w:b/>
          <w:bCs/>
          <w:sz w:val="24"/>
          <w:szCs w:val="24"/>
          <w:lang w:val="bg-BG"/>
        </w:rPr>
        <w:t>Таблица 3</w:t>
      </w:r>
      <w:r w:rsidRPr="002769B4">
        <w:rPr>
          <w:rFonts w:ascii="Times New Roman" w:eastAsia="Calibri" w:hAnsi="Times New Roman" w:cs="Times New Roman"/>
          <w:b/>
          <w:bCs/>
          <w:sz w:val="24"/>
          <w:szCs w:val="24"/>
          <w:lang w:val="bg-BG"/>
        </w:rPr>
        <w:t xml:space="preserve"> „</w:t>
      </w:r>
      <w:r w:rsidR="00764DF9" w:rsidRPr="002769B4">
        <w:rPr>
          <w:rFonts w:ascii="Times New Roman" w:eastAsia="Calibri" w:hAnsi="Times New Roman" w:cs="Times New Roman"/>
          <w:b/>
          <w:bCs/>
          <w:sz w:val="24"/>
          <w:szCs w:val="24"/>
          <w:lang w:val="bg-BG"/>
        </w:rPr>
        <w:t>Показатели за резултат</w:t>
      </w:r>
      <w:r w:rsidRPr="002769B4">
        <w:rPr>
          <w:rFonts w:ascii="Times New Roman" w:eastAsia="Calibri" w:hAnsi="Times New Roman" w:cs="Times New Roman"/>
          <w:b/>
          <w:bCs/>
          <w:sz w:val="24"/>
          <w:szCs w:val="24"/>
          <w:lang w:val="bg-BG"/>
        </w:rPr>
        <w:t>а“</w:t>
      </w:r>
      <w:r w:rsidR="006D0CC9" w:rsidRPr="002769B4">
        <w:rPr>
          <w:rFonts w:ascii="Times New Roman" w:eastAsia="Calibri" w:hAnsi="Times New Roman" w:cs="Times New Roman"/>
          <w:b/>
          <w:bCs/>
          <w:sz w:val="24"/>
          <w:szCs w:val="24"/>
          <w:lang w:val="bg-BG"/>
        </w:rPr>
        <w:t xml:space="preserve"> </w:t>
      </w:r>
      <w:r w:rsidR="00764DF9" w:rsidRPr="002769B4">
        <w:rPr>
          <w:rFonts w:ascii="Times New Roman" w:eastAsia="Calibri" w:hAnsi="Times New Roman" w:cs="Times New Roman"/>
          <w:sz w:val="24"/>
          <w:szCs w:val="24"/>
          <w:lang w:val="bg-BG"/>
        </w:rPr>
        <w:t>са актуализирани целевите стойности на показателите</w:t>
      </w:r>
      <w:r w:rsidR="002769B4">
        <w:rPr>
          <w:rFonts w:ascii="Times New Roman" w:eastAsia="Calibri" w:hAnsi="Times New Roman" w:cs="Times New Roman"/>
          <w:sz w:val="24"/>
          <w:szCs w:val="24"/>
          <w:lang w:val="bg-BG"/>
        </w:rPr>
        <w:t xml:space="preserve"> </w:t>
      </w:r>
      <w:r w:rsidR="002769B4" w:rsidRPr="003C4CAD">
        <w:rPr>
          <w:rFonts w:ascii="Times New Roman" w:eastAsia="Calibri" w:hAnsi="Times New Roman" w:cs="Times New Roman"/>
          <w:sz w:val="24"/>
          <w:szCs w:val="24"/>
          <w:lang w:val="bg-BG"/>
        </w:rPr>
        <w:t>за 2029 г.</w:t>
      </w:r>
      <w:r w:rsidR="00764DF9" w:rsidRPr="002769B4">
        <w:rPr>
          <w:rFonts w:ascii="Times New Roman" w:eastAsia="Calibri" w:hAnsi="Times New Roman" w:cs="Times New Roman"/>
          <w:sz w:val="24"/>
          <w:szCs w:val="24"/>
          <w:lang w:val="bg-BG"/>
        </w:rPr>
        <w:t>, съответстващ</w:t>
      </w:r>
      <w:r w:rsidR="004D2845" w:rsidRPr="002769B4">
        <w:rPr>
          <w:rFonts w:ascii="Times New Roman" w:eastAsia="Calibri" w:hAnsi="Times New Roman" w:cs="Times New Roman"/>
          <w:sz w:val="24"/>
          <w:szCs w:val="24"/>
          <w:lang w:val="bg-BG"/>
        </w:rPr>
        <w:t>и</w:t>
      </w:r>
      <w:r w:rsidR="00764DF9" w:rsidRPr="002769B4">
        <w:rPr>
          <w:rFonts w:ascii="Times New Roman" w:eastAsia="Calibri" w:hAnsi="Times New Roman" w:cs="Times New Roman"/>
          <w:sz w:val="24"/>
          <w:szCs w:val="24"/>
          <w:lang w:val="bg-BG"/>
        </w:rPr>
        <w:t xml:space="preserve"> пропорционално на намаления ресурс за целите на новия </w:t>
      </w:r>
      <w:r w:rsidR="00057887" w:rsidRPr="002769B4">
        <w:rPr>
          <w:rFonts w:ascii="Times New Roman" w:eastAsia="Calibri" w:hAnsi="Times New Roman" w:cs="Times New Roman"/>
          <w:sz w:val="24"/>
          <w:szCs w:val="24"/>
          <w:lang w:val="bg-BG"/>
        </w:rPr>
        <w:t xml:space="preserve">Приоритет </w:t>
      </w:r>
      <w:r w:rsidR="00764DF9" w:rsidRPr="002769B4">
        <w:rPr>
          <w:rFonts w:ascii="Times New Roman" w:eastAsia="Calibri" w:hAnsi="Times New Roman" w:cs="Times New Roman"/>
          <w:sz w:val="24"/>
          <w:szCs w:val="24"/>
          <w:lang w:val="bg-BG"/>
        </w:rPr>
        <w:t>7</w:t>
      </w:r>
      <w:bookmarkEnd w:id="6"/>
      <w:r w:rsidRPr="002769B4">
        <w:rPr>
          <w:rFonts w:ascii="Times New Roman" w:eastAsia="Calibri" w:hAnsi="Times New Roman" w:cs="Times New Roman"/>
          <w:sz w:val="24"/>
          <w:szCs w:val="24"/>
          <w:lang w:val="bg-BG"/>
        </w:rPr>
        <w:t xml:space="preserve"> „Устойчивост на водите“</w:t>
      </w:r>
      <w:r w:rsidR="00764DF9" w:rsidRPr="002769B4">
        <w:rPr>
          <w:rFonts w:ascii="Times New Roman" w:eastAsia="Calibri" w:hAnsi="Times New Roman" w:cs="Times New Roman"/>
          <w:sz w:val="24"/>
          <w:szCs w:val="24"/>
          <w:lang w:val="bg-BG"/>
        </w:rPr>
        <w:t xml:space="preserve">, както и с извършени калкулации на база сключени </w:t>
      </w:r>
      <w:r w:rsidRPr="002769B4">
        <w:rPr>
          <w:rFonts w:ascii="Times New Roman" w:eastAsia="Calibri" w:hAnsi="Times New Roman" w:cs="Times New Roman"/>
          <w:sz w:val="24"/>
          <w:szCs w:val="24"/>
          <w:lang w:val="bg-BG"/>
        </w:rPr>
        <w:t>административни договори за предоставяне на безвъзмездна финансова помощ</w:t>
      </w:r>
      <w:r w:rsidR="00764DF9" w:rsidRPr="002769B4">
        <w:rPr>
          <w:rFonts w:ascii="Times New Roman" w:eastAsia="Calibri" w:hAnsi="Times New Roman" w:cs="Times New Roman"/>
          <w:sz w:val="24"/>
          <w:szCs w:val="24"/>
          <w:lang w:val="bg-BG"/>
        </w:rPr>
        <w:t xml:space="preserve"> за изпълнение на мерки за адресиране на битовото отопление и на мерки за адресиране на вторичното разпрашаване с цел намаляване на емисиите ФПЧ</w:t>
      </w:r>
      <w:r w:rsidR="00764DF9" w:rsidRPr="002769B4">
        <w:rPr>
          <w:rFonts w:ascii="Times New Roman" w:eastAsia="Calibri" w:hAnsi="Times New Roman" w:cs="Times New Roman"/>
          <w:sz w:val="24"/>
          <w:szCs w:val="24"/>
          <w:vertAlign w:val="subscript"/>
          <w:lang w:val="bg-BG"/>
        </w:rPr>
        <w:t>10</w:t>
      </w:r>
      <w:r w:rsidR="00764DF9" w:rsidRPr="002769B4">
        <w:rPr>
          <w:rFonts w:ascii="Times New Roman" w:eastAsia="Calibri" w:hAnsi="Times New Roman" w:cs="Times New Roman"/>
          <w:sz w:val="24"/>
          <w:szCs w:val="24"/>
          <w:lang w:val="bg-BG"/>
        </w:rPr>
        <w:t xml:space="preserve"> и подобряване на качеството на атмосферния въздух.</w:t>
      </w:r>
      <w:r w:rsidR="00D67D09" w:rsidRPr="00895ED8">
        <w:rPr>
          <w:rFonts w:ascii="Times New Roman" w:eastAsia="Calibri" w:hAnsi="Times New Roman" w:cs="Times New Roman"/>
          <w:sz w:val="24"/>
          <w:szCs w:val="24"/>
          <w:lang w:val="bg-BG"/>
        </w:rPr>
        <w:t xml:space="preserve"> </w:t>
      </w:r>
    </w:p>
    <w:p w14:paraId="0C5BC267" w14:textId="569A8C80" w:rsidR="00743E3C" w:rsidRPr="00743E3C" w:rsidRDefault="00743E3C" w:rsidP="00743E3C">
      <w:pPr>
        <w:pStyle w:val="ListParagraph"/>
        <w:numPr>
          <w:ilvl w:val="0"/>
          <w:numId w:val="20"/>
        </w:numPr>
        <w:jc w:val="both"/>
        <w:rPr>
          <w:rFonts w:ascii="Times New Roman" w:eastAsia="Calibri" w:hAnsi="Times New Roman" w:cs="Times New Roman"/>
          <w:sz w:val="24"/>
          <w:szCs w:val="24"/>
          <w:lang w:val="bg-BG"/>
        </w:rPr>
      </w:pPr>
      <w:r w:rsidRPr="00743E3C">
        <w:rPr>
          <w:rFonts w:ascii="Times New Roman" w:eastAsia="Calibri" w:hAnsi="Times New Roman" w:cs="Times New Roman"/>
          <w:sz w:val="24"/>
          <w:szCs w:val="24"/>
          <w:lang w:val="bg-BG"/>
        </w:rPr>
        <w:t xml:space="preserve">Извършени са промени и в </w:t>
      </w:r>
      <w:r w:rsidRPr="006D0CC9">
        <w:rPr>
          <w:rFonts w:ascii="Times New Roman" w:eastAsia="Calibri" w:hAnsi="Times New Roman" w:cs="Times New Roman"/>
          <w:b/>
          <w:bCs/>
          <w:sz w:val="24"/>
          <w:szCs w:val="24"/>
          <w:lang w:val="bg-BG"/>
        </w:rPr>
        <w:t>т. 2.1.1.1.3. „Индикативна разбивка на програмираните ресурси (ЕС) по видове интервенции на приоритет 5 „Въздух“</w:t>
      </w:r>
      <w:r w:rsidRPr="00743E3C">
        <w:rPr>
          <w:rFonts w:ascii="Times New Roman" w:eastAsia="Calibri" w:hAnsi="Times New Roman" w:cs="Times New Roman"/>
          <w:sz w:val="24"/>
          <w:szCs w:val="24"/>
          <w:lang w:val="bg-BG"/>
        </w:rPr>
        <w:t xml:space="preserve"> (таблици № 4, 5, 6 и 8), с цел пренасочване на финансов ресурс към новия </w:t>
      </w:r>
      <w:r w:rsidR="000E297C" w:rsidRPr="00743E3C">
        <w:rPr>
          <w:rFonts w:ascii="Times New Roman" w:eastAsia="Calibri" w:hAnsi="Times New Roman" w:cs="Times New Roman"/>
          <w:sz w:val="24"/>
          <w:szCs w:val="24"/>
          <w:lang w:val="bg-BG"/>
        </w:rPr>
        <w:t xml:space="preserve">Приоритет </w:t>
      </w:r>
      <w:r w:rsidRPr="00743E3C">
        <w:rPr>
          <w:rFonts w:ascii="Times New Roman" w:eastAsia="Calibri" w:hAnsi="Times New Roman" w:cs="Times New Roman"/>
          <w:sz w:val="24"/>
          <w:szCs w:val="24"/>
          <w:lang w:val="bg-BG"/>
        </w:rPr>
        <w:t>7 „Устойчивост на водите.</w:t>
      </w:r>
    </w:p>
    <w:p w14:paraId="76BBD0E4" w14:textId="1B56FC34" w:rsidR="00764DF9" w:rsidRPr="00764DF9" w:rsidRDefault="009A3029" w:rsidP="00DE3525">
      <w:pPr>
        <w:spacing w:before="100" w:beforeAutospacing="1" w:after="100" w:afterAutospacing="1" w:line="245" w:lineRule="auto"/>
        <w:ind w:left="142"/>
        <w:jc w:val="both"/>
        <w:rPr>
          <w:rFonts w:ascii="Times New Roman" w:eastAsia="Times New Roman" w:hAnsi="Times New Roman" w:cs="Times New Roman"/>
          <w:b/>
          <w:bCs/>
          <w:color w:val="000000"/>
          <w:sz w:val="24"/>
          <w:szCs w:val="24"/>
          <w:lang w:val="bg-BG" w:eastAsia="bg-BG" w:bidi="bg-BG"/>
        </w:rPr>
      </w:pPr>
      <w:bookmarkStart w:id="7" w:name="bookmark14"/>
      <w:bookmarkStart w:id="8" w:name="bookmark15"/>
      <w:r w:rsidRPr="00147D8B">
        <w:rPr>
          <w:rFonts w:ascii="Times New Roman" w:eastAsia="Calibri" w:hAnsi="Times New Roman" w:cs="Times New Roman"/>
          <w:b/>
          <w:bCs/>
          <w:sz w:val="24"/>
          <w:szCs w:val="24"/>
          <w:lang w:val="bg-BG"/>
        </w:rPr>
        <w:t>В раздел „Приоритети“ се създава</w:t>
      </w:r>
      <w:r w:rsidR="00764DF9" w:rsidRPr="00764DF9">
        <w:rPr>
          <w:rFonts w:ascii="Times New Roman" w:eastAsia="Times New Roman" w:hAnsi="Times New Roman" w:cs="Times New Roman"/>
          <w:b/>
          <w:bCs/>
          <w:color w:val="000000"/>
          <w:sz w:val="24"/>
          <w:szCs w:val="24"/>
          <w:lang w:val="bg-BG" w:eastAsia="bg-BG" w:bidi="bg-BG"/>
        </w:rPr>
        <w:t xml:space="preserve"> нов Приоритет 7 „Устойчивост на водите“:</w:t>
      </w:r>
      <w:bookmarkEnd w:id="7"/>
      <w:bookmarkEnd w:id="8"/>
    </w:p>
    <w:p w14:paraId="05545951" w14:textId="481F85EB" w:rsidR="00147D8B" w:rsidRPr="009536A7" w:rsidRDefault="00147D8B" w:rsidP="00147D8B">
      <w:pPr>
        <w:numPr>
          <w:ilvl w:val="0"/>
          <w:numId w:val="21"/>
        </w:numPr>
        <w:spacing w:before="240" w:after="100" w:afterAutospacing="1" w:line="245" w:lineRule="auto"/>
        <w:contextualSpacing/>
        <w:jc w:val="both"/>
        <w:rPr>
          <w:rFonts w:ascii="Times New Roman" w:eastAsia="Calibri" w:hAnsi="Times New Roman" w:cs="Times New Roman"/>
          <w:sz w:val="24"/>
          <w:szCs w:val="24"/>
          <w:lang w:val="bg-BG"/>
        </w:rPr>
      </w:pPr>
      <w:bookmarkStart w:id="9" w:name="_Hlk215045921"/>
      <w:r w:rsidRPr="009536A7">
        <w:rPr>
          <w:rFonts w:ascii="Times New Roman" w:eastAsia="Calibri" w:hAnsi="Times New Roman" w:cs="Times New Roman"/>
          <w:sz w:val="24"/>
          <w:szCs w:val="24"/>
          <w:lang w:val="bg-BG"/>
        </w:rPr>
        <w:lastRenderedPageBreak/>
        <w:t>С</w:t>
      </w:r>
      <w:r w:rsidR="00B94A64" w:rsidRPr="009536A7">
        <w:rPr>
          <w:rFonts w:ascii="Times New Roman" w:eastAsia="Calibri" w:hAnsi="Times New Roman" w:cs="Times New Roman"/>
          <w:sz w:val="24"/>
          <w:szCs w:val="24"/>
          <w:lang w:val="bg-BG"/>
        </w:rPr>
        <w:t>ъс с</w:t>
      </w:r>
      <w:r w:rsidRPr="009536A7">
        <w:rPr>
          <w:rFonts w:ascii="Times New Roman" w:eastAsia="Calibri" w:hAnsi="Times New Roman" w:cs="Times New Roman"/>
          <w:sz w:val="24"/>
          <w:szCs w:val="24"/>
          <w:lang w:val="bg-BG"/>
        </w:rPr>
        <w:t>пецифична цел: „Насърчаване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p>
    <w:p w14:paraId="39BA97E6" w14:textId="15BAF7A9" w:rsidR="00147D8B" w:rsidRPr="009536A7" w:rsidRDefault="00147D8B" w:rsidP="009536A7">
      <w:pPr>
        <w:numPr>
          <w:ilvl w:val="0"/>
          <w:numId w:val="21"/>
        </w:numPr>
        <w:spacing w:after="0" w:line="245" w:lineRule="auto"/>
        <w:ind w:left="714" w:hanging="357"/>
        <w:contextualSpacing/>
        <w:jc w:val="both"/>
        <w:rPr>
          <w:rFonts w:ascii="Times New Roman" w:eastAsia="Calibri" w:hAnsi="Times New Roman" w:cs="Times New Roman"/>
          <w:sz w:val="24"/>
          <w:szCs w:val="24"/>
          <w:lang w:val="bg-BG"/>
        </w:rPr>
      </w:pPr>
      <w:r w:rsidRPr="009536A7">
        <w:rPr>
          <w:rFonts w:ascii="Times New Roman" w:eastAsia="Calibri" w:hAnsi="Times New Roman" w:cs="Times New Roman"/>
          <w:sz w:val="24"/>
          <w:szCs w:val="24"/>
          <w:lang w:val="bg-BG"/>
        </w:rPr>
        <w:t xml:space="preserve">В </w:t>
      </w:r>
      <w:r w:rsidRPr="009536A7">
        <w:rPr>
          <w:rFonts w:ascii="Times New Roman" w:eastAsia="Calibri" w:hAnsi="Times New Roman" w:cs="Times New Roman"/>
          <w:b/>
          <w:bCs/>
          <w:sz w:val="24"/>
          <w:szCs w:val="24"/>
          <w:lang w:val="bg-BG"/>
        </w:rPr>
        <w:t>т. 2.1.1.1.1. „Интервенции по линия на фондовете“</w:t>
      </w:r>
      <w:r w:rsidRPr="009536A7">
        <w:rPr>
          <w:rFonts w:ascii="Times New Roman" w:eastAsia="Calibri" w:hAnsi="Times New Roman" w:cs="Times New Roman"/>
          <w:sz w:val="24"/>
          <w:szCs w:val="24"/>
          <w:lang w:val="bg-BG"/>
        </w:rPr>
        <w:t xml:space="preserve"> са </w:t>
      </w:r>
      <w:r w:rsidR="00B94A64" w:rsidRPr="009536A7">
        <w:rPr>
          <w:rFonts w:ascii="Times New Roman" w:eastAsia="Calibri" w:hAnsi="Times New Roman" w:cs="Times New Roman"/>
          <w:sz w:val="24"/>
          <w:szCs w:val="24"/>
          <w:lang w:val="bg-BG"/>
        </w:rPr>
        <w:t>включени</w:t>
      </w:r>
      <w:r w:rsidRPr="009536A7">
        <w:rPr>
          <w:rFonts w:ascii="Times New Roman" w:eastAsia="Calibri" w:hAnsi="Times New Roman" w:cs="Times New Roman"/>
          <w:sz w:val="24"/>
          <w:szCs w:val="24"/>
          <w:lang w:val="bg-BG"/>
        </w:rPr>
        <w:t xml:space="preserve"> следните </w:t>
      </w:r>
      <w:r w:rsidR="009536A7" w:rsidRPr="009536A7">
        <w:rPr>
          <w:rFonts w:ascii="Times New Roman" w:eastAsia="Calibri" w:hAnsi="Times New Roman" w:cs="Times New Roman"/>
          <w:sz w:val="24"/>
          <w:szCs w:val="24"/>
          <w:lang w:val="bg-BG"/>
        </w:rPr>
        <w:t>интервенции:</w:t>
      </w:r>
    </w:p>
    <w:p w14:paraId="06574AB4" w14:textId="77777777" w:rsidR="009536A7" w:rsidRPr="009536A7" w:rsidRDefault="009536A7" w:rsidP="003D6FA5">
      <w:pPr>
        <w:pStyle w:val="ListParagraph"/>
        <w:numPr>
          <w:ilvl w:val="0"/>
          <w:numId w:val="30"/>
        </w:numPr>
        <w:spacing w:after="0" w:line="240" w:lineRule="auto"/>
        <w:ind w:left="1066" w:hanging="357"/>
        <w:jc w:val="both"/>
        <w:rPr>
          <w:rFonts w:ascii="Times New Roman" w:hAnsi="Times New Roman" w:cs="Times New Roman"/>
          <w:sz w:val="24"/>
          <w:szCs w:val="24"/>
          <w:lang w:val="bg-BG"/>
        </w:rPr>
      </w:pPr>
      <w:r w:rsidRPr="009536A7">
        <w:rPr>
          <w:rFonts w:ascii="Times New Roman" w:hAnsi="Times New Roman" w:cs="Times New Roman"/>
          <w:sz w:val="24"/>
          <w:szCs w:val="24"/>
          <w:lang w:val="bg-BG"/>
        </w:rPr>
        <w:t xml:space="preserve">Инфраструктурни мерки (подготовка и изпълнение) за събиране, отвеждане и пречистване на отпадъчни води с принос за постигане на съответствие с Директива 91/271/ЕИО; </w:t>
      </w:r>
    </w:p>
    <w:p w14:paraId="5DD99E60" w14:textId="77777777" w:rsidR="009536A7" w:rsidRPr="009536A7" w:rsidRDefault="009536A7" w:rsidP="003D6FA5">
      <w:pPr>
        <w:pStyle w:val="ListParagraph"/>
        <w:numPr>
          <w:ilvl w:val="0"/>
          <w:numId w:val="30"/>
        </w:numPr>
        <w:spacing w:after="0" w:line="240" w:lineRule="auto"/>
        <w:ind w:left="1066" w:hanging="357"/>
        <w:jc w:val="both"/>
        <w:rPr>
          <w:rFonts w:ascii="Times New Roman" w:hAnsi="Times New Roman" w:cs="Times New Roman"/>
          <w:sz w:val="24"/>
          <w:szCs w:val="24"/>
          <w:lang w:val="bg-BG"/>
        </w:rPr>
      </w:pPr>
      <w:r w:rsidRPr="009536A7">
        <w:rPr>
          <w:rFonts w:ascii="Times New Roman" w:hAnsi="Times New Roman" w:cs="Times New Roman"/>
          <w:sz w:val="24"/>
          <w:szCs w:val="24"/>
          <w:lang w:val="bg-BG"/>
        </w:rPr>
        <w:t>Инфраструктурни мерки (подготовка и изпълнение) за водоснабдяване във връзка с Директива 98/83/ЕО [Директива (ЕС) 2020/2184] с принос към намаляване на загубите на вода по водопреносната мрежа и подобряване качеството на питейната вода;</w:t>
      </w:r>
    </w:p>
    <w:p w14:paraId="009DB18E" w14:textId="772DE623" w:rsidR="009536A7" w:rsidRPr="009536A7" w:rsidRDefault="009536A7" w:rsidP="003D6FA5">
      <w:pPr>
        <w:pStyle w:val="ListParagraph"/>
        <w:numPr>
          <w:ilvl w:val="0"/>
          <w:numId w:val="30"/>
        </w:numPr>
        <w:spacing w:after="0" w:line="240" w:lineRule="auto"/>
        <w:ind w:left="1066" w:hanging="357"/>
        <w:jc w:val="both"/>
        <w:rPr>
          <w:rFonts w:ascii="Times New Roman" w:eastAsia="Calibri" w:hAnsi="Times New Roman" w:cs="Times New Roman"/>
          <w:iCs/>
          <w:noProof/>
          <w:sz w:val="24"/>
          <w:szCs w:val="24"/>
          <w:lang w:val="bg-BG"/>
        </w:rPr>
      </w:pPr>
      <w:r w:rsidRPr="009536A7">
        <w:rPr>
          <w:rFonts w:ascii="Times New Roman" w:hAnsi="Times New Roman" w:cs="Times New Roman"/>
          <w:sz w:val="24"/>
          <w:szCs w:val="24"/>
          <w:lang w:val="bg-BG"/>
        </w:rPr>
        <w:t xml:space="preserve">Допълнителни инвестиции за постигане на съответствие с Директива 91/271/ЕИО и адресиране на значителния антропогенен натиск в Черно море в района на </w:t>
      </w:r>
      <w:r w:rsidR="006F1238">
        <w:rPr>
          <w:rFonts w:ascii="Times New Roman" w:hAnsi="Times New Roman" w:cs="Times New Roman"/>
          <w:sz w:val="24"/>
          <w:szCs w:val="24"/>
          <w:lang w:val="bg-BG"/>
        </w:rPr>
        <w:t xml:space="preserve">к.к. </w:t>
      </w:r>
      <w:r w:rsidRPr="009536A7">
        <w:rPr>
          <w:rFonts w:ascii="Times New Roman" w:hAnsi="Times New Roman" w:cs="Times New Roman"/>
          <w:sz w:val="24"/>
          <w:szCs w:val="24"/>
          <w:lang w:val="bg-BG"/>
        </w:rPr>
        <w:t>Елените - Свети Влас</w:t>
      </w:r>
      <w:r w:rsidR="00844440">
        <w:rPr>
          <w:rFonts w:ascii="Times New Roman" w:hAnsi="Times New Roman" w:cs="Times New Roman"/>
          <w:sz w:val="24"/>
          <w:szCs w:val="24"/>
          <w:lang w:val="bg-BG"/>
        </w:rPr>
        <w:t>;</w:t>
      </w:r>
      <w:r w:rsidRPr="009536A7">
        <w:rPr>
          <w:rFonts w:ascii="Times New Roman" w:hAnsi="Times New Roman" w:cs="Times New Roman"/>
          <w:sz w:val="24"/>
          <w:szCs w:val="24"/>
          <w:lang w:val="bg-BG"/>
        </w:rPr>
        <w:t xml:space="preserve"> </w:t>
      </w:r>
    </w:p>
    <w:p w14:paraId="2B093D09" w14:textId="77777777" w:rsidR="006F1238" w:rsidRDefault="009536A7" w:rsidP="003D6FA5">
      <w:pPr>
        <w:pStyle w:val="ListParagraph"/>
        <w:numPr>
          <w:ilvl w:val="0"/>
          <w:numId w:val="30"/>
        </w:numPr>
        <w:spacing w:after="0" w:line="240" w:lineRule="auto"/>
        <w:ind w:left="1066" w:hanging="357"/>
        <w:jc w:val="both"/>
        <w:rPr>
          <w:rFonts w:ascii="Times New Roman" w:eastAsia="Calibri" w:hAnsi="Times New Roman" w:cs="Times New Roman"/>
          <w:iCs/>
          <w:noProof/>
          <w:sz w:val="24"/>
          <w:szCs w:val="24"/>
          <w:lang w:val="bg-BG"/>
        </w:rPr>
      </w:pPr>
      <w:r w:rsidRPr="009536A7">
        <w:rPr>
          <w:rFonts w:ascii="Times New Roman" w:hAnsi="Times New Roman" w:cs="Times New Roman"/>
          <w:sz w:val="24"/>
          <w:szCs w:val="24"/>
          <w:lang w:val="bg-BG"/>
        </w:rPr>
        <w:t xml:space="preserve">Инвестиции в проектиране на ВиК инфраструктура в агломерации между 5 000 и 10 000 екв. ж. </w:t>
      </w:r>
      <w:r w:rsidRPr="009536A7">
        <w:rPr>
          <w:rFonts w:ascii="Times New Roman" w:eastAsia="Calibri" w:hAnsi="Times New Roman" w:cs="Times New Roman"/>
          <w:iCs/>
          <w:noProof/>
          <w:sz w:val="24"/>
          <w:szCs w:val="24"/>
          <w:lang w:val="bg-BG"/>
        </w:rPr>
        <w:t xml:space="preserve"> (по докладване от Директива 91/271/ЕИО - 2024 г.).</w:t>
      </w:r>
    </w:p>
    <w:p w14:paraId="479188ED" w14:textId="6B4E115A" w:rsidR="006F1238" w:rsidRPr="006F1238" w:rsidRDefault="006F1238" w:rsidP="003D6FA5">
      <w:pPr>
        <w:pStyle w:val="ListParagraph"/>
        <w:numPr>
          <w:ilvl w:val="0"/>
          <w:numId w:val="30"/>
        </w:numPr>
        <w:spacing w:after="0" w:line="240" w:lineRule="auto"/>
        <w:ind w:left="1066" w:hanging="357"/>
        <w:jc w:val="both"/>
        <w:rPr>
          <w:rFonts w:ascii="Times New Roman" w:eastAsia="Calibri" w:hAnsi="Times New Roman" w:cs="Times New Roman"/>
          <w:iCs/>
          <w:noProof/>
          <w:sz w:val="24"/>
          <w:szCs w:val="24"/>
          <w:lang w:val="bg-BG"/>
        </w:rPr>
      </w:pPr>
      <w:r w:rsidRPr="006F1238">
        <w:rPr>
          <w:rFonts w:ascii="Times New Roman" w:eastAsia="Calibri" w:hAnsi="Times New Roman" w:cs="Times New Roman"/>
          <w:iCs/>
          <w:noProof/>
          <w:sz w:val="24"/>
          <w:szCs w:val="24"/>
          <w:lang w:val="bg-BG"/>
        </w:rPr>
        <w:t>Също така се специфицира, че за инвестициите във ВиК инфраструктура по Приоритет 7 „Устойчивост на водите“ процентът на съфинансиране от страна на бенефициентите е в размер на 12% от стойността на допустимите инвестиционни разходи. С изменението на програмата</w:t>
      </w:r>
      <w:r w:rsidR="007C3627">
        <w:rPr>
          <w:rFonts w:ascii="Times New Roman" w:eastAsia="Calibri" w:hAnsi="Times New Roman" w:cs="Times New Roman"/>
          <w:iCs/>
          <w:noProof/>
          <w:sz w:val="24"/>
          <w:szCs w:val="24"/>
          <w:lang w:val="bg-BG"/>
        </w:rPr>
        <w:t>,</w:t>
      </w:r>
      <w:r w:rsidRPr="006F1238">
        <w:rPr>
          <w:rFonts w:ascii="Times New Roman" w:eastAsia="Calibri" w:hAnsi="Times New Roman" w:cs="Times New Roman"/>
          <w:iCs/>
          <w:noProof/>
          <w:sz w:val="24"/>
          <w:szCs w:val="24"/>
          <w:lang w:val="bg-BG"/>
        </w:rPr>
        <w:t xml:space="preserve"> по време на междинния преглед на нейното изпълнение по чл. 18</w:t>
      </w:r>
      <w:r w:rsidR="007C3627">
        <w:rPr>
          <w:rFonts w:ascii="Times New Roman" w:eastAsia="Calibri" w:hAnsi="Times New Roman" w:cs="Times New Roman"/>
          <w:iCs/>
          <w:noProof/>
          <w:sz w:val="24"/>
          <w:szCs w:val="24"/>
          <w:lang w:val="bg-BG"/>
        </w:rPr>
        <w:t>, пар. 1</w:t>
      </w:r>
      <w:r w:rsidRPr="006F1238">
        <w:rPr>
          <w:rFonts w:ascii="Times New Roman" w:eastAsia="Calibri" w:hAnsi="Times New Roman" w:cs="Times New Roman"/>
          <w:iCs/>
          <w:noProof/>
          <w:sz w:val="24"/>
          <w:szCs w:val="24"/>
          <w:lang w:val="bg-BG"/>
        </w:rPr>
        <w:t xml:space="preserve"> на Регламент (ЕС) 2021/1060</w:t>
      </w:r>
      <w:r w:rsidR="0058423C">
        <w:rPr>
          <w:rFonts w:ascii="Times New Roman" w:eastAsia="Calibri" w:hAnsi="Times New Roman" w:cs="Times New Roman"/>
          <w:iCs/>
          <w:noProof/>
          <w:sz w:val="24"/>
          <w:szCs w:val="24"/>
          <w:lang w:val="bg-BG"/>
        </w:rPr>
        <w:t>,</w:t>
      </w:r>
      <w:r w:rsidRPr="006F1238">
        <w:rPr>
          <w:rFonts w:ascii="Times New Roman" w:eastAsia="Calibri" w:hAnsi="Times New Roman" w:cs="Times New Roman"/>
          <w:iCs/>
          <w:noProof/>
          <w:sz w:val="24"/>
          <w:szCs w:val="24"/>
          <w:lang w:val="bg-BG"/>
        </w:rPr>
        <w:t xml:space="preserve"> фиксираният </w:t>
      </w:r>
      <w:r w:rsidR="007C3627">
        <w:rPr>
          <w:rFonts w:ascii="Times New Roman" w:eastAsia="Calibri" w:hAnsi="Times New Roman" w:cs="Times New Roman"/>
          <w:iCs/>
          <w:noProof/>
          <w:sz w:val="24"/>
          <w:szCs w:val="24"/>
          <w:lang w:val="bg-BG"/>
        </w:rPr>
        <w:t>процент</w:t>
      </w:r>
      <w:r w:rsidRPr="006F1238">
        <w:rPr>
          <w:rFonts w:ascii="Times New Roman" w:eastAsia="Calibri" w:hAnsi="Times New Roman" w:cs="Times New Roman"/>
          <w:iCs/>
          <w:noProof/>
          <w:sz w:val="24"/>
          <w:szCs w:val="24"/>
          <w:lang w:val="bg-BG"/>
        </w:rPr>
        <w:t xml:space="preserve"> на собствено финансиране бе въведен за прехвърлените от НПВУ </w:t>
      </w:r>
      <w:r w:rsidR="007C3627">
        <w:rPr>
          <w:rFonts w:ascii="Times New Roman" w:eastAsia="Calibri" w:hAnsi="Times New Roman" w:cs="Times New Roman"/>
          <w:iCs/>
          <w:noProof/>
          <w:sz w:val="24"/>
          <w:szCs w:val="24"/>
          <w:lang w:val="bg-BG"/>
        </w:rPr>
        <w:t xml:space="preserve">ВиК </w:t>
      </w:r>
      <w:r w:rsidRPr="006F1238">
        <w:rPr>
          <w:rFonts w:ascii="Times New Roman" w:eastAsia="Calibri" w:hAnsi="Times New Roman" w:cs="Times New Roman"/>
          <w:iCs/>
          <w:noProof/>
          <w:sz w:val="24"/>
          <w:szCs w:val="24"/>
          <w:lang w:val="bg-BG"/>
        </w:rPr>
        <w:t xml:space="preserve">проекти, за </w:t>
      </w:r>
      <w:r w:rsidR="007C3627">
        <w:rPr>
          <w:rFonts w:ascii="Times New Roman" w:eastAsia="Calibri" w:hAnsi="Times New Roman" w:cs="Times New Roman"/>
          <w:iCs/>
          <w:noProof/>
          <w:sz w:val="24"/>
          <w:szCs w:val="24"/>
          <w:lang w:val="bg-BG"/>
        </w:rPr>
        <w:t>като за целта бе</w:t>
      </w:r>
      <w:r w:rsidRPr="006F1238">
        <w:rPr>
          <w:rFonts w:ascii="Times New Roman" w:eastAsia="Calibri" w:hAnsi="Times New Roman" w:cs="Times New Roman"/>
          <w:iCs/>
          <w:noProof/>
          <w:sz w:val="24"/>
          <w:szCs w:val="24"/>
          <w:lang w:val="bg-BG"/>
        </w:rPr>
        <w:t xml:space="preserve"> извършен подробен анализ на резултатите от оценката на представените анализи разходи-ползи по одобрените за финансиране проекти в агломерации над 10 000 екв. ж. За проектите през програмен период 2014-2020 г. средният процент на </w:t>
      </w:r>
      <w:r w:rsidR="00927A40" w:rsidRPr="00895ED8">
        <w:rPr>
          <w:rFonts w:ascii="Times New Roman" w:eastAsia="Times New Roman" w:hAnsi="Times New Roman" w:cs="Times New Roman"/>
          <w:bCs/>
          <w:noProof/>
          <w:color w:val="000000"/>
          <w:sz w:val="24"/>
          <w:szCs w:val="24"/>
          <w:lang w:val="bg-BG" w:eastAsia="bg-BG"/>
        </w:rPr>
        <w:t xml:space="preserve">безвъзмездната финансова помощ </w:t>
      </w:r>
      <w:r w:rsidRPr="006F1238">
        <w:rPr>
          <w:rFonts w:ascii="Times New Roman" w:eastAsia="Calibri" w:hAnsi="Times New Roman" w:cs="Times New Roman"/>
          <w:iCs/>
          <w:noProof/>
          <w:sz w:val="24"/>
          <w:szCs w:val="24"/>
          <w:lang w:val="bg-BG"/>
        </w:rPr>
        <w:t xml:space="preserve">е 87,68%, с осреднен размер на собствения принос от 12,32%. За одобрените 7 проекта през </w:t>
      </w:r>
      <w:r w:rsidR="00927A40">
        <w:rPr>
          <w:rFonts w:ascii="Times New Roman" w:eastAsia="Calibri" w:hAnsi="Times New Roman" w:cs="Times New Roman"/>
          <w:iCs/>
          <w:noProof/>
          <w:sz w:val="24"/>
          <w:szCs w:val="24"/>
          <w:lang w:val="bg-BG"/>
        </w:rPr>
        <w:t xml:space="preserve">програмен </w:t>
      </w:r>
      <w:r w:rsidRPr="006F1238">
        <w:rPr>
          <w:rFonts w:ascii="Times New Roman" w:eastAsia="Calibri" w:hAnsi="Times New Roman" w:cs="Times New Roman"/>
          <w:iCs/>
          <w:noProof/>
          <w:sz w:val="24"/>
          <w:szCs w:val="24"/>
          <w:lang w:val="bg-BG"/>
        </w:rPr>
        <w:t xml:space="preserve">период 2021-2027 г. средният размер на </w:t>
      </w:r>
      <w:r w:rsidR="00927A40" w:rsidRPr="00895ED8">
        <w:rPr>
          <w:rFonts w:ascii="Times New Roman" w:eastAsia="Times New Roman" w:hAnsi="Times New Roman" w:cs="Times New Roman"/>
          <w:bCs/>
          <w:noProof/>
          <w:color w:val="000000"/>
          <w:sz w:val="24"/>
          <w:szCs w:val="24"/>
          <w:lang w:val="bg-BG" w:eastAsia="bg-BG"/>
        </w:rPr>
        <w:t>безвъзмездната финансова помощ</w:t>
      </w:r>
      <w:r w:rsidRPr="006F1238">
        <w:rPr>
          <w:rFonts w:ascii="Times New Roman" w:eastAsia="Calibri" w:hAnsi="Times New Roman" w:cs="Times New Roman"/>
          <w:iCs/>
          <w:noProof/>
          <w:sz w:val="24"/>
          <w:szCs w:val="24"/>
          <w:lang w:val="bg-BG"/>
        </w:rPr>
        <w:t xml:space="preserve"> е 88,07%</w:t>
      </w:r>
      <w:r w:rsidR="00927A40">
        <w:rPr>
          <w:rFonts w:ascii="Times New Roman" w:eastAsia="Calibri" w:hAnsi="Times New Roman" w:cs="Times New Roman"/>
          <w:iCs/>
          <w:noProof/>
          <w:sz w:val="24"/>
          <w:szCs w:val="24"/>
          <w:lang w:val="bg-BG"/>
        </w:rPr>
        <w:t>,</w:t>
      </w:r>
      <w:r w:rsidRPr="006F1238">
        <w:rPr>
          <w:rFonts w:ascii="Times New Roman" w:eastAsia="Calibri" w:hAnsi="Times New Roman" w:cs="Times New Roman"/>
          <w:iCs/>
          <w:noProof/>
          <w:sz w:val="24"/>
          <w:szCs w:val="24"/>
          <w:lang w:val="bg-BG"/>
        </w:rPr>
        <w:t xml:space="preserve"> с приблизителен собствен принос от 11,93%, което мотивира предложението за определяне на фиксиран процент на съ-финансиране в размер на 12% за всички ВиК проекти и по Приоритет 7.</w:t>
      </w:r>
      <w:r w:rsidR="00927A40">
        <w:rPr>
          <w:rFonts w:ascii="Times New Roman" w:eastAsia="Calibri" w:hAnsi="Times New Roman" w:cs="Times New Roman"/>
          <w:iCs/>
          <w:noProof/>
          <w:sz w:val="24"/>
          <w:szCs w:val="24"/>
          <w:lang w:val="bg-BG"/>
        </w:rPr>
        <w:t xml:space="preserve"> </w:t>
      </w:r>
    </w:p>
    <w:p w14:paraId="7C7C8CAB" w14:textId="1C05201E" w:rsidR="00C51E0F" w:rsidRPr="005E64F6" w:rsidRDefault="00C51E0F" w:rsidP="00C51E0F">
      <w:pPr>
        <w:pStyle w:val="ListParagraph"/>
        <w:numPr>
          <w:ilvl w:val="0"/>
          <w:numId w:val="31"/>
        </w:numPr>
        <w:spacing w:before="240" w:after="100" w:afterAutospacing="1" w:line="245" w:lineRule="auto"/>
        <w:jc w:val="both"/>
        <w:rPr>
          <w:rFonts w:ascii="Times New Roman" w:eastAsia="Calibri" w:hAnsi="Times New Roman" w:cs="Times New Roman"/>
          <w:sz w:val="24"/>
          <w:szCs w:val="24"/>
          <w:lang w:val="bg-BG"/>
        </w:rPr>
      </w:pPr>
      <w:r w:rsidRPr="00C51E0F">
        <w:rPr>
          <w:rFonts w:ascii="Times New Roman" w:eastAsia="Calibri" w:hAnsi="Times New Roman" w:cs="Times New Roman"/>
          <w:b/>
          <w:bCs/>
          <w:sz w:val="24"/>
          <w:szCs w:val="24"/>
          <w:lang w:val="bg-BG"/>
        </w:rPr>
        <w:t>Таблица 2 „Показатели за крайния продукт“</w:t>
      </w:r>
      <w:r w:rsidRPr="00C51E0F">
        <w:rPr>
          <w:rFonts w:ascii="Times New Roman" w:eastAsia="Calibri" w:hAnsi="Times New Roman" w:cs="Times New Roman"/>
          <w:sz w:val="24"/>
          <w:szCs w:val="24"/>
          <w:lang w:val="bg-BG"/>
        </w:rPr>
        <w:t xml:space="preserve"> </w:t>
      </w:r>
      <w:r w:rsidRPr="005E64F6">
        <w:rPr>
          <w:rFonts w:ascii="Times New Roman" w:eastAsia="Calibri" w:hAnsi="Times New Roman" w:cs="Times New Roman"/>
          <w:sz w:val="24"/>
          <w:szCs w:val="24"/>
          <w:lang w:val="bg-BG"/>
        </w:rPr>
        <w:t>е с попълнени стойности за показател RCO 32 „Нов или подобрен капацитет за пречистване на отпадъчни води“.</w:t>
      </w:r>
    </w:p>
    <w:p w14:paraId="66998F61" w14:textId="77777777" w:rsidR="005E64F6" w:rsidRDefault="00764DF9" w:rsidP="005E64F6">
      <w:pPr>
        <w:pStyle w:val="ListParagraph"/>
        <w:numPr>
          <w:ilvl w:val="0"/>
          <w:numId w:val="21"/>
        </w:numPr>
        <w:spacing w:before="240" w:after="100" w:afterAutospacing="1" w:line="245" w:lineRule="auto"/>
        <w:jc w:val="both"/>
        <w:rPr>
          <w:rFonts w:ascii="Times New Roman" w:eastAsia="Calibri" w:hAnsi="Times New Roman" w:cs="Times New Roman"/>
          <w:sz w:val="24"/>
          <w:szCs w:val="24"/>
          <w:lang w:val="bg-BG"/>
        </w:rPr>
      </w:pPr>
      <w:r w:rsidRPr="005E64F6">
        <w:rPr>
          <w:rFonts w:ascii="Times New Roman" w:eastAsia="Calibri" w:hAnsi="Times New Roman" w:cs="Times New Roman"/>
          <w:b/>
          <w:bCs/>
          <w:sz w:val="24"/>
          <w:szCs w:val="24"/>
          <w:lang w:val="bg-BG"/>
        </w:rPr>
        <w:t xml:space="preserve">Таблица 3 </w:t>
      </w:r>
      <w:r w:rsidR="00C51E0F" w:rsidRPr="005E64F6">
        <w:rPr>
          <w:rFonts w:ascii="Times New Roman" w:eastAsia="Calibri" w:hAnsi="Times New Roman" w:cs="Times New Roman"/>
          <w:b/>
          <w:bCs/>
          <w:sz w:val="24"/>
          <w:szCs w:val="24"/>
          <w:lang w:val="bg-BG"/>
        </w:rPr>
        <w:t>„</w:t>
      </w:r>
      <w:r w:rsidRPr="005E64F6">
        <w:rPr>
          <w:rFonts w:ascii="Times New Roman" w:eastAsia="Calibri" w:hAnsi="Times New Roman" w:cs="Times New Roman"/>
          <w:b/>
          <w:bCs/>
          <w:sz w:val="24"/>
          <w:szCs w:val="24"/>
          <w:lang w:val="bg-BG"/>
        </w:rPr>
        <w:t>Показатели за резултат</w:t>
      </w:r>
      <w:r w:rsidR="00C51E0F" w:rsidRPr="005E64F6">
        <w:rPr>
          <w:rFonts w:ascii="Times New Roman" w:eastAsia="Calibri" w:hAnsi="Times New Roman" w:cs="Times New Roman"/>
          <w:b/>
          <w:bCs/>
          <w:sz w:val="24"/>
          <w:szCs w:val="24"/>
          <w:lang w:val="bg-BG"/>
        </w:rPr>
        <w:t>а“</w:t>
      </w:r>
      <w:r w:rsidRPr="005E64F6">
        <w:rPr>
          <w:rFonts w:ascii="Times New Roman" w:eastAsia="Calibri" w:hAnsi="Times New Roman" w:cs="Times New Roman"/>
          <w:sz w:val="24"/>
          <w:szCs w:val="24"/>
          <w:lang w:val="bg-BG"/>
        </w:rPr>
        <w:t xml:space="preserve"> с попълнени стойности за показател</w:t>
      </w:r>
      <w:r w:rsidR="00C51E0F" w:rsidRPr="005E64F6">
        <w:rPr>
          <w:rFonts w:ascii="Times New Roman" w:eastAsia="Calibri" w:hAnsi="Times New Roman" w:cs="Times New Roman"/>
          <w:sz w:val="24"/>
          <w:szCs w:val="24"/>
          <w:lang w:val="bg-BG"/>
        </w:rPr>
        <w:t>и RCR 41</w:t>
      </w:r>
      <w:r w:rsidR="00C51E0F" w:rsidRPr="00895ED8">
        <w:rPr>
          <w:lang w:val="bg-BG"/>
        </w:rPr>
        <w:t xml:space="preserve"> </w:t>
      </w:r>
      <w:r w:rsidR="00C51E0F" w:rsidRPr="005E64F6">
        <w:rPr>
          <w:lang w:val="bg-BG"/>
        </w:rPr>
        <w:t>„</w:t>
      </w:r>
      <w:r w:rsidR="00C51E0F" w:rsidRPr="005E64F6">
        <w:rPr>
          <w:rFonts w:ascii="Times New Roman" w:eastAsia="Calibri" w:hAnsi="Times New Roman" w:cs="Times New Roman"/>
          <w:sz w:val="24"/>
          <w:szCs w:val="24"/>
          <w:lang w:val="bg-BG"/>
        </w:rPr>
        <w:t xml:space="preserve">Жители, свързани към подобрено обществено водоснабдяване“ и RCR 42 „Жители, свързани към поне вторично пречистване на отпадъчни води“. </w:t>
      </w:r>
    </w:p>
    <w:p w14:paraId="789AD787" w14:textId="2B68313D" w:rsidR="006F1238" w:rsidRPr="005E64F6" w:rsidRDefault="006F1238" w:rsidP="00557BA9">
      <w:pPr>
        <w:pStyle w:val="ListParagraph"/>
        <w:spacing w:before="240" w:after="100" w:afterAutospacing="1" w:line="245" w:lineRule="auto"/>
        <w:jc w:val="both"/>
        <w:rPr>
          <w:rFonts w:ascii="Times New Roman" w:eastAsia="Calibri" w:hAnsi="Times New Roman" w:cs="Times New Roman"/>
          <w:sz w:val="24"/>
          <w:szCs w:val="24"/>
          <w:lang w:val="bg-BG"/>
        </w:rPr>
      </w:pPr>
      <w:r w:rsidRPr="006F1238">
        <w:rPr>
          <w:rFonts w:ascii="Times New Roman" w:eastAsia="Calibri" w:hAnsi="Times New Roman" w:cs="Times New Roman"/>
          <w:sz w:val="24"/>
          <w:szCs w:val="24"/>
          <w:lang w:val="bg-BG"/>
        </w:rPr>
        <w:t xml:space="preserve">Целевите стойности на </w:t>
      </w:r>
      <w:r>
        <w:rPr>
          <w:rFonts w:ascii="Times New Roman" w:eastAsia="Calibri" w:hAnsi="Times New Roman" w:cs="Times New Roman"/>
          <w:sz w:val="24"/>
          <w:szCs w:val="24"/>
          <w:lang w:val="bg-BG"/>
        </w:rPr>
        <w:t>показателите в Таблица 2 и Таблица 3</w:t>
      </w:r>
      <w:r w:rsidRPr="006F1238">
        <w:rPr>
          <w:rFonts w:ascii="Times New Roman" w:eastAsia="Calibri" w:hAnsi="Times New Roman" w:cs="Times New Roman"/>
          <w:sz w:val="24"/>
          <w:szCs w:val="24"/>
          <w:lang w:val="bg-BG"/>
        </w:rPr>
        <w:t xml:space="preserve"> са определени с прогнозно изпълнение от 60% за предложените инвестиции във ВиК инфраструктура, като е отчетено тяхното моментно състояние, очаквания</w:t>
      </w:r>
      <w:r w:rsidR="002673E0">
        <w:rPr>
          <w:rFonts w:ascii="Times New Roman" w:eastAsia="Calibri" w:hAnsi="Times New Roman" w:cs="Times New Roman"/>
          <w:sz w:val="24"/>
          <w:szCs w:val="24"/>
          <w:lang w:val="bg-BG"/>
        </w:rPr>
        <w:t>т</w:t>
      </w:r>
      <w:r w:rsidRPr="006F1238">
        <w:rPr>
          <w:rFonts w:ascii="Times New Roman" w:eastAsia="Calibri" w:hAnsi="Times New Roman" w:cs="Times New Roman"/>
          <w:sz w:val="24"/>
          <w:szCs w:val="24"/>
          <w:lang w:val="bg-BG"/>
        </w:rPr>
        <w:t xml:space="preserve"> период за сключване на </w:t>
      </w:r>
      <w:r w:rsidR="00E45A14">
        <w:rPr>
          <w:rFonts w:ascii="Times New Roman" w:eastAsia="Calibri" w:hAnsi="Times New Roman" w:cs="Times New Roman"/>
          <w:sz w:val="24"/>
          <w:szCs w:val="24"/>
          <w:lang w:val="bg-BG"/>
        </w:rPr>
        <w:t xml:space="preserve">административни </w:t>
      </w:r>
      <w:r w:rsidRPr="006F1238">
        <w:rPr>
          <w:rFonts w:ascii="Times New Roman" w:eastAsia="Calibri" w:hAnsi="Times New Roman" w:cs="Times New Roman"/>
          <w:sz w:val="24"/>
          <w:szCs w:val="24"/>
          <w:lang w:val="bg-BG"/>
        </w:rPr>
        <w:t>договори за безвъзмездна финансова помощ и планираното усвояване във финансовите прогнози.</w:t>
      </w:r>
    </w:p>
    <w:p w14:paraId="67BA1CC5" w14:textId="5E3ED503" w:rsidR="005E64F6" w:rsidRPr="00010460" w:rsidRDefault="00764DF9" w:rsidP="00E41DF0">
      <w:pPr>
        <w:pStyle w:val="ListParagraph"/>
        <w:numPr>
          <w:ilvl w:val="0"/>
          <w:numId w:val="21"/>
        </w:numPr>
        <w:spacing w:before="240" w:after="100" w:afterAutospacing="1" w:line="245" w:lineRule="auto"/>
        <w:jc w:val="both"/>
        <w:rPr>
          <w:rFonts w:ascii="Times New Roman" w:eastAsia="Calibri" w:hAnsi="Times New Roman" w:cs="Times New Roman"/>
          <w:sz w:val="24"/>
          <w:szCs w:val="24"/>
          <w:lang w:val="bg-BG"/>
        </w:rPr>
      </w:pPr>
      <w:r w:rsidRPr="005E64F6">
        <w:rPr>
          <w:rFonts w:ascii="Times New Roman" w:eastAsia="Calibri" w:hAnsi="Times New Roman" w:cs="Times New Roman"/>
          <w:sz w:val="24"/>
          <w:szCs w:val="24"/>
          <w:lang w:val="bg-BG"/>
        </w:rPr>
        <w:t xml:space="preserve">В </w:t>
      </w:r>
      <w:r w:rsidRPr="005E64F6">
        <w:rPr>
          <w:rFonts w:ascii="Times New Roman" w:eastAsia="Calibri" w:hAnsi="Times New Roman" w:cs="Times New Roman"/>
          <w:b/>
          <w:bCs/>
          <w:sz w:val="24"/>
          <w:szCs w:val="24"/>
          <w:lang w:val="bg-BG"/>
        </w:rPr>
        <w:t xml:space="preserve">Таблица 4 </w:t>
      </w:r>
      <w:r w:rsidR="005E64F6">
        <w:rPr>
          <w:rFonts w:ascii="Times New Roman" w:eastAsia="Calibri" w:hAnsi="Times New Roman" w:cs="Times New Roman"/>
          <w:b/>
          <w:bCs/>
          <w:sz w:val="24"/>
          <w:szCs w:val="24"/>
          <w:lang w:val="bg-BG"/>
        </w:rPr>
        <w:t>„</w:t>
      </w:r>
      <w:r w:rsidRPr="005E64F6">
        <w:rPr>
          <w:rFonts w:ascii="Times New Roman" w:eastAsia="Calibri" w:hAnsi="Times New Roman" w:cs="Times New Roman"/>
          <w:b/>
          <w:bCs/>
          <w:sz w:val="24"/>
          <w:szCs w:val="24"/>
          <w:lang w:val="bg-BG"/>
        </w:rPr>
        <w:t>Измерение 1 — Област на интервенция</w:t>
      </w:r>
      <w:r w:rsidR="005E64F6">
        <w:rPr>
          <w:rFonts w:ascii="Times New Roman" w:eastAsia="Calibri" w:hAnsi="Times New Roman" w:cs="Times New Roman"/>
          <w:b/>
          <w:bCs/>
          <w:sz w:val="24"/>
          <w:szCs w:val="24"/>
          <w:lang w:val="bg-BG"/>
        </w:rPr>
        <w:t>“</w:t>
      </w:r>
      <w:r w:rsidRPr="005E64F6">
        <w:rPr>
          <w:rFonts w:ascii="Times New Roman" w:eastAsia="Calibri" w:hAnsi="Times New Roman" w:cs="Times New Roman"/>
          <w:sz w:val="24"/>
          <w:szCs w:val="24"/>
          <w:lang w:val="bg-BG"/>
        </w:rPr>
        <w:t xml:space="preserve"> </w:t>
      </w:r>
      <w:r w:rsidR="005E64F6" w:rsidRPr="005E64F6">
        <w:rPr>
          <w:rFonts w:ascii="Times New Roman" w:eastAsia="Calibri" w:hAnsi="Times New Roman" w:cs="Times New Roman"/>
          <w:sz w:val="24"/>
          <w:szCs w:val="24"/>
          <w:lang w:val="bg-BG"/>
        </w:rPr>
        <w:t xml:space="preserve">е направено разпределение на сумите по кодове 062 „Осигуряване на вода за консумация от човека (инфраструктура за добив, обработване, съхранение и разпределение, мерки за </w:t>
      </w:r>
      <w:r w:rsidR="005E64F6" w:rsidRPr="005E64F6">
        <w:rPr>
          <w:rFonts w:ascii="Times New Roman" w:eastAsia="Calibri" w:hAnsi="Times New Roman" w:cs="Times New Roman"/>
          <w:sz w:val="24"/>
          <w:szCs w:val="24"/>
          <w:lang w:val="bg-BG"/>
        </w:rPr>
        <w:lastRenderedPageBreak/>
        <w:t>ефективност, снабдяване с питейна вода)“ и 065 „Събиране и пречистване на отпадъчни води</w:t>
      </w:r>
      <w:r w:rsidR="005E64F6" w:rsidRPr="00010460">
        <w:rPr>
          <w:rFonts w:ascii="Times New Roman" w:eastAsia="Calibri" w:hAnsi="Times New Roman" w:cs="Times New Roman"/>
          <w:sz w:val="24"/>
          <w:szCs w:val="24"/>
          <w:lang w:val="bg-BG"/>
        </w:rPr>
        <w:t>“.</w:t>
      </w:r>
    </w:p>
    <w:p w14:paraId="3C29B6D3" w14:textId="77777777" w:rsidR="00010460" w:rsidRPr="00010460" w:rsidRDefault="00764DF9" w:rsidP="00010460">
      <w:pPr>
        <w:pStyle w:val="ListParagraph"/>
        <w:numPr>
          <w:ilvl w:val="0"/>
          <w:numId w:val="21"/>
        </w:numPr>
        <w:spacing w:before="240" w:after="100" w:afterAutospacing="1" w:line="245" w:lineRule="auto"/>
        <w:jc w:val="both"/>
        <w:rPr>
          <w:rFonts w:ascii="Times New Roman" w:eastAsia="Calibri" w:hAnsi="Times New Roman" w:cs="Times New Roman"/>
          <w:sz w:val="24"/>
          <w:szCs w:val="24"/>
          <w:lang w:val="bg-BG"/>
        </w:rPr>
      </w:pPr>
      <w:r w:rsidRPr="00010460">
        <w:rPr>
          <w:rFonts w:ascii="Times New Roman" w:eastAsia="Calibri" w:hAnsi="Times New Roman" w:cs="Times New Roman"/>
          <w:sz w:val="24"/>
          <w:szCs w:val="24"/>
          <w:lang w:val="bg-BG"/>
        </w:rPr>
        <w:t xml:space="preserve">В </w:t>
      </w:r>
      <w:r w:rsidRPr="00010460">
        <w:rPr>
          <w:rFonts w:ascii="Times New Roman" w:eastAsia="Calibri" w:hAnsi="Times New Roman" w:cs="Times New Roman"/>
          <w:b/>
          <w:bCs/>
          <w:sz w:val="24"/>
          <w:szCs w:val="24"/>
          <w:lang w:val="bg-BG"/>
        </w:rPr>
        <w:t xml:space="preserve">Таблица 5 </w:t>
      </w:r>
      <w:r w:rsidR="005E64F6" w:rsidRPr="00010460">
        <w:rPr>
          <w:rFonts w:ascii="Times New Roman" w:eastAsia="Calibri" w:hAnsi="Times New Roman" w:cs="Times New Roman"/>
          <w:b/>
          <w:bCs/>
          <w:sz w:val="24"/>
          <w:szCs w:val="24"/>
          <w:lang w:val="bg-BG"/>
        </w:rPr>
        <w:t>„</w:t>
      </w:r>
      <w:r w:rsidRPr="00010460">
        <w:rPr>
          <w:rFonts w:ascii="Times New Roman" w:eastAsia="Calibri" w:hAnsi="Times New Roman" w:cs="Times New Roman"/>
          <w:b/>
          <w:bCs/>
          <w:sz w:val="24"/>
          <w:szCs w:val="24"/>
          <w:lang w:val="bg-BG"/>
        </w:rPr>
        <w:t>Измерение 2 — форма на финансиране</w:t>
      </w:r>
      <w:r w:rsidR="005E64F6" w:rsidRPr="00010460">
        <w:rPr>
          <w:rFonts w:ascii="Times New Roman" w:eastAsia="Calibri" w:hAnsi="Times New Roman" w:cs="Times New Roman"/>
          <w:b/>
          <w:bCs/>
          <w:sz w:val="24"/>
          <w:szCs w:val="24"/>
          <w:lang w:val="bg-BG"/>
        </w:rPr>
        <w:t xml:space="preserve">“ </w:t>
      </w:r>
      <w:r w:rsidR="005E64F6" w:rsidRPr="00010460">
        <w:rPr>
          <w:rFonts w:ascii="Times New Roman" w:eastAsia="Calibri" w:hAnsi="Times New Roman" w:cs="Times New Roman"/>
          <w:sz w:val="24"/>
          <w:szCs w:val="24"/>
          <w:lang w:val="bg-BG"/>
        </w:rPr>
        <w:t>е</w:t>
      </w:r>
      <w:r w:rsidR="005E64F6" w:rsidRPr="00010460">
        <w:rPr>
          <w:rFonts w:ascii="Times New Roman" w:eastAsia="Calibri" w:hAnsi="Times New Roman" w:cs="Times New Roman"/>
          <w:b/>
          <w:bCs/>
          <w:sz w:val="24"/>
          <w:szCs w:val="24"/>
          <w:lang w:val="bg-BG"/>
        </w:rPr>
        <w:t xml:space="preserve"> </w:t>
      </w:r>
      <w:r w:rsidR="005E64F6" w:rsidRPr="00010460">
        <w:rPr>
          <w:rFonts w:ascii="Times New Roman" w:eastAsia="Calibri" w:hAnsi="Times New Roman" w:cs="Times New Roman"/>
          <w:sz w:val="24"/>
          <w:szCs w:val="24"/>
          <w:lang w:val="bg-BG"/>
        </w:rPr>
        <w:t>направено разпределение на сумите по код 01</w:t>
      </w:r>
      <w:r w:rsidR="005E64F6" w:rsidRPr="00895ED8">
        <w:rPr>
          <w:rFonts w:ascii="Times New Roman" w:hAnsi="Times New Roman" w:cs="Times New Roman"/>
          <w:lang w:val="bg-BG"/>
        </w:rPr>
        <w:t xml:space="preserve"> </w:t>
      </w:r>
      <w:r w:rsidR="005E64F6" w:rsidRPr="00010460">
        <w:rPr>
          <w:rFonts w:ascii="Times New Roman" w:hAnsi="Times New Roman" w:cs="Times New Roman"/>
          <w:lang w:val="bg-BG"/>
        </w:rPr>
        <w:t>„</w:t>
      </w:r>
      <w:r w:rsidR="005E64F6" w:rsidRPr="00010460">
        <w:rPr>
          <w:rFonts w:ascii="Times New Roman" w:eastAsia="Calibri" w:hAnsi="Times New Roman" w:cs="Times New Roman"/>
          <w:sz w:val="24"/>
          <w:szCs w:val="24"/>
          <w:lang w:val="bg-BG"/>
        </w:rPr>
        <w:t>Безвъзмездни средства“.</w:t>
      </w:r>
    </w:p>
    <w:p w14:paraId="67EA28D2" w14:textId="77777777" w:rsidR="00010460" w:rsidRPr="00010460" w:rsidRDefault="00764DF9" w:rsidP="00010460">
      <w:pPr>
        <w:pStyle w:val="ListParagraph"/>
        <w:numPr>
          <w:ilvl w:val="0"/>
          <w:numId w:val="21"/>
        </w:numPr>
        <w:spacing w:before="240" w:after="100" w:afterAutospacing="1" w:line="245" w:lineRule="auto"/>
        <w:jc w:val="both"/>
        <w:rPr>
          <w:rFonts w:ascii="Times New Roman" w:eastAsia="Calibri" w:hAnsi="Times New Roman" w:cs="Times New Roman"/>
          <w:sz w:val="24"/>
          <w:szCs w:val="24"/>
          <w:lang w:val="bg-BG"/>
        </w:rPr>
      </w:pPr>
      <w:r w:rsidRPr="00010460">
        <w:rPr>
          <w:rFonts w:ascii="Times New Roman" w:eastAsia="Calibri" w:hAnsi="Times New Roman" w:cs="Times New Roman"/>
          <w:sz w:val="24"/>
          <w:szCs w:val="24"/>
          <w:lang w:val="bg-BG"/>
        </w:rPr>
        <w:t xml:space="preserve">В </w:t>
      </w:r>
      <w:r w:rsidRPr="00010460">
        <w:rPr>
          <w:rFonts w:ascii="Times New Roman" w:eastAsia="Calibri" w:hAnsi="Times New Roman" w:cs="Times New Roman"/>
          <w:b/>
          <w:bCs/>
          <w:sz w:val="24"/>
          <w:szCs w:val="24"/>
          <w:lang w:val="bg-BG"/>
        </w:rPr>
        <w:t xml:space="preserve">Таблица 6 </w:t>
      </w:r>
      <w:r w:rsidR="00010460" w:rsidRPr="00010460">
        <w:rPr>
          <w:rFonts w:ascii="Times New Roman" w:eastAsia="Calibri" w:hAnsi="Times New Roman" w:cs="Times New Roman"/>
          <w:b/>
          <w:bCs/>
          <w:sz w:val="24"/>
          <w:szCs w:val="24"/>
          <w:lang w:val="bg-BG"/>
        </w:rPr>
        <w:t>„</w:t>
      </w:r>
      <w:r w:rsidRPr="00010460">
        <w:rPr>
          <w:rFonts w:ascii="Times New Roman" w:eastAsia="Calibri" w:hAnsi="Times New Roman" w:cs="Times New Roman"/>
          <w:b/>
          <w:bCs/>
          <w:sz w:val="24"/>
          <w:szCs w:val="24"/>
          <w:lang w:val="bg-BG"/>
        </w:rPr>
        <w:t>Измерение 3 – териториален механизъм за изпълнение и териториална насоченост</w:t>
      </w:r>
      <w:r w:rsidR="00010460" w:rsidRPr="00010460">
        <w:rPr>
          <w:rFonts w:ascii="Times New Roman" w:eastAsia="Calibri" w:hAnsi="Times New Roman" w:cs="Times New Roman"/>
          <w:b/>
          <w:bCs/>
          <w:sz w:val="24"/>
          <w:szCs w:val="24"/>
          <w:lang w:val="bg-BG"/>
        </w:rPr>
        <w:t>“</w:t>
      </w:r>
      <w:r w:rsidRPr="00010460">
        <w:rPr>
          <w:rFonts w:ascii="Times New Roman" w:eastAsia="Calibri" w:hAnsi="Times New Roman" w:cs="Times New Roman"/>
          <w:sz w:val="24"/>
          <w:szCs w:val="24"/>
          <w:lang w:val="bg-BG"/>
        </w:rPr>
        <w:t xml:space="preserve"> </w:t>
      </w:r>
      <w:r w:rsidR="00010460" w:rsidRPr="00010460">
        <w:rPr>
          <w:rFonts w:ascii="Times New Roman" w:eastAsia="Calibri" w:hAnsi="Times New Roman" w:cs="Times New Roman"/>
          <w:sz w:val="24"/>
          <w:szCs w:val="24"/>
          <w:lang w:val="bg-BG"/>
        </w:rPr>
        <w:t>сумите са разпределени по код 33.</w:t>
      </w:r>
    </w:p>
    <w:p w14:paraId="11C98835" w14:textId="77777777" w:rsidR="00BB0671" w:rsidRDefault="00010460" w:rsidP="00BB0671">
      <w:pPr>
        <w:pStyle w:val="ListParagraph"/>
        <w:numPr>
          <w:ilvl w:val="0"/>
          <w:numId w:val="21"/>
        </w:numPr>
        <w:spacing w:before="240" w:after="100" w:afterAutospacing="1" w:line="245"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В </w:t>
      </w:r>
      <w:r w:rsidR="00764DF9" w:rsidRPr="00010460">
        <w:rPr>
          <w:rFonts w:ascii="Times New Roman" w:eastAsia="Calibri" w:hAnsi="Times New Roman" w:cs="Times New Roman"/>
          <w:b/>
          <w:bCs/>
          <w:sz w:val="24"/>
          <w:szCs w:val="24"/>
          <w:lang w:val="bg-BG"/>
        </w:rPr>
        <w:t xml:space="preserve">Таблица 8 </w:t>
      </w:r>
      <w:r w:rsidRPr="00010460">
        <w:rPr>
          <w:rFonts w:ascii="Times New Roman" w:eastAsia="Calibri" w:hAnsi="Times New Roman" w:cs="Times New Roman"/>
          <w:b/>
          <w:bCs/>
          <w:sz w:val="24"/>
          <w:szCs w:val="24"/>
          <w:lang w:val="bg-BG"/>
        </w:rPr>
        <w:t>„</w:t>
      </w:r>
      <w:r w:rsidR="00764DF9" w:rsidRPr="00010460">
        <w:rPr>
          <w:rFonts w:ascii="Times New Roman" w:eastAsia="Calibri" w:hAnsi="Times New Roman" w:cs="Times New Roman"/>
          <w:b/>
          <w:bCs/>
          <w:sz w:val="24"/>
          <w:szCs w:val="24"/>
          <w:lang w:val="bg-BG"/>
        </w:rPr>
        <w:t>Измерение 7 — измерение Равенство между половете“</w:t>
      </w:r>
      <w:r w:rsidR="00764DF9" w:rsidRPr="00010460">
        <w:rPr>
          <w:rFonts w:ascii="Times New Roman" w:eastAsia="Calibri" w:hAnsi="Times New Roman" w:cs="Times New Roman"/>
          <w:sz w:val="24"/>
          <w:szCs w:val="24"/>
          <w:lang w:val="bg-BG"/>
        </w:rPr>
        <w:t xml:space="preserve"> </w:t>
      </w:r>
      <w:r w:rsidRPr="00010460">
        <w:rPr>
          <w:rFonts w:ascii="Times New Roman" w:eastAsia="Calibri" w:hAnsi="Times New Roman" w:cs="Times New Roman"/>
          <w:sz w:val="24"/>
          <w:szCs w:val="24"/>
          <w:lang w:val="bg-BG"/>
        </w:rPr>
        <w:t>сумите са разпределени по код 03.</w:t>
      </w:r>
      <w:bookmarkEnd w:id="9"/>
    </w:p>
    <w:p w14:paraId="210EE2AB" w14:textId="77777777" w:rsidR="00E90549" w:rsidRDefault="00147D8B" w:rsidP="00E263BC">
      <w:pPr>
        <w:spacing w:before="240" w:after="100" w:afterAutospacing="1" w:line="245" w:lineRule="auto"/>
        <w:ind w:firstLine="708"/>
        <w:jc w:val="both"/>
        <w:rPr>
          <w:rFonts w:ascii="Times New Roman" w:eastAsia="Calibri" w:hAnsi="Times New Roman" w:cs="Times New Roman"/>
          <w:sz w:val="24"/>
          <w:szCs w:val="24"/>
          <w:lang w:val="bg-BG"/>
        </w:rPr>
      </w:pPr>
      <w:r w:rsidRPr="00E90549">
        <w:rPr>
          <w:rFonts w:ascii="Times New Roman" w:eastAsia="Calibri" w:hAnsi="Times New Roman" w:cs="Times New Roman"/>
          <w:sz w:val="24"/>
          <w:szCs w:val="24"/>
          <w:lang w:val="bg-BG"/>
        </w:rPr>
        <w:t xml:space="preserve">Извършени са промени </w:t>
      </w:r>
      <w:r w:rsidRPr="00E90549">
        <w:rPr>
          <w:rFonts w:ascii="Times New Roman" w:eastAsia="Calibri" w:hAnsi="Times New Roman" w:cs="Times New Roman"/>
          <w:b/>
          <w:bCs/>
          <w:sz w:val="24"/>
          <w:szCs w:val="24"/>
          <w:lang w:val="bg-BG"/>
        </w:rPr>
        <w:t xml:space="preserve">в </w:t>
      </w:r>
      <w:r w:rsidR="00BB0671" w:rsidRPr="00E90549">
        <w:rPr>
          <w:rFonts w:ascii="Times New Roman" w:eastAsia="Calibri" w:hAnsi="Times New Roman" w:cs="Times New Roman"/>
          <w:b/>
          <w:bCs/>
          <w:sz w:val="24"/>
          <w:szCs w:val="24"/>
          <w:lang w:val="bg-BG"/>
        </w:rPr>
        <w:t>раздел 3 „</w:t>
      </w:r>
      <w:r w:rsidRPr="00E90549">
        <w:rPr>
          <w:rFonts w:ascii="Times New Roman" w:eastAsia="Calibri" w:hAnsi="Times New Roman" w:cs="Times New Roman"/>
          <w:b/>
          <w:bCs/>
          <w:sz w:val="24"/>
          <w:szCs w:val="24"/>
          <w:lang w:val="bg-BG"/>
        </w:rPr>
        <w:t>План за финансиране</w:t>
      </w:r>
      <w:r w:rsidRPr="00E90549">
        <w:rPr>
          <w:rFonts w:ascii="Times New Roman" w:eastAsia="Calibri" w:hAnsi="Times New Roman" w:cs="Times New Roman"/>
          <w:sz w:val="24"/>
          <w:szCs w:val="24"/>
          <w:lang w:val="bg-BG"/>
        </w:rPr>
        <w:t xml:space="preserve">, </w:t>
      </w:r>
      <w:r w:rsidRPr="00E90549">
        <w:rPr>
          <w:rFonts w:ascii="Times New Roman" w:eastAsia="Calibri" w:hAnsi="Times New Roman" w:cs="Times New Roman"/>
          <w:b/>
          <w:bCs/>
          <w:sz w:val="24"/>
          <w:szCs w:val="24"/>
          <w:lang w:val="bg-BG"/>
        </w:rPr>
        <w:t xml:space="preserve">т. 3.6. </w:t>
      </w:r>
      <w:r w:rsidR="00BB0671" w:rsidRPr="00E90549">
        <w:rPr>
          <w:rFonts w:ascii="Times New Roman" w:eastAsia="Calibri" w:hAnsi="Times New Roman" w:cs="Times New Roman"/>
          <w:b/>
          <w:bCs/>
          <w:sz w:val="24"/>
          <w:szCs w:val="24"/>
          <w:lang w:val="bg-BG"/>
        </w:rPr>
        <w:t>„</w:t>
      </w:r>
      <w:r w:rsidRPr="00E90549">
        <w:rPr>
          <w:rFonts w:ascii="Times New Roman" w:eastAsia="Calibri" w:hAnsi="Times New Roman" w:cs="Times New Roman"/>
          <w:b/>
          <w:bCs/>
          <w:sz w:val="24"/>
          <w:szCs w:val="24"/>
          <w:lang w:val="bg-BG"/>
        </w:rPr>
        <w:t>Общо финансови бюджетни кредити по фондове и национално съфинансиране</w:t>
      </w:r>
      <w:r w:rsidR="00BB0671" w:rsidRPr="00E90549">
        <w:rPr>
          <w:rFonts w:ascii="Times New Roman" w:eastAsia="Calibri" w:hAnsi="Times New Roman" w:cs="Times New Roman"/>
          <w:b/>
          <w:bCs/>
          <w:sz w:val="24"/>
          <w:szCs w:val="24"/>
          <w:lang w:val="bg-BG"/>
        </w:rPr>
        <w:t>“</w:t>
      </w:r>
      <w:r w:rsidRPr="00E90549">
        <w:rPr>
          <w:rFonts w:ascii="Times New Roman" w:eastAsia="Calibri" w:hAnsi="Times New Roman" w:cs="Times New Roman"/>
          <w:sz w:val="24"/>
          <w:szCs w:val="24"/>
          <w:lang w:val="bg-BG"/>
        </w:rPr>
        <w:t xml:space="preserve">, </w:t>
      </w:r>
      <w:r w:rsidRPr="00E90549">
        <w:rPr>
          <w:rFonts w:ascii="Times New Roman" w:eastAsia="Calibri" w:hAnsi="Times New Roman" w:cs="Times New Roman"/>
          <w:b/>
          <w:bCs/>
          <w:sz w:val="24"/>
          <w:szCs w:val="24"/>
          <w:lang w:val="bg-BG"/>
        </w:rPr>
        <w:t>Таблица 11: Общо бюджетни кредити по фонд и национално съфинансиране</w:t>
      </w:r>
      <w:r w:rsidR="00BB0671" w:rsidRPr="00E90549">
        <w:rPr>
          <w:rFonts w:ascii="Times New Roman" w:eastAsia="Calibri" w:hAnsi="Times New Roman" w:cs="Times New Roman"/>
          <w:sz w:val="24"/>
          <w:szCs w:val="24"/>
          <w:lang w:val="bg-BG"/>
        </w:rPr>
        <w:t>“</w:t>
      </w:r>
      <w:r w:rsidRPr="00E90549">
        <w:rPr>
          <w:rFonts w:ascii="Times New Roman" w:eastAsia="Calibri" w:hAnsi="Times New Roman" w:cs="Times New Roman"/>
          <w:sz w:val="24"/>
          <w:szCs w:val="24"/>
          <w:lang w:val="bg-BG"/>
        </w:rPr>
        <w:t>. Общият бюджет на ПОС 2021-2027 г. се запазва.</w:t>
      </w:r>
    </w:p>
    <w:p w14:paraId="345C0123" w14:textId="27701F27" w:rsidR="003B1C25" w:rsidRDefault="00E90549" w:rsidP="00E263BC">
      <w:pPr>
        <w:spacing w:before="240" w:after="100" w:afterAutospacing="1" w:line="245" w:lineRule="auto"/>
        <w:ind w:firstLine="708"/>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П</w:t>
      </w:r>
      <w:r w:rsidR="006D0CC9" w:rsidRPr="006D0CC9">
        <w:rPr>
          <w:rFonts w:ascii="Times New Roman" w:eastAsia="Calibri" w:hAnsi="Times New Roman" w:cs="Times New Roman"/>
          <w:sz w:val="24"/>
          <w:szCs w:val="24"/>
          <w:lang w:val="bg-BG"/>
        </w:rPr>
        <w:t xml:space="preserve">редлага </w:t>
      </w:r>
      <w:r>
        <w:rPr>
          <w:rFonts w:ascii="Times New Roman" w:eastAsia="Calibri" w:hAnsi="Times New Roman" w:cs="Times New Roman"/>
          <w:sz w:val="24"/>
          <w:szCs w:val="24"/>
          <w:lang w:val="bg-BG"/>
        </w:rPr>
        <w:t xml:space="preserve">се </w:t>
      </w:r>
      <w:r w:rsidR="006D0CC9" w:rsidRPr="006D0CC9">
        <w:rPr>
          <w:rFonts w:ascii="Times New Roman" w:eastAsia="Calibri" w:hAnsi="Times New Roman" w:cs="Times New Roman"/>
          <w:sz w:val="24"/>
          <w:szCs w:val="24"/>
          <w:lang w:val="bg-BG"/>
        </w:rPr>
        <w:t xml:space="preserve">операцията за инвестиции в отоплителни системи, използващи водородни технологии – като алтернативна опция за битово отопление на твърдо гориво по </w:t>
      </w:r>
      <w:r>
        <w:rPr>
          <w:rFonts w:ascii="Times New Roman" w:eastAsia="Calibri" w:hAnsi="Times New Roman" w:cs="Times New Roman"/>
          <w:sz w:val="24"/>
          <w:szCs w:val="24"/>
          <w:lang w:val="bg-BG"/>
        </w:rPr>
        <w:t>п</w:t>
      </w:r>
      <w:r w:rsidR="006D0CC9" w:rsidRPr="006D0CC9">
        <w:rPr>
          <w:rFonts w:ascii="Times New Roman" w:eastAsia="Calibri" w:hAnsi="Times New Roman" w:cs="Times New Roman"/>
          <w:sz w:val="24"/>
          <w:szCs w:val="24"/>
          <w:lang w:val="bg-BG"/>
        </w:rPr>
        <w:t xml:space="preserve">риоритет 5 „Въздух“ да отпадне от </w:t>
      </w:r>
      <w:r>
        <w:rPr>
          <w:rFonts w:ascii="Times New Roman" w:eastAsia="Calibri" w:hAnsi="Times New Roman" w:cs="Times New Roman"/>
          <w:sz w:val="24"/>
          <w:szCs w:val="24"/>
          <w:lang w:val="bg-BG"/>
        </w:rPr>
        <w:t>с</w:t>
      </w:r>
      <w:r w:rsidRPr="00E90549">
        <w:rPr>
          <w:rFonts w:ascii="Times New Roman" w:eastAsia="Calibri" w:hAnsi="Times New Roman" w:cs="Times New Roman"/>
          <w:sz w:val="24"/>
          <w:szCs w:val="24"/>
          <w:lang w:val="bg-BG"/>
        </w:rPr>
        <w:t>писък</w:t>
      </w:r>
      <w:r>
        <w:rPr>
          <w:rFonts w:ascii="Times New Roman" w:eastAsia="Calibri" w:hAnsi="Times New Roman" w:cs="Times New Roman"/>
          <w:sz w:val="24"/>
          <w:szCs w:val="24"/>
          <w:lang w:val="bg-BG"/>
        </w:rPr>
        <w:t>а</w:t>
      </w:r>
      <w:r w:rsidRPr="00E90549">
        <w:rPr>
          <w:rFonts w:ascii="Times New Roman" w:eastAsia="Calibri" w:hAnsi="Times New Roman" w:cs="Times New Roman"/>
          <w:sz w:val="24"/>
          <w:szCs w:val="24"/>
          <w:lang w:val="bg-BG"/>
        </w:rPr>
        <w:t xml:space="preserve"> на планираните операции от стратегическо значение</w:t>
      </w:r>
      <w:r>
        <w:rPr>
          <w:rFonts w:ascii="Times New Roman" w:eastAsia="Calibri" w:hAnsi="Times New Roman" w:cs="Times New Roman"/>
          <w:sz w:val="24"/>
          <w:szCs w:val="24"/>
          <w:lang w:val="bg-BG"/>
        </w:rPr>
        <w:t xml:space="preserve">. </w:t>
      </w:r>
      <w:r w:rsidRPr="00E90549">
        <w:rPr>
          <w:rFonts w:ascii="Times New Roman" w:eastAsia="Calibri" w:hAnsi="Times New Roman" w:cs="Times New Roman"/>
          <w:sz w:val="24"/>
          <w:szCs w:val="24"/>
          <w:lang w:val="bg-BG"/>
        </w:rPr>
        <w:t xml:space="preserve">Актуализиран е графикът </w:t>
      </w:r>
      <w:r>
        <w:rPr>
          <w:rFonts w:ascii="Times New Roman" w:eastAsia="Calibri" w:hAnsi="Times New Roman" w:cs="Times New Roman"/>
          <w:sz w:val="24"/>
          <w:szCs w:val="24"/>
          <w:lang w:val="bg-BG"/>
        </w:rPr>
        <w:t>за изпълнение на операциите от стратегическо значение</w:t>
      </w:r>
      <w:r w:rsidRPr="00E90549">
        <w:rPr>
          <w:rFonts w:ascii="Times New Roman" w:eastAsia="Calibri" w:hAnsi="Times New Roman" w:cs="Times New Roman"/>
          <w:sz w:val="24"/>
          <w:szCs w:val="24"/>
          <w:lang w:val="bg-BG"/>
        </w:rPr>
        <w:t>.</w:t>
      </w:r>
    </w:p>
    <w:p w14:paraId="1440B5A5" w14:textId="09013436" w:rsidR="003B1C25" w:rsidRDefault="003B1C25" w:rsidP="003B1C25">
      <w:pPr>
        <w:spacing w:before="240" w:after="100" w:afterAutospacing="1" w:line="245" w:lineRule="auto"/>
        <w:ind w:firstLine="36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Запазва се финансовият ресурс за изпълнение на подхода ВОМР и подхода ИТИ.</w:t>
      </w:r>
    </w:p>
    <w:sectPr w:rsidR="003B1C25" w:rsidSect="00FC526B">
      <w:headerReference w:type="default" r:id="rId13"/>
      <w:footerReference w:type="default" r:id="rId14"/>
      <w:pgSz w:w="11906" w:h="16838"/>
      <w:pgMar w:top="1135" w:right="1133" w:bottom="1135" w:left="1134" w:header="709"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99F7" w14:textId="77777777" w:rsidR="00823E75" w:rsidRDefault="00823E75" w:rsidP="00445BD6">
      <w:pPr>
        <w:spacing w:after="0" w:line="240" w:lineRule="auto"/>
      </w:pPr>
      <w:r>
        <w:separator/>
      </w:r>
    </w:p>
    <w:p w14:paraId="14B87E69" w14:textId="77777777" w:rsidR="00823E75" w:rsidRDefault="00823E75"/>
  </w:endnote>
  <w:endnote w:type="continuationSeparator" w:id="0">
    <w:p w14:paraId="2BA2861B" w14:textId="77777777" w:rsidR="00823E75" w:rsidRDefault="00823E75" w:rsidP="00445BD6">
      <w:pPr>
        <w:spacing w:after="0" w:line="240" w:lineRule="auto"/>
      </w:pPr>
      <w:r>
        <w:continuationSeparator/>
      </w:r>
    </w:p>
    <w:p w14:paraId="14FF7262" w14:textId="77777777" w:rsidR="00823E75" w:rsidRDefault="00823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27805478"/>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711E49BC" w14:textId="6AB9FEF9" w:rsidR="007A6CBE" w:rsidRPr="007A6CBE" w:rsidRDefault="007A6CBE">
            <w:pPr>
              <w:pStyle w:val="Footer"/>
              <w:jc w:val="right"/>
              <w:rPr>
                <w:rFonts w:ascii="Times New Roman" w:hAnsi="Times New Roman" w:cs="Times New Roman"/>
              </w:rPr>
            </w:pPr>
            <w:r w:rsidRPr="007A6CBE">
              <w:rPr>
                <w:rFonts w:ascii="Times New Roman" w:hAnsi="Times New Roman" w:cs="Times New Roman"/>
                <w:lang w:val="bg-BG"/>
              </w:rPr>
              <w:t>Стр.</w:t>
            </w:r>
            <w:r w:rsidRPr="007A6CBE">
              <w:rPr>
                <w:rFonts w:ascii="Times New Roman" w:hAnsi="Times New Roman" w:cs="Times New Roman"/>
              </w:rPr>
              <w:t xml:space="preserve"> </w:t>
            </w:r>
            <w:r w:rsidRPr="007A6CBE">
              <w:rPr>
                <w:rFonts w:ascii="Times New Roman" w:hAnsi="Times New Roman" w:cs="Times New Roman"/>
                <w:b/>
                <w:bCs/>
                <w:sz w:val="24"/>
                <w:szCs w:val="24"/>
              </w:rPr>
              <w:fldChar w:fldCharType="begin"/>
            </w:r>
            <w:r w:rsidRPr="007A6CBE">
              <w:rPr>
                <w:rFonts w:ascii="Times New Roman" w:hAnsi="Times New Roman" w:cs="Times New Roman"/>
                <w:b/>
                <w:bCs/>
              </w:rPr>
              <w:instrText xml:space="preserve"> PAGE </w:instrText>
            </w:r>
            <w:r w:rsidRPr="007A6CBE">
              <w:rPr>
                <w:rFonts w:ascii="Times New Roman" w:hAnsi="Times New Roman" w:cs="Times New Roman"/>
                <w:b/>
                <w:bCs/>
                <w:sz w:val="24"/>
                <w:szCs w:val="24"/>
              </w:rPr>
              <w:fldChar w:fldCharType="separate"/>
            </w:r>
            <w:r w:rsidRPr="007A6CBE">
              <w:rPr>
                <w:rFonts w:ascii="Times New Roman" w:hAnsi="Times New Roman" w:cs="Times New Roman"/>
                <w:b/>
                <w:bCs/>
                <w:noProof/>
              </w:rPr>
              <w:t>2</w:t>
            </w:r>
            <w:r w:rsidRPr="007A6CBE">
              <w:rPr>
                <w:rFonts w:ascii="Times New Roman" w:hAnsi="Times New Roman" w:cs="Times New Roman"/>
                <w:b/>
                <w:bCs/>
                <w:sz w:val="24"/>
                <w:szCs w:val="24"/>
              </w:rPr>
              <w:fldChar w:fldCharType="end"/>
            </w:r>
            <w:r w:rsidRPr="007A6CBE">
              <w:rPr>
                <w:rFonts w:ascii="Times New Roman" w:hAnsi="Times New Roman" w:cs="Times New Roman"/>
              </w:rPr>
              <w:t xml:space="preserve"> </w:t>
            </w:r>
            <w:r w:rsidRPr="007A6CBE">
              <w:rPr>
                <w:rFonts w:ascii="Times New Roman" w:hAnsi="Times New Roman" w:cs="Times New Roman"/>
                <w:lang w:val="bg-BG"/>
              </w:rPr>
              <w:t>от</w:t>
            </w:r>
            <w:r w:rsidRPr="007A6CBE">
              <w:rPr>
                <w:rFonts w:ascii="Times New Roman" w:hAnsi="Times New Roman" w:cs="Times New Roman"/>
              </w:rPr>
              <w:t xml:space="preserve"> </w:t>
            </w:r>
            <w:r w:rsidRPr="007A6CBE">
              <w:rPr>
                <w:rFonts w:ascii="Times New Roman" w:hAnsi="Times New Roman" w:cs="Times New Roman"/>
                <w:b/>
                <w:bCs/>
                <w:sz w:val="24"/>
                <w:szCs w:val="24"/>
              </w:rPr>
              <w:fldChar w:fldCharType="begin"/>
            </w:r>
            <w:r w:rsidRPr="007A6CBE">
              <w:rPr>
                <w:rFonts w:ascii="Times New Roman" w:hAnsi="Times New Roman" w:cs="Times New Roman"/>
                <w:b/>
                <w:bCs/>
              </w:rPr>
              <w:instrText xml:space="preserve"> NUMPAGES  </w:instrText>
            </w:r>
            <w:r w:rsidRPr="007A6CBE">
              <w:rPr>
                <w:rFonts w:ascii="Times New Roman" w:hAnsi="Times New Roman" w:cs="Times New Roman"/>
                <w:b/>
                <w:bCs/>
                <w:sz w:val="24"/>
                <w:szCs w:val="24"/>
              </w:rPr>
              <w:fldChar w:fldCharType="separate"/>
            </w:r>
            <w:r w:rsidRPr="007A6CBE">
              <w:rPr>
                <w:rFonts w:ascii="Times New Roman" w:hAnsi="Times New Roman" w:cs="Times New Roman"/>
                <w:b/>
                <w:bCs/>
                <w:noProof/>
              </w:rPr>
              <w:t>2</w:t>
            </w:r>
            <w:r w:rsidRPr="007A6CBE">
              <w:rPr>
                <w:rFonts w:ascii="Times New Roman" w:hAnsi="Times New Roman" w:cs="Times New Roman"/>
                <w:b/>
                <w:bCs/>
                <w:sz w:val="24"/>
                <w:szCs w:val="24"/>
              </w:rPr>
              <w:fldChar w:fldCharType="end"/>
            </w:r>
          </w:p>
        </w:sdtContent>
      </w:sdt>
    </w:sdtContent>
  </w:sdt>
  <w:p w14:paraId="2423B97F" w14:textId="645D7A00" w:rsidR="00DD34DE" w:rsidRPr="00C67185" w:rsidRDefault="00DD34DE" w:rsidP="003D0921">
    <w:pPr>
      <w:pStyle w:val="Footer"/>
      <w:jc w:val="center"/>
      <w:rPr>
        <w:rFonts w:ascii="Verdana" w:hAnsi="Verdana" w:cs="Times New Roman"/>
        <w:color w:val="767171"/>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10B9" w14:textId="77777777" w:rsidR="00823E75" w:rsidRDefault="00823E75" w:rsidP="00445BD6">
      <w:pPr>
        <w:spacing w:after="0" w:line="240" w:lineRule="auto"/>
      </w:pPr>
      <w:r>
        <w:separator/>
      </w:r>
    </w:p>
    <w:p w14:paraId="11086320" w14:textId="77777777" w:rsidR="00823E75" w:rsidRDefault="00823E75"/>
  </w:footnote>
  <w:footnote w:type="continuationSeparator" w:id="0">
    <w:p w14:paraId="76C4972F" w14:textId="77777777" w:rsidR="00823E75" w:rsidRDefault="00823E75" w:rsidP="00445BD6">
      <w:pPr>
        <w:spacing w:after="0" w:line="240" w:lineRule="auto"/>
      </w:pPr>
      <w:r>
        <w:continuationSeparator/>
      </w:r>
    </w:p>
    <w:p w14:paraId="6EE8DB09" w14:textId="77777777" w:rsidR="00823E75" w:rsidRDefault="00823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3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6063"/>
      <w:gridCol w:w="2233"/>
    </w:tblGrid>
    <w:tr w:rsidR="006F5E17" w14:paraId="4E00C66E" w14:textId="5928808C" w:rsidTr="00A33984">
      <w:trPr>
        <w:trHeight w:val="1017"/>
      </w:trPr>
      <w:tc>
        <w:tcPr>
          <w:tcW w:w="2141" w:type="dxa"/>
        </w:tcPr>
        <w:p w14:paraId="472545BB" w14:textId="1FD30EA0" w:rsidR="00617579" w:rsidRDefault="006F5E17" w:rsidP="00FC526B">
          <w:pPr>
            <w:ind w:left="28"/>
            <w:jc w:val="center"/>
          </w:pPr>
          <w:r>
            <w:rPr>
              <w:noProof/>
            </w:rPr>
            <w:drawing>
              <wp:inline distT="0" distB="0" distL="0" distR="0" wp14:anchorId="6A5FBD8C" wp14:editId="45105AA4">
                <wp:extent cx="810260" cy="802256"/>
                <wp:effectExtent l="0" t="0" r="8890" b="0"/>
                <wp:docPr id="1633787097" name="Picture 163378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942" cy="829665"/>
                        </a:xfrm>
                        <a:prstGeom prst="rect">
                          <a:avLst/>
                        </a:prstGeom>
                        <a:noFill/>
                        <a:ln>
                          <a:noFill/>
                        </a:ln>
                      </pic:spPr>
                    </pic:pic>
                  </a:graphicData>
                </a:graphic>
              </wp:inline>
            </w:drawing>
          </w:r>
        </w:p>
        <w:p w14:paraId="7BF10141" w14:textId="359BF7AB" w:rsidR="00617579" w:rsidRDefault="00617579" w:rsidP="001A2245">
          <w:pPr>
            <w:tabs>
              <w:tab w:val="left" w:pos="3585"/>
            </w:tabs>
            <w:ind w:left="-971"/>
            <w:jc w:val="center"/>
          </w:pPr>
        </w:p>
      </w:tc>
      <w:tc>
        <w:tcPr>
          <w:tcW w:w="6063" w:type="dxa"/>
        </w:tcPr>
        <w:p w14:paraId="2B9C99CF" w14:textId="77777777" w:rsidR="00DA248C" w:rsidRPr="00C67185" w:rsidRDefault="00DA248C" w:rsidP="00617579">
          <w:pPr>
            <w:pStyle w:val="Header"/>
            <w:jc w:val="center"/>
            <w:rPr>
              <w:rFonts w:ascii="Arial Narrow" w:hAnsi="Arial Narrow" w:cs="Arial"/>
              <w:b/>
              <w:noProof/>
              <w:color w:val="767171"/>
              <w:spacing w:val="80"/>
              <w:lang w:eastAsia="bg-BG"/>
            </w:rPr>
          </w:pPr>
        </w:p>
        <w:p w14:paraId="0C1D7EDB" w14:textId="77777777" w:rsidR="008778E0" w:rsidRPr="00C67185" w:rsidRDefault="00617579" w:rsidP="008778E0">
          <w:pPr>
            <w:pStyle w:val="Header"/>
            <w:spacing w:line="276" w:lineRule="auto"/>
            <w:jc w:val="center"/>
            <w:rPr>
              <w:rFonts w:ascii="Arial" w:hAnsi="Arial" w:cs="Arial"/>
              <w:b/>
              <w:noProof/>
              <w:color w:val="767171"/>
              <w:spacing w:val="80"/>
              <w:lang w:eastAsia="bg-BG"/>
            </w:rPr>
          </w:pPr>
          <w:r w:rsidRPr="00C67185">
            <w:rPr>
              <w:rFonts w:ascii="Arial" w:hAnsi="Arial" w:cs="Arial"/>
              <w:b/>
              <w:noProof/>
              <w:color w:val="767171"/>
              <w:spacing w:val="80"/>
              <w:lang w:eastAsia="bg-BG"/>
            </w:rPr>
            <w:t>ПРОГРАМА</w:t>
          </w:r>
        </w:p>
        <w:p w14:paraId="67CA1126" w14:textId="317C6438" w:rsidR="00617579" w:rsidRPr="00C67185" w:rsidRDefault="00617579" w:rsidP="008778E0">
          <w:pPr>
            <w:pStyle w:val="Header"/>
            <w:spacing w:line="276" w:lineRule="auto"/>
            <w:jc w:val="center"/>
            <w:rPr>
              <w:rFonts w:ascii="Arial" w:hAnsi="Arial" w:cs="Arial"/>
              <w:b/>
              <w:noProof/>
              <w:color w:val="767171"/>
              <w:spacing w:val="80"/>
              <w:sz w:val="20"/>
              <w:szCs w:val="20"/>
              <w:lang w:eastAsia="bg-BG"/>
            </w:rPr>
          </w:pPr>
          <w:r w:rsidRPr="00C67185">
            <w:rPr>
              <w:rFonts w:ascii="Arial" w:hAnsi="Arial" w:cs="Arial"/>
              <w:b/>
              <w:noProof/>
              <w:color w:val="767171"/>
              <w:spacing w:val="80"/>
              <w:lang w:eastAsia="bg-BG"/>
            </w:rPr>
            <w:t>„ОКОЛНА СРЕДА</w:t>
          </w:r>
          <w:r w:rsidR="008778E0" w:rsidRPr="00C67185">
            <w:rPr>
              <w:rFonts w:ascii="Arial" w:hAnsi="Arial" w:cs="Arial"/>
              <w:b/>
              <w:noProof/>
              <w:color w:val="767171"/>
              <w:spacing w:val="80"/>
              <w:lang w:eastAsia="bg-BG"/>
            </w:rPr>
            <w:t xml:space="preserve">” </w:t>
          </w:r>
          <w:r w:rsidRPr="00C67185">
            <w:rPr>
              <w:rFonts w:ascii="Arial" w:hAnsi="Arial" w:cs="Arial"/>
              <w:b/>
              <w:noProof/>
              <w:color w:val="767171"/>
              <w:spacing w:val="80"/>
              <w:lang w:eastAsia="bg-BG"/>
            </w:rPr>
            <w:t>2021 – 20</w:t>
          </w:r>
          <w:r w:rsidRPr="00C67185">
            <w:rPr>
              <w:rFonts w:ascii="Arial" w:hAnsi="Arial" w:cs="Arial"/>
              <w:b/>
              <w:noProof/>
              <w:color w:val="767171"/>
              <w:spacing w:val="80"/>
              <w:lang w:val="ru-RU" w:eastAsia="bg-BG"/>
            </w:rPr>
            <w:t>2</w:t>
          </w:r>
          <w:r w:rsidRPr="00C67185">
            <w:rPr>
              <w:rFonts w:ascii="Arial" w:hAnsi="Arial" w:cs="Arial"/>
              <w:b/>
              <w:noProof/>
              <w:color w:val="767171"/>
              <w:spacing w:val="80"/>
              <w:lang w:eastAsia="bg-BG"/>
            </w:rPr>
            <w:t>7 г.</w:t>
          </w:r>
        </w:p>
      </w:tc>
      <w:tc>
        <w:tcPr>
          <w:tcW w:w="2233" w:type="dxa"/>
        </w:tcPr>
        <w:p w14:paraId="01D857C6" w14:textId="6282E730" w:rsidR="00617579" w:rsidRDefault="00A33984" w:rsidP="00A33984">
          <w:pPr>
            <w:ind w:left="183"/>
            <w:jc w:val="center"/>
          </w:pPr>
          <w:r>
            <w:rPr>
              <w:noProof/>
            </w:rPr>
            <w:drawing>
              <wp:inline distT="0" distB="0" distL="0" distR="0" wp14:anchorId="52EBFAFF" wp14:editId="582C8FE5">
                <wp:extent cx="940279" cy="732712"/>
                <wp:effectExtent l="0" t="0" r="0" b="0"/>
                <wp:docPr id="1871161592" name="Picture 187116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957" cy="789346"/>
                        </a:xfrm>
                        <a:prstGeom prst="rect">
                          <a:avLst/>
                        </a:prstGeom>
                        <a:noFill/>
                        <a:ln>
                          <a:noFill/>
                        </a:ln>
                      </pic:spPr>
                    </pic:pic>
                  </a:graphicData>
                </a:graphic>
              </wp:inline>
            </w:drawing>
          </w:r>
        </w:p>
      </w:tc>
    </w:tr>
  </w:tbl>
  <w:p w14:paraId="0C20F261" w14:textId="65E7B0B6" w:rsidR="00445BD6" w:rsidRPr="00E94C54" w:rsidRDefault="00FC526B" w:rsidP="00E94C54">
    <w:pPr>
      <w:pStyle w:val="Header"/>
      <w:rPr>
        <w:color w:val="767171"/>
        <w:sz w:val="20"/>
        <w:szCs w:val="20"/>
      </w:rPr>
    </w:pPr>
    <w:r w:rsidRPr="00C67185">
      <w:rPr>
        <w:rFonts w:ascii="Times New Roman" w:hAnsi="Times New Roman" w:cs="Times New Roman"/>
        <w:noProof/>
        <w:color w:val="767171"/>
        <w:sz w:val="20"/>
        <w:szCs w:val="20"/>
        <w:lang w:val="bg-BG"/>
      </w:rPr>
      <mc:AlternateContent>
        <mc:Choice Requires="wps">
          <w:drawing>
            <wp:anchor distT="0" distB="0" distL="114300" distR="114300" simplePos="0" relativeHeight="251661312" behindDoc="0" locked="0" layoutInCell="1" allowOverlap="1" wp14:anchorId="4407D5F4" wp14:editId="040B9060">
              <wp:simplePos x="0" y="0"/>
              <wp:positionH relativeFrom="column">
                <wp:posOffset>-500380</wp:posOffset>
              </wp:positionH>
              <wp:positionV relativeFrom="paragraph">
                <wp:posOffset>37939</wp:posOffset>
              </wp:positionV>
              <wp:extent cx="71342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13422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57045AF"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pt,3pt" to="522.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" strokecolor="#aeaaaa [2414]" strokeweight=".5pt">
              <v:stroke joinstyle="miter"/>
            </v:line>
          </w:pict>
        </mc:Fallback>
      </mc:AlternateContent>
    </w:r>
  </w:p>
  <w:p w14:paraId="6D62F09A" w14:textId="77777777" w:rsidR="00B0705D" w:rsidRDefault="00B070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324C07A4"/>
    <w:lvl w:ilvl="0" w:tplc="6F847C2A">
      <w:start w:val="1"/>
      <w:numFmt w:val="decimal"/>
      <w:lvlText w:val="%1."/>
      <w:lvlJc w:val="left"/>
      <w:pPr>
        <w:ind w:left="1287" w:hanging="360"/>
      </w:pPr>
      <w:rPr>
        <w:rFonts w:hint="default"/>
        <w:sz w:val="24"/>
        <w:u w:color="244061"/>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 w15:restartNumberingAfterBreak="0">
    <w:nsid w:val="06784810"/>
    <w:multiLevelType w:val="hybridMultilevel"/>
    <w:tmpl w:val="97761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C5C9B"/>
    <w:multiLevelType w:val="hybridMultilevel"/>
    <w:tmpl w:val="C97C53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3350CBD"/>
    <w:multiLevelType w:val="hybridMultilevel"/>
    <w:tmpl w:val="97761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4B4580"/>
    <w:multiLevelType w:val="hybridMultilevel"/>
    <w:tmpl w:val="97761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C16A7E"/>
    <w:multiLevelType w:val="hybridMultilevel"/>
    <w:tmpl w:val="977613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284EA3"/>
    <w:multiLevelType w:val="hybridMultilevel"/>
    <w:tmpl w:val="9F2CEEFC"/>
    <w:lvl w:ilvl="0" w:tplc="AF6A06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95202"/>
    <w:multiLevelType w:val="hybridMultilevel"/>
    <w:tmpl w:val="87C4CD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181D3A"/>
    <w:multiLevelType w:val="hybridMultilevel"/>
    <w:tmpl w:val="46A462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B5D54A0"/>
    <w:multiLevelType w:val="hybridMultilevel"/>
    <w:tmpl w:val="82B4C99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F4C3C40"/>
    <w:multiLevelType w:val="hybridMultilevel"/>
    <w:tmpl w:val="6B82F73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35692B59"/>
    <w:multiLevelType w:val="hybridMultilevel"/>
    <w:tmpl w:val="35DC8C84"/>
    <w:lvl w:ilvl="0" w:tplc="AF6A0622">
      <w:numFmt w:val="bullet"/>
      <w:lvlText w:val="-"/>
      <w:lvlJc w:val="left"/>
      <w:pPr>
        <w:ind w:left="1068" w:hanging="360"/>
      </w:pPr>
      <w:rPr>
        <w:rFonts w:ascii="Calibri" w:eastAsiaTheme="minorHAns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368B443D"/>
    <w:multiLevelType w:val="hybridMultilevel"/>
    <w:tmpl w:val="4AF04D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C2A499D"/>
    <w:multiLevelType w:val="hybridMultilevel"/>
    <w:tmpl w:val="BEF2F7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FFD0149"/>
    <w:multiLevelType w:val="hybridMultilevel"/>
    <w:tmpl w:val="106A3858"/>
    <w:lvl w:ilvl="0" w:tplc="E0187244">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5" w15:restartNumberingAfterBreak="0">
    <w:nsid w:val="40D74454"/>
    <w:multiLevelType w:val="hybridMultilevel"/>
    <w:tmpl w:val="591E604C"/>
    <w:lvl w:ilvl="0" w:tplc="6D1E977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41E6698"/>
    <w:multiLevelType w:val="hybridMultilevel"/>
    <w:tmpl w:val="E9E21F4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49A91B09"/>
    <w:multiLevelType w:val="hybridMultilevel"/>
    <w:tmpl w:val="D37CB8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A0A3721"/>
    <w:multiLevelType w:val="hybridMultilevel"/>
    <w:tmpl w:val="5A084002"/>
    <w:lvl w:ilvl="0" w:tplc="E76A5C80">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D4F19DB"/>
    <w:multiLevelType w:val="hybridMultilevel"/>
    <w:tmpl w:val="3DA670F4"/>
    <w:lvl w:ilvl="0" w:tplc="E76A5C80">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1087991"/>
    <w:multiLevelType w:val="hybridMultilevel"/>
    <w:tmpl w:val="E2BE58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22D4107"/>
    <w:multiLevelType w:val="multilevel"/>
    <w:tmpl w:val="C50C03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EE243F"/>
    <w:multiLevelType w:val="hybridMultilevel"/>
    <w:tmpl w:val="7506D3CE"/>
    <w:lvl w:ilvl="0" w:tplc="6D1E977E">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544F1D0B"/>
    <w:multiLevelType w:val="hybridMultilevel"/>
    <w:tmpl w:val="E58EFA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5DF25C8"/>
    <w:multiLevelType w:val="hybridMultilevel"/>
    <w:tmpl w:val="BC8A878E"/>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5" w15:restartNumberingAfterBreak="0">
    <w:nsid w:val="612466F7"/>
    <w:multiLevelType w:val="hybridMultilevel"/>
    <w:tmpl w:val="DE34F8F2"/>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685E20FB"/>
    <w:multiLevelType w:val="hybridMultilevel"/>
    <w:tmpl w:val="F32C7AC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3B77B60"/>
    <w:multiLevelType w:val="hybridMultilevel"/>
    <w:tmpl w:val="9738D718"/>
    <w:lvl w:ilvl="0" w:tplc="E578D5E0">
      <w:start w:val="1"/>
      <w:numFmt w:val="upperRoman"/>
      <w:lvlText w:val="%1."/>
      <w:lvlJc w:val="left"/>
      <w:pPr>
        <w:ind w:left="1287" w:hanging="72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5D94FC8"/>
    <w:multiLevelType w:val="hybridMultilevel"/>
    <w:tmpl w:val="CC602EEE"/>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9" w15:restartNumberingAfterBreak="0">
    <w:nsid w:val="7DE473DD"/>
    <w:multiLevelType w:val="hybridMultilevel"/>
    <w:tmpl w:val="83387C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005941388">
    <w:abstractNumId w:val="6"/>
  </w:num>
  <w:num w:numId="2" w16cid:durableId="604314142">
    <w:abstractNumId w:val="27"/>
  </w:num>
  <w:num w:numId="3" w16cid:durableId="645671957">
    <w:abstractNumId w:val="14"/>
  </w:num>
  <w:num w:numId="4" w16cid:durableId="2005349921">
    <w:abstractNumId w:val="7"/>
  </w:num>
  <w:num w:numId="5" w16cid:durableId="46034245">
    <w:abstractNumId w:val="13"/>
  </w:num>
  <w:num w:numId="6" w16cid:durableId="1918242184">
    <w:abstractNumId w:val="18"/>
  </w:num>
  <w:num w:numId="7" w16cid:durableId="2032760287">
    <w:abstractNumId w:val="15"/>
  </w:num>
  <w:num w:numId="8" w16cid:durableId="1192231193">
    <w:abstractNumId w:val="22"/>
  </w:num>
  <w:num w:numId="9" w16cid:durableId="1798985889">
    <w:abstractNumId w:val="25"/>
  </w:num>
  <w:num w:numId="10" w16cid:durableId="229922362">
    <w:abstractNumId w:val="8"/>
  </w:num>
  <w:num w:numId="11" w16cid:durableId="361520452">
    <w:abstractNumId w:val="24"/>
  </w:num>
  <w:num w:numId="12" w16cid:durableId="1830245513">
    <w:abstractNumId w:val="19"/>
  </w:num>
  <w:num w:numId="13" w16cid:durableId="846479993">
    <w:abstractNumId w:val="0"/>
  </w:num>
  <w:num w:numId="14" w16cid:durableId="2071073784">
    <w:abstractNumId w:val="5"/>
  </w:num>
  <w:num w:numId="15" w16cid:durableId="1239439370">
    <w:abstractNumId w:val="1"/>
  </w:num>
  <w:num w:numId="16" w16cid:durableId="202210220">
    <w:abstractNumId w:val="17"/>
  </w:num>
  <w:num w:numId="17" w16cid:durableId="846214288">
    <w:abstractNumId w:val="9"/>
  </w:num>
  <w:num w:numId="18" w16cid:durableId="1968394265">
    <w:abstractNumId w:val="4"/>
  </w:num>
  <w:num w:numId="19" w16cid:durableId="1678340719">
    <w:abstractNumId w:val="3"/>
  </w:num>
  <w:num w:numId="20" w16cid:durableId="2055343871">
    <w:abstractNumId w:val="29"/>
  </w:num>
  <w:num w:numId="21" w16cid:durableId="1404596961">
    <w:abstractNumId w:val="26"/>
  </w:num>
  <w:num w:numId="22" w16cid:durableId="692534650">
    <w:abstractNumId w:val="21"/>
  </w:num>
  <w:num w:numId="23" w16cid:durableId="287053192">
    <w:abstractNumId w:val="12"/>
  </w:num>
  <w:num w:numId="24" w16cid:durableId="362905409">
    <w:abstractNumId w:val="17"/>
  </w:num>
  <w:num w:numId="25" w16cid:durableId="1090005446">
    <w:abstractNumId w:val="9"/>
  </w:num>
  <w:num w:numId="26" w16cid:durableId="855074029">
    <w:abstractNumId w:val="10"/>
  </w:num>
  <w:num w:numId="27" w16cid:durableId="763723502">
    <w:abstractNumId w:val="20"/>
  </w:num>
  <w:num w:numId="28" w16cid:durableId="1147674301">
    <w:abstractNumId w:val="2"/>
  </w:num>
  <w:num w:numId="29" w16cid:durableId="370226729">
    <w:abstractNumId w:val="28"/>
  </w:num>
  <w:num w:numId="30" w16cid:durableId="678194724">
    <w:abstractNumId w:val="11"/>
  </w:num>
  <w:num w:numId="31" w16cid:durableId="750663044">
    <w:abstractNumId w:val="23"/>
  </w:num>
  <w:num w:numId="32" w16cid:durableId="6472503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D6"/>
    <w:rsid w:val="000002DE"/>
    <w:rsid w:val="00001192"/>
    <w:rsid w:val="00003059"/>
    <w:rsid w:val="00004219"/>
    <w:rsid w:val="00005556"/>
    <w:rsid w:val="00010460"/>
    <w:rsid w:val="00014FEA"/>
    <w:rsid w:val="00030DF7"/>
    <w:rsid w:val="00033107"/>
    <w:rsid w:val="00037E19"/>
    <w:rsid w:val="0004087F"/>
    <w:rsid w:val="0004137B"/>
    <w:rsid w:val="00043873"/>
    <w:rsid w:val="00043F57"/>
    <w:rsid w:val="00056503"/>
    <w:rsid w:val="00057641"/>
    <w:rsid w:val="00057887"/>
    <w:rsid w:val="00061274"/>
    <w:rsid w:val="00066A7C"/>
    <w:rsid w:val="000703D3"/>
    <w:rsid w:val="00071331"/>
    <w:rsid w:val="00073582"/>
    <w:rsid w:val="00073D0B"/>
    <w:rsid w:val="000742B8"/>
    <w:rsid w:val="000754CB"/>
    <w:rsid w:val="000823BE"/>
    <w:rsid w:val="000839B1"/>
    <w:rsid w:val="00086818"/>
    <w:rsid w:val="00086978"/>
    <w:rsid w:val="00092D66"/>
    <w:rsid w:val="000952F8"/>
    <w:rsid w:val="00097BE1"/>
    <w:rsid w:val="000A0B8B"/>
    <w:rsid w:val="000A40FD"/>
    <w:rsid w:val="000A5AF8"/>
    <w:rsid w:val="000B2225"/>
    <w:rsid w:val="000B58F0"/>
    <w:rsid w:val="000C0D68"/>
    <w:rsid w:val="000C2DB9"/>
    <w:rsid w:val="000C4B66"/>
    <w:rsid w:val="000C59EF"/>
    <w:rsid w:val="000D1F0E"/>
    <w:rsid w:val="000D3E78"/>
    <w:rsid w:val="000D49C7"/>
    <w:rsid w:val="000D4D3D"/>
    <w:rsid w:val="000E297C"/>
    <w:rsid w:val="000E3C19"/>
    <w:rsid w:val="000E4221"/>
    <w:rsid w:val="000E4F65"/>
    <w:rsid w:val="000E563B"/>
    <w:rsid w:val="000F146C"/>
    <w:rsid w:val="000F2E15"/>
    <w:rsid w:val="00103195"/>
    <w:rsid w:val="00104F66"/>
    <w:rsid w:val="001061BF"/>
    <w:rsid w:val="00111BA9"/>
    <w:rsid w:val="00112874"/>
    <w:rsid w:val="00112AC0"/>
    <w:rsid w:val="001173AE"/>
    <w:rsid w:val="001230C7"/>
    <w:rsid w:val="0012507E"/>
    <w:rsid w:val="00134E81"/>
    <w:rsid w:val="00147D8B"/>
    <w:rsid w:val="001533D9"/>
    <w:rsid w:val="00153BB3"/>
    <w:rsid w:val="001542D9"/>
    <w:rsid w:val="00154751"/>
    <w:rsid w:val="001608D0"/>
    <w:rsid w:val="0016473C"/>
    <w:rsid w:val="001670B6"/>
    <w:rsid w:val="001750F8"/>
    <w:rsid w:val="00180991"/>
    <w:rsid w:val="0019291B"/>
    <w:rsid w:val="00192EA5"/>
    <w:rsid w:val="00194398"/>
    <w:rsid w:val="00195A5A"/>
    <w:rsid w:val="001A2245"/>
    <w:rsid w:val="001A5619"/>
    <w:rsid w:val="001A7B7D"/>
    <w:rsid w:val="001B1C1E"/>
    <w:rsid w:val="001B3F84"/>
    <w:rsid w:val="001C2822"/>
    <w:rsid w:val="001C4309"/>
    <w:rsid w:val="001D11BF"/>
    <w:rsid w:val="001E28D3"/>
    <w:rsid w:val="001E3D9D"/>
    <w:rsid w:val="001E76FE"/>
    <w:rsid w:val="001F0261"/>
    <w:rsid w:val="001F18C9"/>
    <w:rsid w:val="001F604E"/>
    <w:rsid w:val="001F6C56"/>
    <w:rsid w:val="001F7098"/>
    <w:rsid w:val="00202F4B"/>
    <w:rsid w:val="00210595"/>
    <w:rsid w:val="0021604B"/>
    <w:rsid w:val="00216090"/>
    <w:rsid w:val="00216DC5"/>
    <w:rsid w:val="00223335"/>
    <w:rsid w:val="00223FB4"/>
    <w:rsid w:val="002245E6"/>
    <w:rsid w:val="002274F6"/>
    <w:rsid w:val="00231479"/>
    <w:rsid w:val="0023714B"/>
    <w:rsid w:val="002379EF"/>
    <w:rsid w:val="00242982"/>
    <w:rsid w:val="002431EC"/>
    <w:rsid w:val="0024388D"/>
    <w:rsid w:val="002502B6"/>
    <w:rsid w:val="00251396"/>
    <w:rsid w:val="002521D6"/>
    <w:rsid w:val="00257A28"/>
    <w:rsid w:val="0026002B"/>
    <w:rsid w:val="00260FEB"/>
    <w:rsid w:val="00263426"/>
    <w:rsid w:val="002673E0"/>
    <w:rsid w:val="002769B4"/>
    <w:rsid w:val="00277855"/>
    <w:rsid w:val="002827EF"/>
    <w:rsid w:val="00285ACE"/>
    <w:rsid w:val="0029620C"/>
    <w:rsid w:val="00297156"/>
    <w:rsid w:val="00297875"/>
    <w:rsid w:val="002A2129"/>
    <w:rsid w:val="002A54E2"/>
    <w:rsid w:val="002A6F86"/>
    <w:rsid w:val="002B0029"/>
    <w:rsid w:val="002B0A18"/>
    <w:rsid w:val="002B0DC3"/>
    <w:rsid w:val="002B2EBF"/>
    <w:rsid w:val="002D01BB"/>
    <w:rsid w:val="002D0FDD"/>
    <w:rsid w:val="002D3C4C"/>
    <w:rsid w:val="002E2E19"/>
    <w:rsid w:val="002E4353"/>
    <w:rsid w:val="002F3CB3"/>
    <w:rsid w:val="002F46B3"/>
    <w:rsid w:val="002F5107"/>
    <w:rsid w:val="0030305D"/>
    <w:rsid w:val="0031081D"/>
    <w:rsid w:val="00316A33"/>
    <w:rsid w:val="00320310"/>
    <w:rsid w:val="00323259"/>
    <w:rsid w:val="00325184"/>
    <w:rsid w:val="0032724E"/>
    <w:rsid w:val="0032789B"/>
    <w:rsid w:val="00332EAD"/>
    <w:rsid w:val="00336841"/>
    <w:rsid w:val="00337BA1"/>
    <w:rsid w:val="003402F4"/>
    <w:rsid w:val="00341AED"/>
    <w:rsid w:val="00342191"/>
    <w:rsid w:val="00347491"/>
    <w:rsid w:val="0035388C"/>
    <w:rsid w:val="003558CD"/>
    <w:rsid w:val="003603FE"/>
    <w:rsid w:val="00365D93"/>
    <w:rsid w:val="00372B66"/>
    <w:rsid w:val="00376B14"/>
    <w:rsid w:val="003812CD"/>
    <w:rsid w:val="00381634"/>
    <w:rsid w:val="0038498D"/>
    <w:rsid w:val="003849B4"/>
    <w:rsid w:val="00384DDD"/>
    <w:rsid w:val="00393D3B"/>
    <w:rsid w:val="003978D6"/>
    <w:rsid w:val="003A07FA"/>
    <w:rsid w:val="003A7057"/>
    <w:rsid w:val="003A7162"/>
    <w:rsid w:val="003A7949"/>
    <w:rsid w:val="003A7AC3"/>
    <w:rsid w:val="003B1C25"/>
    <w:rsid w:val="003B4143"/>
    <w:rsid w:val="003B5BDF"/>
    <w:rsid w:val="003C1371"/>
    <w:rsid w:val="003C4CAD"/>
    <w:rsid w:val="003C5BA9"/>
    <w:rsid w:val="003C61AF"/>
    <w:rsid w:val="003C68B7"/>
    <w:rsid w:val="003C76E1"/>
    <w:rsid w:val="003D0921"/>
    <w:rsid w:val="003D09FB"/>
    <w:rsid w:val="003D6FA5"/>
    <w:rsid w:val="003E3410"/>
    <w:rsid w:val="003F2C3B"/>
    <w:rsid w:val="004055C3"/>
    <w:rsid w:val="00411728"/>
    <w:rsid w:val="00416FEE"/>
    <w:rsid w:val="00424D83"/>
    <w:rsid w:val="00425A64"/>
    <w:rsid w:val="00430258"/>
    <w:rsid w:val="004306C6"/>
    <w:rsid w:val="00431670"/>
    <w:rsid w:val="00435274"/>
    <w:rsid w:val="00445BD6"/>
    <w:rsid w:val="00446FB1"/>
    <w:rsid w:val="0045417A"/>
    <w:rsid w:val="004543BC"/>
    <w:rsid w:val="0045586C"/>
    <w:rsid w:val="0046166E"/>
    <w:rsid w:val="00461E61"/>
    <w:rsid w:val="00462E8C"/>
    <w:rsid w:val="004660A0"/>
    <w:rsid w:val="00471AE7"/>
    <w:rsid w:val="004740B7"/>
    <w:rsid w:val="00474721"/>
    <w:rsid w:val="00477602"/>
    <w:rsid w:val="00481EFE"/>
    <w:rsid w:val="00485A43"/>
    <w:rsid w:val="00486A57"/>
    <w:rsid w:val="00486B67"/>
    <w:rsid w:val="00486D0F"/>
    <w:rsid w:val="00486E29"/>
    <w:rsid w:val="00491FC2"/>
    <w:rsid w:val="00492C27"/>
    <w:rsid w:val="00494DEE"/>
    <w:rsid w:val="00495860"/>
    <w:rsid w:val="004A0563"/>
    <w:rsid w:val="004A069C"/>
    <w:rsid w:val="004A34A4"/>
    <w:rsid w:val="004A3603"/>
    <w:rsid w:val="004A388E"/>
    <w:rsid w:val="004A4E3A"/>
    <w:rsid w:val="004B097C"/>
    <w:rsid w:val="004B3D6F"/>
    <w:rsid w:val="004B577A"/>
    <w:rsid w:val="004C043C"/>
    <w:rsid w:val="004D1CDB"/>
    <w:rsid w:val="004D1E68"/>
    <w:rsid w:val="004D2845"/>
    <w:rsid w:val="004D62C3"/>
    <w:rsid w:val="004E0C10"/>
    <w:rsid w:val="004E16B1"/>
    <w:rsid w:val="004E1904"/>
    <w:rsid w:val="004E5F53"/>
    <w:rsid w:val="004E6622"/>
    <w:rsid w:val="004F2DAD"/>
    <w:rsid w:val="004F5A7D"/>
    <w:rsid w:val="004F5ED2"/>
    <w:rsid w:val="004F7E09"/>
    <w:rsid w:val="00500B63"/>
    <w:rsid w:val="00512AD1"/>
    <w:rsid w:val="00512D82"/>
    <w:rsid w:val="00513925"/>
    <w:rsid w:val="00524A15"/>
    <w:rsid w:val="00524A45"/>
    <w:rsid w:val="00526BD5"/>
    <w:rsid w:val="0053029C"/>
    <w:rsid w:val="00533857"/>
    <w:rsid w:val="00533A77"/>
    <w:rsid w:val="00534092"/>
    <w:rsid w:val="005363AF"/>
    <w:rsid w:val="005418CD"/>
    <w:rsid w:val="00544B47"/>
    <w:rsid w:val="0054515D"/>
    <w:rsid w:val="00545C15"/>
    <w:rsid w:val="00547431"/>
    <w:rsid w:val="005525C7"/>
    <w:rsid w:val="00553FF8"/>
    <w:rsid w:val="00555702"/>
    <w:rsid w:val="00557BA9"/>
    <w:rsid w:val="00560462"/>
    <w:rsid w:val="0056142A"/>
    <w:rsid w:val="0056316C"/>
    <w:rsid w:val="005752E8"/>
    <w:rsid w:val="005808B2"/>
    <w:rsid w:val="00580954"/>
    <w:rsid w:val="00581EB1"/>
    <w:rsid w:val="0058423C"/>
    <w:rsid w:val="0058456F"/>
    <w:rsid w:val="00584592"/>
    <w:rsid w:val="005869BD"/>
    <w:rsid w:val="0059373D"/>
    <w:rsid w:val="0059452A"/>
    <w:rsid w:val="005960F0"/>
    <w:rsid w:val="005A590C"/>
    <w:rsid w:val="005A7041"/>
    <w:rsid w:val="005A774C"/>
    <w:rsid w:val="005A7A21"/>
    <w:rsid w:val="005C54FE"/>
    <w:rsid w:val="005C6136"/>
    <w:rsid w:val="005D02BB"/>
    <w:rsid w:val="005D3318"/>
    <w:rsid w:val="005D36F3"/>
    <w:rsid w:val="005E2036"/>
    <w:rsid w:val="005E34C2"/>
    <w:rsid w:val="005E64F6"/>
    <w:rsid w:val="005E7A0E"/>
    <w:rsid w:val="00602C6B"/>
    <w:rsid w:val="006041C9"/>
    <w:rsid w:val="006042BF"/>
    <w:rsid w:val="00610B14"/>
    <w:rsid w:val="0061305B"/>
    <w:rsid w:val="00613263"/>
    <w:rsid w:val="00613F61"/>
    <w:rsid w:val="00614543"/>
    <w:rsid w:val="0061716F"/>
    <w:rsid w:val="00617579"/>
    <w:rsid w:val="006256B3"/>
    <w:rsid w:val="006259CA"/>
    <w:rsid w:val="00627BCD"/>
    <w:rsid w:val="00627F1C"/>
    <w:rsid w:val="0063304F"/>
    <w:rsid w:val="00633871"/>
    <w:rsid w:val="00636FA7"/>
    <w:rsid w:val="0064111D"/>
    <w:rsid w:val="00645340"/>
    <w:rsid w:val="006454C1"/>
    <w:rsid w:val="006476FB"/>
    <w:rsid w:val="00652E46"/>
    <w:rsid w:val="00653188"/>
    <w:rsid w:val="006541BA"/>
    <w:rsid w:val="006553F1"/>
    <w:rsid w:val="00656691"/>
    <w:rsid w:val="00662330"/>
    <w:rsid w:val="00662696"/>
    <w:rsid w:val="00671BF3"/>
    <w:rsid w:val="00684390"/>
    <w:rsid w:val="00686007"/>
    <w:rsid w:val="00696FB6"/>
    <w:rsid w:val="006A17DD"/>
    <w:rsid w:val="006A2CB6"/>
    <w:rsid w:val="006A4248"/>
    <w:rsid w:val="006B0229"/>
    <w:rsid w:val="006B45F0"/>
    <w:rsid w:val="006C49A5"/>
    <w:rsid w:val="006C5FDB"/>
    <w:rsid w:val="006D0CC9"/>
    <w:rsid w:val="006D4B02"/>
    <w:rsid w:val="006D6464"/>
    <w:rsid w:val="006D677E"/>
    <w:rsid w:val="006D7D60"/>
    <w:rsid w:val="006F1238"/>
    <w:rsid w:val="006F5E17"/>
    <w:rsid w:val="0070029B"/>
    <w:rsid w:val="00700301"/>
    <w:rsid w:val="00706C59"/>
    <w:rsid w:val="00711F1F"/>
    <w:rsid w:val="00713E4E"/>
    <w:rsid w:val="00717EF9"/>
    <w:rsid w:val="00721BCA"/>
    <w:rsid w:val="00733ABD"/>
    <w:rsid w:val="007345FE"/>
    <w:rsid w:val="00743065"/>
    <w:rsid w:val="00743E3C"/>
    <w:rsid w:val="00745BA0"/>
    <w:rsid w:val="007534BE"/>
    <w:rsid w:val="0076081C"/>
    <w:rsid w:val="00761CA4"/>
    <w:rsid w:val="007620A6"/>
    <w:rsid w:val="00763248"/>
    <w:rsid w:val="007633CB"/>
    <w:rsid w:val="00764DF9"/>
    <w:rsid w:val="0076669E"/>
    <w:rsid w:val="00766F63"/>
    <w:rsid w:val="0077037B"/>
    <w:rsid w:val="007713BE"/>
    <w:rsid w:val="007867C5"/>
    <w:rsid w:val="00792EA4"/>
    <w:rsid w:val="007A392F"/>
    <w:rsid w:val="007A4487"/>
    <w:rsid w:val="007A6AB7"/>
    <w:rsid w:val="007A6CBE"/>
    <w:rsid w:val="007B363A"/>
    <w:rsid w:val="007B55EB"/>
    <w:rsid w:val="007B5B0D"/>
    <w:rsid w:val="007C0FAF"/>
    <w:rsid w:val="007C3627"/>
    <w:rsid w:val="007C3B2C"/>
    <w:rsid w:val="007C4696"/>
    <w:rsid w:val="007D1212"/>
    <w:rsid w:val="007E413D"/>
    <w:rsid w:val="007F0B3D"/>
    <w:rsid w:val="007F460A"/>
    <w:rsid w:val="00803C2A"/>
    <w:rsid w:val="00804A8D"/>
    <w:rsid w:val="00810F43"/>
    <w:rsid w:val="00814C2D"/>
    <w:rsid w:val="00821F25"/>
    <w:rsid w:val="00822851"/>
    <w:rsid w:val="008228B3"/>
    <w:rsid w:val="008229B7"/>
    <w:rsid w:val="00823E75"/>
    <w:rsid w:val="00825395"/>
    <w:rsid w:val="00833539"/>
    <w:rsid w:val="008350A5"/>
    <w:rsid w:val="008404D5"/>
    <w:rsid w:val="00843D61"/>
    <w:rsid w:val="008440FA"/>
    <w:rsid w:val="00844440"/>
    <w:rsid w:val="008452D9"/>
    <w:rsid w:val="00845F42"/>
    <w:rsid w:val="00846710"/>
    <w:rsid w:val="008541DD"/>
    <w:rsid w:val="0086205B"/>
    <w:rsid w:val="00862338"/>
    <w:rsid w:val="0087209C"/>
    <w:rsid w:val="0087248D"/>
    <w:rsid w:val="00874B79"/>
    <w:rsid w:val="00876279"/>
    <w:rsid w:val="008778E0"/>
    <w:rsid w:val="00884196"/>
    <w:rsid w:val="008908E7"/>
    <w:rsid w:val="00895ED8"/>
    <w:rsid w:val="00897F79"/>
    <w:rsid w:val="008A0428"/>
    <w:rsid w:val="008B33EF"/>
    <w:rsid w:val="008B5B1B"/>
    <w:rsid w:val="008C091B"/>
    <w:rsid w:val="008C16A6"/>
    <w:rsid w:val="008C5BE8"/>
    <w:rsid w:val="008C7A8B"/>
    <w:rsid w:val="008E149C"/>
    <w:rsid w:val="008E1F94"/>
    <w:rsid w:val="008E722F"/>
    <w:rsid w:val="008F77AA"/>
    <w:rsid w:val="0090131B"/>
    <w:rsid w:val="00902C93"/>
    <w:rsid w:val="0090534B"/>
    <w:rsid w:val="009114AF"/>
    <w:rsid w:val="00921A09"/>
    <w:rsid w:val="009246A2"/>
    <w:rsid w:val="00925F22"/>
    <w:rsid w:val="00927A40"/>
    <w:rsid w:val="00930035"/>
    <w:rsid w:val="00932C87"/>
    <w:rsid w:val="009369C8"/>
    <w:rsid w:val="00943A93"/>
    <w:rsid w:val="00952297"/>
    <w:rsid w:val="009533F0"/>
    <w:rsid w:val="009536A7"/>
    <w:rsid w:val="0096469D"/>
    <w:rsid w:val="0098037D"/>
    <w:rsid w:val="00981F08"/>
    <w:rsid w:val="00990094"/>
    <w:rsid w:val="00994FF0"/>
    <w:rsid w:val="009978A4"/>
    <w:rsid w:val="009A1BE9"/>
    <w:rsid w:val="009A3029"/>
    <w:rsid w:val="009A5A00"/>
    <w:rsid w:val="009A7C2B"/>
    <w:rsid w:val="009A7C9B"/>
    <w:rsid w:val="009B0083"/>
    <w:rsid w:val="009B208C"/>
    <w:rsid w:val="009C0D57"/>
    <w:rsid w:val="009C149B"/>
    <w:rsid w:val="009C52BD"/>
    <w:rsid w:val="009D1828"/>
    <w:rsid w:val="009D5AA6"/>
    <w:rsid w:val="009D6236"/>
    <w:rsid w:val="009E2DD6"/>
    <w:rsid w:val="009E4475"/>
    <w:rsid w:val="009E5FCB"/>
    <w:rsid w:val="009F02AD"/>
    <w:rsid w:val="009F1083"/>
    <w:rsid w:val="009F2A5A"/>
    <w:rsid w:val="009F73DA"/>
    <w:rsid w:val="00A056ED"/>
    <w:rsid w:val="00A06F96"/>
    <w:rsid w:val="00A10970"/>
    <w:rsid w:val="00A16A4E"/>
    <w:rsid w:val="00A17DFD"/>
    <w:rsid w:val="00A25772"/>
    <w:rsid w:val="00A25B9F"/>
    <w:rsid w:val="00A33984"/>
    <w:rsid w:val="00A3453E"/>
    <w:rsid w:val="00A377C0"/>
    <w:rsid w:val="00A4451D"/>
    <w:rsid w:val="00A466AD"/>
    <w:rsid w:val="00A5403F"/>
    <w:rsid w:val="00A56585"/>
    <w:rsid w:val="00A63631"/>
    <w:rsid w:val="00A63652"/>
    <w:rsid w:val="00A72433"/>
    <w:rsid w:val="00A72855"/>
    <w:rsid w:val="00A773D2"/>
    <w:rsid w:val="00A80E05"/>
    <w:rsid w:val="00A815AC"/>
    <w:rsid w:val="00A83794"/>
    <w:rsid w:val="00A84717"/>
    <w:rsid w:val="00A87379"/>
    <w:rsid w:val="00A911A7"/>
    <w:rsid w:val="00A935B7"/>
    <w:rsid w:val="00A93DDA"/>
    <w:rsid w:val="00AA1FC1"/>
    <w:rsid w:val="00AA6E4E"/>
    <w:rsid w:val="00AB21BC"/>
    <w:rsid w:val="00AB3D88"/>
    <w:rsid w:val="00AB5849"/>
    <w:rsid w:val="00AC1F0E"/>
    <w:rsid w:val="00AC7615"/>
    <w:rsid w:val="00AD075E"/>
    <w:rsid w:val="00AD33A9"/>
    <w:rsid w:val="00AD4249"/>
    <w:rsid w:val="00AD72DA"/>
    <w:rsid w:val="00AE07B0"/>
    <w:rsid w:val="00AE2836"/>
    <w:rsid w:val="00AE41C6"/>
    <w:rsid w:val="00AE63A1"/>
    <w:rsid w:val="00AF0E55"/>
    <w:rsid w:val="00AF1D1A"/>
    <w:rsid w:val="00B003EA"/>
    <w:rsid w:val="00B011EE"/>
    <w:rsid w:val="00B062E0"/>
    <w:rsid w:val="00B0705D"/>
    <w:rsid w:val="00B17D63"/>
    <w:rsid w:val="00B225EC"/>
    <w:rsid w:val="00B23115"/>
    <w:rsid w:val="00B26554"/>
    <w:rsid w:val="00B312E7"/>
    <w:rsid w:val="00B3141E"/>
    <w:rsid w:val="00B3192E"/>
    <w:rsid w:val="00B33EE2"/>
    <w:rsid w:val="00B3467A"/>
    <w:rsid w:val="00B360E1"/>
    <w:rsid w:val="00B438CC"/>
    <w:rsid w:val="00B47843"/>
    <w:rsid w:val="00B54C68"/>
    <w:rsid w:val="00B573B0"/>
    <w:rsid w:val="00B72BB5"/>
    <w:rsid w:val="00B735DD"/>
    <w:rsid w:val="00B81DA6"/>
    <w:rsid w:val="00B83607"/>
    <w:rsid w:val="00B94235"/>
    <w:rsid w:val="00B94A64"/>
    <w:rsid w:val="00B94E8F"/>
    <w:rsid w:val="00B96481"/>
    <w:rsid w:val="00B976BC"/>
    <w:rsid w:val="00BA29F5"/>
    <w:rsid w:val="00BB0671"/>
    <w:rsid w:val="00BB53E6"/>
    <w:rsid w:val="00BC0F23"/>
    <w:rsid w:val="00BC1984"/>
    <w:rsid w:val="00BC26FE"/>
    <w:rsid w:val="00BD0B52"/>
    <w:rsid w:val="00BD3615"/>
    <w:rsid w:val="00BD71A2"/>
    <w:rsid w:val="00BD7F78"/>
    <w:rsid w:val="00BE167C"/>
    <w:rsid w:val="00BE1705"/>
    <w:rsid w:val="00BE2411"/>
    <w:rsid w:val="00BE6143"/>
    <w:rsid w:val="00BE674A"/>
    <w:rsid w:val="00BE7ABD"/>
    <w:rsid w:val="00BF1B43"/>
    <w:rsid w:val="00C004CE"/>
    <w:rsid w:val="00C02A58"/>
    <w:rsid w:val="00C055CD"/>
    <w:rsid w:val="00C11B54"/>
    <w:rsid w:val="00C16D80"/>
    <w:rsid w:val="00C20F0A"/>
    <w:rsid w:val="00C25601"/>
    <w:rsid w:val="00C2571F"/>
    <w:rsid w:val="00C3092D"/>
    <w:rsid w:val="00C31AE2"/>
    <w:rsid w:val="00C31B75"/>
    <w:rsid w:val="00C354C4"/>
    <w:rsid w:val="00C36A8E"/>
    <w:rsid w:val="00C36BF6"/>
    <w:rsid w:val="00C37691"/>
    <w:rsid w:val="00C436A4"/>
    <w:rsid w:val="00C50D3D"/>
    <w:rsid w:val="00C51E0F"/>
    <w:rsid w:val="00C60BD4"/>
    <w:rsid w:val="00C67185"/>
    <w:rsid w:val="00C6779E"/>
    <w:rsid w:val="00C67A91"/>
    <w:rsid w:val="00C700C6"/>
    <w:rsid w:val="00C72889"/>
    <w:rsid w:val="00C72F61"/>
    <w:rsid w:val="00C73952"/>
    <w:rsid w:val="00C80B28"/>
    <w:rsid w:val="00C82250"/>
    <w:rsid w:val="00C877CC"/>
    <w:rsid w:val="00C90602"/>
    <w:rsid w:val="00CA3AEE"/>
    <w:rsid w:val="00CB13D2"/>
    <w:rsid w:val="00CB20E8"/>
    <w:rsid w:val="00CB4F7E"/>
    <w:rsid w:val="00CC3302"/>
    <w:rsid w:val="00CC5821"/>
    <w:rsid w:val="00CC7B41"/>
    <w:rsid w:val="00CC7CDA"/>
    <w:rsid w:val="00CD0E89"/>
    <w:rsid w:val="00CD2331"/>
    <w:rsid w:val="00CD2A1C"/>
    <w:rsid w:val="00CE3603"/>
    <w:rsid w:val="00CE5663"/>
    <w:rsid w:val="00CE6FAE"/>
    <w:rsid w:val="00CF0CBC"/>
    <w:rsid w:val="00CF3161"/>
    <w:rsid w:val="00CF4118"/>
    <w:rsid w:val="00CF703F"/>
    <w:rsid w:val="00D02070"/>
    <w:rsid w:val="00D03665"/>
    <w:rsid w:val="00D04A9A"/>
    <w:rsid w:val="00D059DD"/>
    <w:rsid w:val="00D06DF9"/>
    <w:rsid w:val="00D144DE"/>
    <w:rsid w:val="00D1647E"/>
    <w:rsid w:val="00D17993"/>
    <w:rsid w:val="00D179AE"/>
    <w:rsid w:val="00D257BB"/>
    <w:rsid w:val="00D32BD1"/>
    <w:rsid w:val="00D355BA"/>
    <w:rsid w:val="00D36D8C"/>
    <w:rsid w:val="00D418DE"/>
    <w:rsid w:val="00D4535C"/>
    <w:rsid w:val="00D46AF1"/>
    <w:rsid w:val="00D47018"/>
    <w:rsid w:val="00D60C5F"/>
    <w:rsid w:val="00D61DE8"/>
    <w:rsid w:val="00D67D09"/>
    <w:rsid w:val="00D71FEA"/>
    <w:rsid w:val="00D72A3B"/>
    <w:rsid w:val="00D82079"/>
    <w:rsid w:val="00D87C0E"/>
    <w:rsid w:val="00D940BB"/>
    <w:rsid w:val="00D951A0"/>
    <w:rsid w:val="00D951F3"/>
    <w:rsid w:val="00DA011F"/>
    <w:rsid w:val="00DA248C"/>
    <w:rsid w:val="00DA31BE"/>
    <w:rsid w:val="00DA3357"/>
    <w:rsid w:val="00DA6238"/>
    <w:rsid w:val="00DB5CF0"/>
    <w:rsid w:val="00DB765B"/>
    <w:rsid w:val="00DC035B"/>
    <w:rsid w:val="00DC1E01"/>
    <w:rsid w:val="00DC6451"/>
    <w:rsid w:val="00DD0AC4"/>
    <w:rsid w:val="00DD0E0E"/>
    <w:rsid w:val="00DD3478"/>
    <w:rsid w:val="00DD34DE"/>
    <w:rsid w:val="00DE2DB7"/>
    <w:rsid w:val="00DE3525"/>
    <w:rsid w:val="00DE4B4C"/>
    <w:rsid w:val="00DE4F05"/>
    <w:rsid w:val="00DF0959"/>
    <w:rsid w:val="00E00423"/>
    <w:rsid w:val="00E0598B"/>
    <w:rsid w:val="00E0717A"/>
    <w:rsid w:val="00E075CA"/>
    <w:rsid w:val="00E10208"/>
    <w:rsid w:val="00E151C0"/>
    <w:rsid w:val="00E16C6B"/>
    <w:rsid w:val="00E17A5D"/>
    <w:rsid w:val="00E24986"/>
    <w:rsid w:val="00E263BC"/>
    <w:rsid w:val="00E30A07"/>
    <w:rsid w:val="00E45A14"/>
    <w:rsid w:val="00E464B3"/>
    <w:rsid w:val="00E507FC"/>
    <w:rsid w:val="00E6176F"/>
    <w:rsid w:val="00E64DFB"/>
    <w:rsid w:val="00E7497D"/>
    <w:rsid w:val="00E756FB"/>
    <w:rsid w:val="00E76DCE"/>
    <w:rsid w:val="00E77F1A"/>
    <w:rsid w:val="00E816AE"/>
    <w:rsid w:val="00E85707"/>
    <w:rsid w:val="00E861F7"/>
    <w:rsid w:val="00E90549"/>
    <w:rsid w:val="00E938CA"/>
    <w:rsid w:val="00E94283"/>
    <w:rsid w:val="00E94C54"/>
    <w:rsid w:val="00EA0258"/>
    <w:rsid w:val="00EA1A61"/>
    <w:rsid w:val="00EA2AC5"/>
    <w:rsid w:val="00EA64F1"/>
    <w:rsid w:val="00EA693E"/>
    <w:rsid w:val="00EB179E"/>
    <w:rsid w:val="00EB217F"/>
    <w:rsid w:val="00EB403C"/>
    <w:rsid w:val="00EC0393"/>
    <w:rsid w:val="00EC2641"/>
    <w:rsid w:val="00EC41A3"/>
    <w:rsid w:val="00ED15FC"/>
    <w:rsid w:val="00ED17E2"/>
    <w:rsid w:val="00ED50C6"/>
    <w:rsid w:val="00ED64A4"/>
    <w:rsid w:val="00EE47A1"/>
    <w:rsid w:val="00F038BE"/>
    <w:rsid w:val="00F07DD1"/>
    <w:rsid w:val="00F21838"/>
    <w:rsid w:val="00F219EF"/>
    <w:rsid w:val="00F26687"/>
    <w:rsid w:val="00F46EE8"/>
    <w:rsid w:val="00F564E0"/>
    <w:rsid w:val="00F56B3A"/>
    <w:rsid w:val="00F62A9D"/>
    <w:rsid w:val="00F62D87"/>
    <w:rsid w:val="00F71255"/>
    <w:rsid w:val="00F75616"/>
    <w:rsid w:val="00F80221"/>
    <w:rsid w:val="00F81370"/>
    <w:rsid w:val="00F903B0"/>
    <w:rsid w:val="00F906D8"/>
    <w:rsid w:val="00F94565"/>
    <w:rsid w:val="00F9666D"/>
    <w:rsid w:val="00FA63F4"/>
    <w:rsid w:val="00FB0E35"/>
    <w:rsid w:val="00FB3BDF"/>
    <w:rsid w:val="00FB539A"/>
    <w:rsid w:val="00FC0272"/>
    <w:rsid w:val="00FC2F53"/>
    <w:rsid w:val="00FC526B"/>
    <w:rsid w:val="00FD54C4"/>
    <w:rsid w:val="00FF558B"/>
    <w:rsid w:val="00FF56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CD5A1"/>
  <w15:chartTrackingRefBased/>
  <w15:docId w15:val="{96D21CAA-4195-4182-A70A-FA39BEFF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D0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5BD6"/>
    <w:pPr>
      <w:tabs>
        <w:tab w:val="center" w:pos="4536"/>
        <w:tab w:val="right" w:pos="9072"/>
      </w:tabs>
      <w:spacing w:after="0" w:line="240" w:lineRule="auto"/>
    </w:pPr>
  </w:style>
  <w:style w:type="character" w:customStyle="1" w:styleId="HeaderChar">
    <w:name w:val="Header Char"/>
    <w:basedOn w:val="DefaultParagraphFont"/>
    <w:link w:val="Header"/>
    <w:rsid w:val="00445BD6"/>
    <w:rPr>
      <w:lang w:val="en-US"/>
    </w:rPr>
  </w:style>
  <w:style w:type="paragraph" w:styleId="Footer">
    <w:name w:val="footer"/>
    <w:basedOn w:val="Normal"/>
    <w:link w:val="FooterChar"/>
    <w:uiPriority w:val="99"/>
    <w:unhideWhenUsed/>
    <w:rsid w:val="00445B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5BD6"/>
    <w:rPr>
      <w:lang w:val="en-US"/>
    </w:rPr>
  </w:style>
  <w:style w:type="table" w:styleId="TableGrid">
    <w:name w:val="Table Grid"/>
    <w:basedOn w:val="TableNormal"/>
    <w:uiPriority w:val="39"/>
    <w:rsid w:val="0044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Normal"/>
    <w:rsid w:val="00617579"/>
    <w:pPr>
      <w:tabs>
        <w:tab w:val="left" w:pos="709"/>
      </w:tabs>
      <w:spacing w:after="0" w:line="240" w:lineRule="auto"/>
    </w:pPr>
    <w:rPr>
      <w:rFonts w:ascii="Tahoma" w:eastAsia="Times New Roman" w:hAnsi="Tahoma" w:cs="Times New Roman"/>
      <w:sz w:val="20"/>
      <w:szCs w:val="20"/>
      <w:lang w:val="pl-PL" w:eastAsia="pl-PL"/>
    </w:rPr>
  </w:style>
  <w:style w:type="character" w:styleId="Hyperlink">
    <w:name w:val="Hyperlink"/>
    <w:basedOn w:val="DefaultParagraphFont"/>
    <w:uiPriority w:val="99"/>
    <w:unhideWhenUsed/>
    <w:rsid w:val="00DD34DE"/>
    <w:rPr>
      <w:color w:val="0563C1" w:themeColor="hyperlink"/>
      <w:u w:val="single"/>
    </w:rPr>
  </w:style>
  <w:style w:type="character" w:styleId="UnresolvedMention">
    <w:name w:val="Unresolved Mention"/>
    <w:basedOn w:val="DefaultParagraphFont"/>
    <w:uiPriority w:val="99"/>
    <w:semiHidden/>
    <w:unhideWhenUsed/>
    <w:rsid w:val="00DD34DE"/>
    <w:rPr>
      <w:color w:val="605E5C"/>
      <w:shd w:val="clear" w:color="auto" w:fill="E1DFDD"/>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FC526B"/>
    <w:pPr>
      <w:ind w:left="720"/>
      <w:contextualSpacing/>
    </w:pPr>
  </w:style>
  <w:style w:type="paragraph" w:customStyle="1" w:styleId="norm">
    <w:name w:val="norm"/>
    <w:basedOn w:val="Normal"/>
    <w:rsid w:val="009246A2"/>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CommentReference">
    <w:name w:val="annotation reference"/>
    <w:basedOn w:val="DefaultParagraphFont"/>
    <w:uiPriority w:val="99"/>
    <w:unhideWhenUsed/>
    <w:rsid w:val="00D47018"/>
    <w:rPr>
      <w:sz w:val="16"/>
      <w:szCs w:val="16"/>
    </w:rPr>
  </w:style>
  <w:style w:type="paragraph" w:styleId="CommentText">
    <w:name w:val="annotation text"/>
    <w:basedOn w:val="Normal"/>
    <w:link w:val="CommentTextChar"/>
    <w:uiPriority w:val="99"/>
    <w:unhideWhenUsed/>
    <w:rsid w:val="00D47018"/>
    <w:pPr>
      <w:spacing w:line="240" w:lineRule="auto"/>
    </w:pPr>
    <w:rPr>
      <w:sz w:val="20"/>
      <w:szCs w:val="20"/>
    </w:rPr>
  </w:style>
  <w:style w:type="character" w:customStyle="1" w:styleId="CommentTextChar">
    <w:name w:val="Comment Text Char"/>
    <w:basedOn w:val="DefaultParagraphFont"/>
    <w:link w:val="CommentText"/>
    <w:uiPriority w:val="99"/>
    <w:rsid w:val="00D47018"/>
    <w:rPr>
      <w:sz w:val="20"/>
      <w:szCs w:val="20"/>
      <w:lang w:val="en-US"/>
    </w:rPr>
  </w:style>
  <w:style w:type="paragraph" w:styleId="CommentSubject">
    <w:name w:val="annotation subject"/>
    <w:basedOn w:val="CommentText"/>
    <w:next w:val="CommentText"/>
    <w:link w:val="CommentSubjectChar"/>
    <w:uiPriority w:val="99"/>
    <w:semiHidden/>
    <w:unhideWhenUsed/>
    <w:rsid w:val="00D47018"/>
    <w:rPr>
      <w:b/>
      <w:bCs/>
    </w:rPr>
  </w:style>
  <w:style w:type="character" w:customStyle="1" w:styleId="CommentSubjectChar">
    <w:name w:val="Comment Subject Char"/>
    <w:basedOn w:val="CommentTextChar"/>
    <w:link w:val="CommentSubject"/>
    <w:uiPriority w:val="99"/>
    <w:semiHidden/>
    <w:rsid w:val="00D47018"/>
    <w:rPr>
      <w:b/>
      <w:bCs/>
      <w:sz w:val="20"/>
      <w:szCs w:val="20"/>
      <w:lang w:val="en-US"/>
    </w:rPr>
  </w:style>
  <w:style w:type="paragraph" w:styleId="BodyText">
    <w:name w:val="Body Text"/>
    <w:basedOn w:val="Normal"/>
    <w:link w:val="BodyTextChar"/>
    <w:rsid w:val="00CF411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bg-BG"/>
    </w:rPr>
  </w:style>
  <w:style w:type="character" w:customStyle="1" w:styleId="BodyTextChar">
    <w:name w:val="Body Text Char"/>
    <w:basedOn w:val="DefaultParagraphFont"/>
    <w:link w:val="BodyText"/>
    <w:rsid w:val="00CF4118"/>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61E61"/>
    <w:pPr>
      <w:spacing w:after="0" w:line="240" w:lineRule="auto"/>
    </w:pPr>
    <w:rPr>
      <w:rFonts w:eastAsiaTheme="minorEastAsia"/>
      <w:sz w:val="20"/>
      <w:szCs w:val="20"/>
      <w:lang w:val="bg-BG"/>
    </w:rPr>
  </w:style>
  <w:style w:type="character" w:customStyle="1" w:styleId="FootnoteTextChar">
    <w:name w:val="Footnote Text Char"/>
    <w:basedOn w:val="DefaultParagraphFont"/>
    <w:link w:val="FootnoteText"/>
    <w:uiPriority w:val="99"/>
    <w:rsid w:val="00461E61"/>
    <w:rPr>
      <w:rFonts w:eastAsiaTheme="minorEastAsia"/>
      <w:sz w:val="20"/>
      <w:szCs w:val="20"/>
    </w:rPr>
  </w:style>
  <w:style w:type="character" w:styleId="FootnoteReference">
    <w:name w:val="footnote reference"/>
    <w:basedOn w:val="DefaultParagraphFont"/>
    <w:link w:val="FootnotesymbolCarZchn"/>
    <w:uiPriority w:val="99"/>
    <w:unhideWhenUsed/>
    <w:rsid w:val="00461E6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Times 10 Point Car... + Verdana,7..."/>
    <w:basedOn w:val="Normal"/>
    <w:link w:val="FootnoteReference"/>
    <w:uiPriority w:val="99"/>
    <w:rsid w:val="00461E61"/>
    <w:pPr>
      <w:spacing w:line="240" w:lineRule="exact"/>
      <w:jc w:val="both"/>
    </w:pPr>
    <w:rPr>
      <w:vertAlign w:val="superscript"/>
      <w:lang w:val="bg-BG"/>
    </w:rPr>
  </w:style>
  <w:style w:type="paragraph" w:styleId="Revision">
    <w:name w:val="Revision"/>
    <w:hidden/>
    <w:uiPriority w:val="99"/>
    <w:semiHidden/>
    <w:rsid w:val="00EA64F1"/>
    <w:pPr>
      <w:spacing w:after="0" w:line="240" w:lineRule="auto"/>
    </w:pPr>
    <w:rPr>
      <w:lang w:val="en-U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8E1F94"/>
    <w:rPr>
      <w:lang w:val="en-US"/>
    </w:rPr>
  </w:style>
  <w:style w:type="character" w:customStyle="1" w:styleId="Heading1Char">
    <w:name w:val="Heading 1 Char"/>
    <w:basedOn w:val="DefaultParagraphFont"/>
    <w:link w:val="Heading1"/>
    <w:uiPriority w:val="9"/>
    <w:rsid w:val="00BD0B52"/>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BD0B52"/>
    <w:pPr>
      <w:outlineLvl w:val="9"/>
    </w:pPr>
  </w:style>
  <w:style w:type="character" w:customStyle="1" w:styleId="Heading2">
    <w:name w:val="Heading #2_"/>
    <w:basedOn w:val="DefaultParagraphFont"/>
    <w:link w:val="Heading20"/>
    <w:rsid w:val="002A6F86"/>
    <w:rPr>
      <w:rFonts w:ascii="Times New Roman" w:eastAsia="Times New Roman" w:hAnsi="Times New Roman" w:cs="Times New Roman"/>
      <w:b/>
      <w:bCs/>
      <w:shd w:val="clear" w:color="auto" w:fill="FFFFFF"/>
    </w:rPr>
  </w:style>
  <w:style w:type="paragraph" w:customStyle="1" w:styleId="Heading20">
    <w:name w:val="Heading #2"/>
    <w:basedOn w:val="Normal"/>
    <w:link w:val="Heading2"/>
    <w:rsid w:val="002A6F86"/>
    <w:pPr>
      <w:widowControl w:val="0"/>
      <w:shd w:val="clear" w:color="auto" w:fill="FFFFFF"/>
      <w:spacing w:after="110" w:line="254" w:lineRule="auto"/>
      <w:outlineLvl w:val="1"/>
    </w:pPr>
    <w:rPr>
      <w:rFonts w:ascii="Times New Roman" w:eastAsia="Times New Roman" w:hAnsi="Times New Roman" w:cs="Times New Roman"/>
      <w:b/>
      <w:bCs/>
      <w:lang w:val="bg-BG"/>
    </w:rPr>
  </w:style>
  <w:style w:type="paragraph" w:styleId="TOC2">
    <w:name w:val="toc 2"/>
    <w:basedOn w:val="Normal"/>
    <w:next w:val="Normal"/>
    <w:autoRedefine/>
    <w:uiPriority w:val="39"/>
    <w:unhideWhenUsed/>
    <w:rsid w:val="00486A5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0352">
      <w:bodyDiv w:val="1"/>
      <w:marLeft w:val="0"/>
      <w:marRight w:val="0"/>
      <w:marTop w:val="0"/>
      <w:marBottom w:val="0"/>
      <w:divBdr>
        <w:top w:val="none" w:sz="0" w:space="0" w:color="auto"/>
        <w:left w:val="none" w:sz="0" w:space="0" w:color="auto"/>
        <w:bottom w:val="none" w:sz="0" w:space="0" w:color="auto"/>
        <w:right w:val="none" w:sz="0" w:space="0" w:color="auto"/>
      </w:divBdr>
    </w:div>
    <w:div w:id="14488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12B7-33AE-47B5-BDE4-57E8B477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OPOS BG16</dc:creator>
  <cp:keywords/>
  <dc:description/>
  <cp:lastModifiedBy>Мария Любомирова Карагьозова</cp:lastModifiedBy>
  <cp:revision>2</cp:revision>
  <cp:lastPrinted>2023-02-14T13:07:00Z</cp:lastPrinted>
  <dcterms:created xsi:type="dcterms:W3CDTF">2025-12-30T10:00:00Z</dcterms:created>
  <dcterms:modified xsi:type="dcterms:W3CDTF">2025-12-30T10:00:00Z</dcterms:modified>
</cp:coreProperties>
</file>